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300F" w:rsidRDefault="0032300F">
      <w:pPr>
        <w:pStyle w:val="Standard"/>
      </w:pPr>
    </w:p>
    <w:p w:rsidR="0032300F" w:rsidRDefault="0032300F">
      <w:pPr>
        <w:pStyle w:val="Standard"/>
      </w:pPr>
    </w:p>
    <w:p w:rsidR="0032300F" w:rsidRDefault="0032300F">
      <w:pPr>
        <w:pStyle w:val="Standard"/>
      </w:pPr>
    </w:p>
    <w:p w:rsidR="0032300F" w:rsidRDefault="0032300F">
      <w:pPr>
        <w:pStyle w:val="Standard"/>
      </w:pPr>
    </w:p>
    <w:p w:rsidR="0032300F" w:rsidRDefault="0032300F">
      <w:pPr>
        <w:pStyle w:val="Standard"/>
      </w:pPr>
    </w:p>
    <w:p w:rsidR="0032300F" w:rsidRDefault="0032300F">
      <w:pPr>
        <w:pStyle w:val="Standard"/>
      </w:pPr>
    </w:p>
    <w:p w:rsidR="0032300F" w:rsidRDefault="0032300F">
      <w:pPr>
        <w:pStyle w:val="Standard"/>
      </w:pPr>
    </w:p>
    <w:p w:rsidR="0032300F" w:rsidRDefault="0032300F">
      <w:pPr>
        <w:pStyle w:val="Standard"/>
      </w:pPr>
    </w:p>
    <w:p w:rsidR="0032300F" w:rsidRDefault="0032300F">
      <w:pPr>
        <w:pStyle w:val="Standard"/>
      </w:pPr>
    </w:p>
    <w:p w:rsidR="0032300F" w:rsidRDefault="0032300F">
      <w:pPr>
        <w:pStyle w:val="Standard"/>
      </w:pPr>
    </w:p>
    <w:p w:rsidR="0032300F" w:rsidRDefault="0032300F">
      <w:pPr>
        <w:pStyle w:val="Standard"/>
      </w:pPr>
    </w:p>
    <w:p w:rsidR="0032300F" w:rsidRDefault="0032300F">
      <w:pPr>
        <w:pStyle w:val="Standard"/>
      </w:pPr>
    </w:p>
    <w:p w:rsidR="0032300F" w:rsidRDefault="0032300F">
      <w:pPr>
        <w:pStyle w:val="Standard"/>
      </w:pPr>
    </w:p>
    <w:p w:rsidR="0032300F" w:rsidRDefault="0032300F">
      <w:pPr>
        <w:pStyle w:val="Standard"/>
      </w:pPr>
    </w:p>
    <w:p w:rsidR="006E0098" w:rsidRDefault="006E0098">
      <w:pPr>
        <w:pStyle w:val="Standard"/>
      </w:pPr>
    </w:p>
    <w:p w:rsidR="006E0098" w:rsidRDefault="006E0098">
      <w:pPr>
        <w:pStyle w:val="Standard"/>
      </w:pPr>
    </w:p>
    <w:p w:rsidR="006E0098" w:rsidRDefault="006E0098">
      <w:pPr>
        <w:pStyle w:val="Standard"/>
      </w:pPr>
    </w:p>
    <w:p w:rsidR="006E0098" w:rsidRDefault="006E0098">
      <w:pPr>
        <w:pStyle w:val="Standard"/>
      </w:pPr>
    </w:p>
    <w:p w:rsidR="006E0098" w:rsidRDefault="006E0098">
      <w:pPr>
        <w:pStyle w:val="Standard"/>
      </w:pPr>
    </w:p>
    <w:p w:rsidR="006E0098" w:rsidRDefault="006E0098">
      <w:pPr>
        <w:pStyle w:val="Standard"/>
      </w:pPr>
    </w:p>
    <w:p w:rsidR="006E0098" w:rsidRDefault="006E0098">
      <w:pPr>
        <w:pStyle w:val="Standard"/>
      </w:pPr>
    </w:p>
    <w:p w:rsidR="006E0098" w:rsidRDefault="006E0098">
      <w:pPr>
        <w:pStyle w:val="Standard"/>
      </w:pPr>
    </w:p>
    <w:p w:rsidR="006E0098" w:rsidRDefault="006E0098">
      <w:pPr>
        <w:pStyle w:val="Standard"/>
      </w:pPr>
    </w:p>
    <w:p w:rsidR="006E0098" w:rsidRDefault="006E0098">
      <w:pPr>
        <w:pStyle w:val="Standard"/>
      </w:pPr>
    </w:p>
    <w:p w:rsidR="00E2796D" w:rsidRDefault="002B7F0F">
      <w:pPr>
        <w:pStyle w:val="Standard"/>
      </w:pPr>
      <w:r w:rsidRPr="001935C7">
        <w:rPr>
          <w:rFonts w:asciiTheme="minorHAnsi" w:hAnsiTheme="minorHAnsi" w:cstheme="minorHAnsi"/>
          <w:b/>
          <w:noProof/>
          <w:color w:val="00B050"/>
          <w:sz w:val="52"/>
          <w:szCs w:val="52"/>
        </w:rPr>
        <mc:AlternateContent>
          <mc:Choice Requires="wps">
            <w:drawing>
              <wp:anchor distT="0" distB="0" distL="114300" distR="114300" simplePos="0" relativeHeight="251659776" behindDoc="0" locked="0" layoutInCell="1" allowOverlap="1" wp14:anchorId="54243B9B" wp14:editId="0D0F985B">
                <wp:simplePos x="0" y="0"/>
                <wp:positionH relativeFrom="column">
                  <wp:posOffset>-375920</wp:posOffset>
                </wp:positionH>
                <wp:positionV relativeFrom="paragraph">
                  <wp:posOffset>509270</wp:posOffset>
                </wp:positionV>
                <wp:extent cx="4093535" cy="1403985"/>
                <wp:effectExtent l="0" t="0" r="2159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535" cy="1403985"/>
                        </a:xfrm>
                        <a:prstGeom prst="rect">
                          <a:avLst/>
                        </a:prstGeom>
                        <a:solidFill>
                          <a:srgbClr val="FFFFFF"/>
                        </a:solidFill>
                        <a:ln w="9525">
                          <a:solidFill>
                            <a:schemeClr val="bg1"/>
                          </a:solidFill>
                          <a:miter lim="800000"/>
                          <a:headEnd/>
                          <a:tailEnd/>
                        </a:ln>
                      </wps:spPr>
                      <wps:txbx>
                        <w:txbxContent>
                          <w:p w:rsidR="002B7F0F" w:rsidRPr="00C96C86" w:rsidRDefault="002B7F0F" w:rsidP="002B7F0F">
                            <w:pPr>
                              <w:rPr>
                                <w:rFonts w:asciiTheme="minorHAnsi" w:hAnsiTheme="minorHAnsi" w:cstheme="minorHAnsi"/>
                                <w:b/>
                                <w:color w:val="C00000"/>
                                <w:sz w:val="44"/>
                                <w:szCs w:val="44"/>
                              </w:rPr>
                            </w:pPr>
                            <w:r w:rsidRPr="00C96C86">
                              <w:rPr>
                                <w:rFonts w:asciiTheme="minorHAnsi" w:hAnsiTheme="minorHAnsi" w:cstheme="minorHAnsi"/>
                                <w:b/>
                                <w:color w:val="C00000"/>
                                <w:sz w:val="44"/>
                                <w:szCs w:val="44"/>
                              </w:rPr>
                              <w:t>DRAFT – FOR COMMENT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6pt;margin-top:40.1pt;width:322.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" strokecolor="white [3212]">
                <v:textbox style="mso-fit-shape-to-text:t">
                  <w:txbxContent>
                    <w:p w:rsidR="002B7F0F" w:rsidRPr="00C96C86" w:rsidRDefault="002B7F0F" w:rsidP="002B7F0F">
                      <w:pPr>
                        <w:rPr>
                          <w:rFonts w:asciiTheme="minorHAnsi" w:hAnsiTheme="minorHAnsi" w:cstheme="minorHAnsi"/>
                          <w:b/>
                          <w:color w:val="C00000"/>
                          <w:sz w:val="44"/>
                          <w:szCs w:val="44"/>
                        </w:rPr>
                      </w:pPr>
                      <w:r w:rsidRPr="00C96C86">
                        <w:rPr>
                          <w:rFonts w:asciiTheme="minorHAnsi" w:hAnsiTheme="minorHAnsi" w:cstheme="minorHAnsi"/>
                          <w:b/>
                          <w:color w:val="C00000"/>
                          <w:sz w:val="44"/>
                          <w:szCs w:val="44"/>
                        </w:rPr>
                        <w:t>DRAFT – FOR COMMENT</w:t>
                      </w:r>
                    </w:p>
                  </w:txbxContent>
                </v:textbox>
              </v:shape>
            </w:pict>
          </mc:Fallback>
        </mc:AlternateContent>
      </w:r>
      <w:r w:rsidR="00952D0A">
        <w:rPr>
          <w:noProof/>
          <w:lang w:eastAsia="en-GB"/>
        </w:rPr>
        <mc:AlternateContent>
          <mc:Choice Requires="wps">
            <w:drawing>
              <wp:anchor distT="0" distB="0" distL="114935" distR="114935" simplePos="0" relativeHeight="251657728" behindDoc="0" locked="0" layoutInCell="1" allowOverlap="1" wp14:anchorId="5EE98196" wp14:editId="3F1D366D">
                <wp:simplePos x="0" y="0"/>
                <wp:positionH relativeFrom="margin">
                  <wp:posOffset>-73025</wp:posOffset>
                </wp:positionH>
                <wp:positionV relativeFrom="page">
                  <wp:posOffset>914400</wp:posOffset>
                </wp:positionV>
                <wp:extent cx="3468370" cy="4531995"/>
                <wp:effectExtent l="3175" t="0" r="508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45319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80" w:type="dxa"/>
                              <w:tblInd w:w="105" w:type="dxa"/>
                              <w:tblBorders>
                                <w:top w:val="single" w:sz="36" w:space="0" w:color="92D050"/>
                                <w:bottom w:val="single" w:sz="36" w:space="0" w:color="92D050"/>
                                <w:insideH w:val="single" w:sz="36" w:space="0" w:color="92D050"/>
                                <w:insideV w:val="single" w:sz="36" w:space="0" w:color="66FF66"/>
                              </w:tblBorders>
                              <w:tblLayout w:type="fixed"/>
                              <w:tblCellMar>
                                <w:top w:w="360" w:type="dxa"/>
                                <w:left w:w="115" w:type="dxa"/>
                                <w:bottom w:w="360" w:type="dxa"/>
                                <w:right w:w="115" w:type="dxa"/>
                              </w:tblCellMar>
                              <w:tblLook w:val="0000" w:firstRow="0" w:lastRow="0" w:firstColumn="0" w:lastColumn="0" w:noHBand="0" w:noVBand="0"/>
                            </w:tblPr>
                            <w:tblGrid>
                              <w:gridCol w:w="5680"/>
                            </w:tblGrid>
                            <w:tr w:rsidR="00F1488B" w:rsidTr="00EF1DF4">
                              <w:tc>
                                <w:tcPr>
                                  <w:tcW w:w="5680" w:type="dxa"/>
                                </w:tcPr>
                                <w:p w:rsidR="00F1488B" w:rsidRDefault="00F1488B">
                                  <w:pPr>
                                    <w:pStyle w:val="NoSpacing"/>
                                    <w:snapToGrid w:val="0"/>
                                    <w:rPr>
                                      <w:rFonts w:ascii="Gill Sans MT" w:hAnsi="Gill Sans MT" w:cs="Calibri"/>
                                      <w:spacing w:val="80"/>
                                      <w:sz w:val="72"/>
                                      <w:szCs w:val="72"/>
                                    </w:rPr>
                                  </w:pPr>
                                  <w:r>
                                    <w:rPr>
                                      <w:rFonts w:ascii="Gill Sans MT" w:hAnsi="Gill Sans MT" w:cs="Calibri"/>
                                      <w:spacing w:val="80"/>
                                      <w:sz w:val="72"/>
                                      <w:szCs w:val="72"/>
                                    </w:rPr>
                                    <w:t>Sustainable Procurement Strategy</w:t>
                                  </w:r>
                                </w:p>
                              </w:tc>
                            </w:tr>
                            <w:tr w:rsidR="00F1488B" w:rsidTr="00EF1DF4">
                              <w:tc>
                                <w:tcPr>
                                  <w:tcW w:w="5680" w:type="dxa"/>
                                </w:tcPr>
                                <w:p w:rsidR="00F1488B" w:rsidRDefault="00F1488B" w:rsidP="000D0E56">
                                  <w:pPr>
                                    <w:pStyle w:val="NoSpacing"/>
                                    <w:snapToGrid w:val="0"/>
                                    <w:rPr>
                                      <w:rFonts w:cs="Calibri"/>
                                      <w:sz w:val="34"/>
                                      <w:szCs w:val="34"/>
                                    </w:rPr>
                                  </w:pPr>
                                  <w:r>
                                    <w:rPr>
                                      <w:rFonts w:cs="Calibri"/>
                                      <w:sz w:val="34"/>
                                      <w:szCs w:val="34"/>
                                    </w:rPr>
                                    <w:t xml:space="preserve">Bath and North East Somerset </w:t>
                                  </w:r>
                                  <w:r w:rsidR="000D0E56">
                                    <w:rPr>
                                      <w:rFonts w:cs="Calibri"/>
                                      <w:sz w:val="34"/>
                                      <w:szCs w:val="34"/>
                                    </w:rPr>
                                    <w:t xml:space="preserve">Council </w:t>
                                  </w:r>
                                </w:p>
                              </w:tc>
                            </w:tr>
                            <w:tr w:rsidR="00F1488B" w:rsidTr="00EF1DF4">
                              <w:tc>
                                <w:tcPr>
                                  <w:tcW w:w="5680" w:type="dxa"/>
                                </w:tcPr>
                                <w:p w:rsidR="00F1488B" w:rsidRDefault="007073D6">
                                  <w:pPr>
                                    <w:pStyle w:val="NoSpacing"/>
                                    <w:snapToGrid w:val="0"/>
                                    <w:rPr>
                                      <w:rFonts w:cs="Calibri"/>
                                      <w:sz w:val="40"/>
                                      <w:szCs w:val="40"/>
                                      <w:lang w:val="en-GB"/>
                                    </w:rPr>
                                  </w:pPr>
                                  <w:r>
                                    <w:rPr>
                                      <w:rFonts w:cs="Calibri"/>
                                      <w:sz w:val="40"/>
                                      <w:szCs w:val="40"/>
                                      <w:lang w:val="en-GB"/>
                                    </w:rPr>
                                    <w:t>October 2013</w:t>
                                  </w:r>
                                </w:p>
                              </w:tc>
                            </w:tr>
                          </w:tbl>
                          <w:p w:rsidR="00F1488B" w:rsidRDefault="00F148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5.75pt;margin-top:1in;width:273.1pt;height:356.85pt;z-index:251657728;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" stroked="f">
                <v:fill opacity="0"/>
                <v:textbox inset="0,0,0,0">
                  <w:txbxContent>
                    <w:tbl>
                      <w:tblPr>
                        <w:tblW w:w="5680" w:type="dxa"/>
                        <w:tblInd w:w="105" w:type="dxa"/>
                        <w:tblBorders>
                          <w:top w:val="single" w:sz="36" w:space="0" w:color="92D050"/>
                          <w:bottom w:val="single" w:sz="36" w:space="0" w:color="92D050"/>
                          <w:insideH w:val="single" w:sz="36" w:space="0" w:color="92D050"/>
                          <w:insideV w:val="single" w:sz="36" w:space="0" w:color="66FF66"/>
                        </w:tblBorders>
                        <w:tblLayout w:type="fixed"/>
                        <w:tblCellMar>
                          <w:top w:w="360" w:type="dxa"/>
                          <w:left w:w="115" w:type="dxa"/>
                          <w:bottom w:w="360" w:type="dxa"/>
                          <w:right w:w="115" w:type="dxa"/>
                        </w:tblCellMar>
                        <w:tblLook w:val="0000" w:firstRow="0" w:lastRow="0" w:firstColumn="0" w:lastColumn="0" w:noHBand="0" w:noVBand="0"/>
                      </w:tblPr>
                      <w:tblGrid>
                        <w:gridCol w:w="5680"/>
                      </w:tblGrid>
                      <w:tr w:rsidR="00F1488B" w:rsidTr="00EF1DF4">
                        <w:tc>
                          <w:tcPr>
                            <w:tcW w:w="5680" w:type="dxa"/>
                          </w:tcPr>
                          <w:p w:rsidR="00F1488B" w:rsidRDefault="00F1488B">
                            <w:pPr>
                              <w:pStyle w:val="NoSpacing"/>
                              <w:snapToGrid w:val="0"/>
                              <w:rPr>
                                <w:rFonts w:ascii="Gill Sans MT" w:hAnsi="Gill Sans MT" w:cs="Calibri"/>
                                <w:spacing w:val="80"/>
                                <w:sz w:val="72"/>
                                <w:szCs w:val="72"/>
                              </w:rPr>
                            </w:pPr>
                            <w:r>
                              <w:rPr>
                                <w:rFonts w:ascii="Gill Sans MT" w:hAnsi="Gill Sans MT" w:cs="Calibri"/>
                                <w:spacing w:val="80"/>
                                <w:sz w:val="72"/>
                                <w:szCs w:val="72"/>
                              </w:rPr>
                              <w:t>Sustainable Procurement Strategy</w:t>
                            </w:r>
                          </w:p>
                        </w:tc>
                      </w:tr>
                      <w:tr w:rsidR="00F1488B" w:rsidTr="00EF1DF4">
                        <w:tc>
                          <w:tcPr>
                            <w:tcW w:w="5680" w:type="dxa"/>
                          </w:tcPr>
                          <w:p w:rsidR="00F1488B" w:rsidRDefault="00F1488B" w:rsidP="000D0E56">
                            <w:pPr>
                              <w:pStyle w:val="NoSpacing"/>
                              <w:snapToGrid w:val="0"/>
                              <w:rPr>
                                <w:rFonts w:cs="Calibri"/>
                                <w:sz w:val="34"/>
                                <w:szCs w:val="34"/>
                              </w:rPr>
                            </w:pPr>
                            <w:r>
                              <w:rPr>
                                <w:rFonts w:cs="Calibri"/>
                                <w:sz w:val="34"/>
                                <w:szCs w:val="34"/>
                              </w:rPr>
                              <w:t xml:space="preserve">Bath and North East Somerset </w:t>
                            </w:r>
                            <w:r w:rsidR="000D0E56">
                              <w:rPr>
                                <w:rFonts w:cs="Calibri"/>
                                <w:sz w:val="34"/>
                                <w:szCs w:val="34"/>
                              </w:rPr>
                              <w:t xml:space="preserve">Council </w:t>
                            </w:r>
                          </w:p>
                        </w:tc>
                      </w:tr>
                      <w:tr w:rsidR="00F1488B" w:rsidTr="00EF1DF4">
                        <w:tc>
                          <w:tcPr>
                            <w:tcW w:w="5680" w:type="dxa"/>
                          </w:tcPr>
                          <w:p w:rsidR="00F1488B" w:rsidRDefault="007073D6">
                            <w:pPr>
                              <w:pStyle w:val="NoSpacing"/>
                              <w:snapToGrid w:val="0"/>
                              <w:rPr>
                                <w:rFonts w:cs="Calibri"/>
                                <w:sz w:val="40"/>
                                <w:szCs w:val="40"/>
                                <w:lang w:val="en-GB"/>
                              </w:rPr>
                            </w:pPr>
                            <w:r>
                              <w:rPr>
                                <w:rFonts w:cs="Calibri"/>
                                <w:sz w:val="40"/>
                                <w:szCs w:val="40"/>
                                <w:lang w:val="en-GB"/>
                              </w:rPr>
                              <w:t>October 2013</w:t>
                            </w:r>
                          </w:p>
                        </w:tc>
                      </w:tr>
                    </w:tbl>
                    <w:p w:rsidR="00F1488B" w:rsidRDefault="00F1488B"/>
                  </w:txbxContent>
                </v:textbox>
                <w10:wrap type="square" anchorx="margin" anchory="page"/>
              </v:shape>
            </w:pict>
          </mc:Fallback>
        </mc:AlternateContent>
      </w:r>
    </w:p>
    <w:p w:rsidR="00EE4020" w:rsidRDefault="00EE4020">
      <w:pPr>
        <w:pStyle w:val="Standard"/>
        <w:sectPr w:rsidR="00EE4020" w:rsidSect="00986EDD">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440" w:right="1273" w:bottom="1440" w:left="2155" w:header="720" w:footer="720" w:gutter="0"/>
          <w:cols w:space="720"/>
          <w:docGrid w:linePitch="360"/>
        </w:sectPr>
      </w:pPr>
    </w:p>
    <w:tbl>
      <w:tblPr>
        <w:tblW w:w="7812" w:type="dxa"/>
        <w:tblBorders>
          <w:top w:val="single" w:sz="36" w:space="0" w:color="92D050"/>
        </w:tblBorders>
        <w:tblLayout w:type="fixed"/>
        <w:tblLook w:val="0000" w:firstRow="0" w:lastRow="0" w:firstColumn="0" w:lastColumn="0" w:noHBand="0" w:noVBand="0"/>
      </w:tblPr>
      <w:tblGrid>
        <w:gridCol w:w="7812"/>
      </w:tblGrid>
      <w:tr w:rsidR="00E2796D" w:rsidTr="00EF7708">
        <w:tc>
          <w:tcPr>
            <w:tcW w:w="7812" w:type="dxa"/>
          </w:tcPr>
          <w:p w:rsidR="00E2796D" w:rsidRDefault="00D07BC0">
            <w:pPr>
              <w:pStyle w:val="Standard"/>
              <w:snapToGrid w:val="0"/>
              <w:spacing w:before="240" w:after="600"/>
              <w:jc w:val="both"/>
              <w:rPr>
                <w:rFonts w:ascii="Corbel" w:hAnsi="Corbel" w:cs="Calibri"/>
                <w:color w:val="000000"/>
                <w:spacing w:val="80"/>
                <w:sz w:val="34"/>
                <w:szCs w:val="34"/>
              </w:rPr>
            </w:pPr>
            <w:r>
              <w:rPr>
                <w:rFonts w:ascii="Corbel" w:hAnsi="Corbel" w:cs="Calibri"/>
                <w:color w:val="000000"/>
                <w:spacing w:val="80"/>
                <w:sz w:val="34"/>
                <w:szCs w:val="34"/>
              </w:rPr>
              <w:lastRenderedPageBreak/>
              <w:t>Executive Summary</w:t>
            </w:r>
          </w:p>
        </w:tc>
      </w:tr>
    </w:tbl>
    <w:p w:rsidR="00E2796D" w:rsidRDefault="00D07BC0">
      <w:pPr>
        <w:pStyle w:val="Standard"/>
        <w:jc w:val="both"/>
        <w:rPr>
          <w:rFonts w:cs="Calibri"/>
        </w:rPr>
      </w:pPr>
      <w:r>
        <w:rPr>
          <w:rFonts w:cs="Calibri"/>
        </w:rPr>
        <w:t>Sustainable procurement integrates the concept and values of sustainable development into procurement activities. As well as the standard economic considerations; social and environmental impacts are accounted for, allowing procurement and commissioning to address areas such as climate change, healthy living,</w:t>
      </w:r>
      <w:r w:rsidR="00B2480D">
        <w:rPr>
          <w:rFonts w:cs="Calibri"/>
        </w:rPr>
        <w:t xml:space="preserve"> </w:t>
      </w:r>
      <w:r>
        <w:rPr>
          <w:rFonts w:cs="Calibri"/>
        </w:rPr>
        <w:t xml:space="preserve">job creation and stronger communities. Subsequently, </w:t>
      </w:r>
      <w:r w:rsidR="00F45FA0">
        <w:rPr>
          <w:rFonts w:cs="Calibri"/>
        </w:rPr>
        <w:t>authority</w:t>
      </w:r>
      <w:r>
        <w:rPr>
          <w:rFonts w:cs="Calibri"/>
        </w:rPr>
        <w:t xml:space="preserve"> costs are reduced over the long term, value for money will be achieved, the local economy will be strengthened, and objectives such as the national statutory carbon reduction</w:t>
      </w:r>
      <w:r w:rsidR="00F2752E">
        <w:rPr>
          <w:rFonts w:cs="Calibri"/>
        </w:rPr>
        <w:t xml:space="preserve"> (Climate Change Act 2008)</w:t>
      </w:r>
      <w:r>
        <w:rPr>
          <w:rFonts w:cs="Calibri"/>
        </w:rPr>
        <w:t xml:space="preserve"> are met and ‘Leadership’ in all aspects of the Government’s ‘Flexible Framework for Sustainable Procurement’ can be achieved.</w:t>
      </w:r>
    </w:p>
    <w:p w:rsidR="00E2796D" w:rsidRDefault="00D07BC0">
      <w:pPr>
        <w:pStyle w:val="Standard"/>
        <w:jc w:val="both"/>
        <w:rPr>
          <w:rFonts w:cs="Calibri"/>
        </w:rPr>
      </w:pPr>
      <w:r>
        <w:rPr>
          <w:rFonts w:cs="Calibri"/>
        </w:rPr>
        <w:t>The ‘Sustainable Procurement Strategy” align</w:t>
      </w:r>
      <w:r w:rsidR="00EE4020">
        <w:rPr>
          <w:rFonts w:cs="Calibri"/>
        </w:rPr>
        <w:t>s</w:t>
      </w:r>
      <w:r>
        <w:rPr>
          <w:rFonts w:cs="Calibri"/>
        </w:rPr>
        <w:t xml:space="preserve"> with the ‘Commissioning and Procurement Strategy’</w:t>
      </w:r>
      <w:r w:rsidR="005D5B1C">
        <w:rPr>
          <w:rFonts w:cs="Calibri"/>
        </w:rPr>
        <w:t xml:space="preserve"> </w:t>
      </w:r>
      <w:r w:rsidR="00721567">
        <w:rPr>
          <w:rFonts w:cs="Calibri"/>
        </w:rPr>
        <w:t xml:space="preserve">to be employed by </w:t>
      </w:r>
      <w:r w:rsidR="00F45FA0">
        <w:rPr>
          <w:rFonts w:cs="Calibri"/>
        </w:rPr>
        <w:t xml:space="preserve">B&amp;NES </w:t>
      </w:r>
      <w:r>
        <w:rPr>
          <w:rFonts w:cs="Calibri"/>
        </w:rPr>
        <w:t xml:space="preserve">to incorporate sustainability considerations at appropriate points in the commissioning and procurement cycle. </w:t>
      </w:r>
    </w:p>
    <w:p w:rsidR="00E2796D" w:rsidRDefault="00D07BC0">
      <w:pPr>
        <w:pStyle w:val="Standard"/>
        <w:jc w:val="both"/>
        <w:rPr>
          <w:rFonts w:cs="Calibri"/>
        </w:rPr>
      </w:pPr>
      <w:r>
        <w:rPr>
          <w:rFonts w:cs="Calibri"/>
        </w:rPr>
        <w:lastRenderedPageBreak/>
        <w:t xml:space="preserve">The ‘Sustainable Procurement Strategy” will be actioned, initially, through training and capacity development, which will better enable staff to introduce sustainable thinking into procurement activities and generate support from other procurement and non-procurement professionals within the </w:t>
      </w:r>
      <w:r w:rsidR="00F45FA0">
        <w:rPr>
          <w:rFonts w:cs="Calibri"/>
        </w:rPr>
        <w:t>authority</w:t>
      </w:r>
      <w:r>
        <w:rPr>
          <w:rFonts w:cs="Calibri"/>
        </w:rPr>
        <w:t xml:space="preserve">. The strategy should be reviewed periodically to evaluate how effectively sustainable procurement practice has percolated throughout the organisation, whether ‘flexible framework’ ambitions have been met and how to further implement the ‘Sustainable Procurement strategy’ into </w:t>
      </w:r>
      <w:r w:rsidR="00F45FA0">
        <w:rPr>
          <w:rFonts w:cs="Calibri"/>
        </w:rPr>
        <w:t>authority</w:t>
      </w:r>
      <w:r>
        <w:rPr>
          <w:rFonts w:cs="Calibri"/>
        </w:rPr>
        <w:t xml:space="preserve"> procurement practice.</w:t>
      </w:r>
    </w:p>
    <w:p w:rsidR="00845276" w:rsidRDefault="00845276" w:rsidP="00845276">
      <w:pPr>
        <w:pStyle w:val="ListParagraph"/>
        <w:numPr>
          <w:ilvl w:val="0"/>
          <w:numId w:val="2"/>
        </w:numPr>
        <w:tabs>
          <w:tab w:val="left" w:pos="76"/>
        </w:tabs>
        <w:spacing w:after="240"/>
        <w:ind w:left="73" w:hanging="357"/>
        <w:jc w:val="both"/>
        <w:rPr>
          <w:rFonts w:cs="Calibri"/>
        </w:rPr>
      </w:pPr>
      <w:r>
        <w:rPr>
          <w:rFonts w:cs="Calibri"/>
        </w:rPr>
        <w:br w:type="page"/>
      </w:r>
      <w:r>
        <w:rPr>
          <w:rFonts w:cs="Calibri"/>
        </w:rPr>
        <w:lastRenderedPageBreak/>
        <w:t>Integral to t</w:t>
      </w:r>
      <w:r w:rsidR="00721567">
        <w:rPr>
          <w:rFonts w:cs="Calibri"/>
        </w:rPr>
        <w:t>he values and purposes of Bath and</w:t>
      </w:r>
      <w:r>
        <w:rPr>
          <w:rFonts w:cs="Calibri"/>
        </w:rPr>
        <w:t xml:space="preserve"> North East Somerset </w:t>
      </w:r>
      <w:r w:rsidR="00C961D6">
        <w:rPr>
          <w:rFonts w:cs="Calibri"/>
        </w:rPr>
        <w:t>Council (B&amp;NES) are</w:t>
      </w:r>
      <w:r>
        <w:rPr>
          <w:rFonts w:cs="Calibri"/>
        </w:rPr>
        <w:t xml:space="preserve"> that the principles of sustainable development are applied in order to unify and inspire communities and neighbourhoods so that the local causes and effects of climate change can be tackled and residents can lead a healthy and enjoyable life. This document sets out our strategy for improving and using sustainable procurement to meet these central objectives.</w:t>
      </w:r>
    </w:p>
    <w:tbl>
      <w:tblPr>
        <w:tblpPr w:leftFromText="180" w:rightFromText="180" w:vertAnchor="page" w:horzAnchor="margin" w:tblpY="1441"/>
        <w:tblW w:w="7811" w:type="dxa"/>
        <w:tblBorders>
          <w:top w:val="single" w:sz="36" w:space="0" w:color="92D050"/>
          <w:insideH w:val="single" w:sz="4" w:space="0" w:color="auto"/>
          <w:insideV w:val="single" w:sz="4" w:space="0" w:color="auto"/>
        </w:tblBorders>
        <w:tblLook w:val="04A0" w:firstRow="1" w:lastRow="0" w:firstColumn="1" w:lastColumn="0" w:noHBand="0" w:noVBand="1"/>
      </w:tblPr>
      <w:tblGrid>
        <w:gridCol w:w="7811"/>
      </w:tblGrid>
      <w:tr w:rsidR="00EF7708" w:rsidTr="00EF7708">
        <w:tc>
          <w:tcPr>
            <w:tcW w:w="7811" w:type="dxa"/>
            <w:shd w:val="clear" w:color="auto" w:fill="auto"/>
          </w:tcPr>
          <w:p w:rsidR="00EF7708" w:rsidRPr="00986EDD" w:rsidRDefault="00EF7708" w:rsidP="00EF7708">
            <w:pPr>
              <w:pStyle w:val="Standard"/>
              <w:snapToGrid w:val="0"/>
              <w:spacing w:before="240" w:after="600"/>
              <w:jc w:val="both"/>
              <w:rPr>
                <w:rFonts w:ascii="Corbel" w:hAnsi="Corbel" w:cs="Calibri"/>
                <w:color w:val="000000"/>
                <w:spacing w:val="80"/>
                <w:sz w:val="34"/>
                <w:szCs w:val="34"/>
              </w:rPr>
            </w:pPr>
            <w:r w:rsidRPr="00986EDD">
              <w:rPr>
                <w:rFonts w:cs="Calibri"/>
              </w:rPr>
              <w:br w:type="page"/>
            </w:r>
            <w:r w:rsidRPr="00986EDD">
              <w:rPr>
                <w:rFonts w:cs="Calibri"/>
              </w:rPr>
              <w:br w:type="page"/>
            </w:r>
            <w:r w:rsidRPr="00986EDD">
              <w:rPr>
                <w:rFonts w:ascii="Corbel" w:hAnsi="Corbel" w:cs="Calibri"/>
                <w:color w:val="000000"/>
                <w:spacing w:val="80"/>
                <w:sz w:val="34"/>
                <w:szCs w:val="34"/>
              </w:rPr>
              <w:t>The Purpose</w:t>
            </w:r>
          </w:p>
        </w:tc>
      </w:tr>
    </w:tbl>
    <w:p w:rsidR="00845276" w:rsidRDefault="00845276" w:rsidP="00845276">
      <w:pPr>
        <w:pStyle w:val="ListParagraph"/>
        <w:numPr>
          <w:ilvl w:val="0"/>
          <w:numId w:val="2"/>
        </w:numPr>
        <w:tabs>
          <w:tab w:val="left" w:pos="76"/>
        </w:tabs>
        <w:spacing w:after="240"/>
        <w:ind w:left="73" w:hanging="357"/>
        <w:jc w:val="both"/>
        <w:rPr>
          <w:rFonts w:cs="Calibri"/>
        </w:rPr>
      </w:pPr>
      <w:r>
        <w:rPr>
          <w:rFonts w:cs="Calibri"/>
        </w:rPr>
        <w:t xml:space="preserve">There is the need for a more sustainable procurement process, which is environmentally sound, resource efficient and takes into account the social responsibility of the </w:t>
      </w:r>
      <w:r w:rsidR="00C961D6">
        <w:rPr>
          <w:rFonts w:cs="Calibri"/>
        </w:rPr>
        <w:t>authority</w:t>
      </w:r>
      <w:r>
        <w:rPr>
          <w:rFonts w:cs="Calibri"/>
        </w:rPr>
        <w:t>. Considering the sustainable criteria of suppliers, goods, works and services is currently an area of weakness but is of increasing importance as recognition of environmental and social impacts accelerates.</w:t>
      </w:r>
    </w:p>
    <w:p w:rsidR="00845276" w:rsidRDefault="00845276" w:rsidP="00845276">
      <w:pPr>
        <w:pStyle w:val="ListParagraph"/>
        <w:numPr>
          <w:ilvl w:val="0"/>
          <w:numId w:val="4"/>
        </w:numPr>
        <w:tabs>
          <w:tab w:val="left" w:pos="76"/>
        </w:tabs>
        <w:spacing w:after="240"/>
        <w:ind w:left="641" w:hanging="357"/>
        <w:jc w:val="both"/>
      </w:pPr>
      <w:r w:rsidRPr="00C961D6">
        <w:rPr>
          <w:rFonts w:cs="Calibri"/>
        </w:rPr>
        <w:t xml:space="preserve">The ambition of </w:t>
      </w:r>
      <w:r w:rsidR="00C961D6" w:rsidRPr="00C961D6">
        <w:rPr>
          <w:rFonts w:cs="Calibri"/>
        </w:rPr>
        <w:t>the authority</w:t>
      </w:r>
      <w:r w:rsidRPr="00C961D6">
        <w:rPr>
          <w:rFonts w:cs="Calibri"/>
        </w:rPr>
        <w:t xml:space="preserve"> is to meet the national, statutory carbon reduction target of 34% by 2020 and 80% by 2050.</w:t>
      </w:r>
      <w:r w:rsidR="004E67CD" w:rsidRPr="00C961D6">
        <w:rPr>
          <w:rFonts w:cs="Calibri"/>
        </w:rPr>
        <w:t xml:space="preserve"> </w:t>
      </w:r>
      <w:r w:rsidR="007D2E45">
        <w:t>CO</w:t>
      </w:r>
      <w:r w:rsidR="007D2E45" w:rsidRPr="00C961D6">
        <w:rPr>
          <w:vertAlign w:val="subscript"/>
        </w:rPr>
        <w:t xml:space="preserve">2 </w:t>
      </w:r>
      <w:r w:rsidR="007D2E45">
        <w:t>emitted throughout the supply chain c</w:t>
      </w:r>
      <w:r w:rsidR="00721567">
        <w:t xml:space="preserve">an be considerably reduced by </w:t>
      </w:r>
      <w:r w:rsidR="00C961D6">
        <w:t>B&amp;NES</w:t>
      </w:r>
      <w:r w:rsidR="007D2E45">
        <w:t xml:space="preserve"> through sustainable </w:t>
      </w:r>
      <w:r>
        <w:t xml:space="preserve">procurement </w:t>
      </w:r>
      <w:r w:rsidR="007D2E45">
        <w:t>practice</w:t>
      </w:r>
      <w:r>
        <w:t>.</w:t>
      </w:r>
    </w:p>
    <w:p w:rsidR="00845276" w:rsidRDefault="00845276" w:rsidP="00845276">
      <w:pPr>
        <w:pStyle w:val="ListParagraph"/>
        <w:numPr>
          <w:ilvl w:val="0"/>
          <w:numId w:val="2"/>
        </w:numPr>
        <w:tabs>
          <w:tab w:val="left" w:pos="76"/>
        </w:tabs>
        <w:spacing w:after="240"/>
        <w:ind w:left="73" w:hanging="357"/>
        <w:jc w:val="both"/>
        <w:rPr>
          <w:rFonts w:cs="Calibri"/>
        </w:rPr>
      </w:pPr>
      <w:r>
        <w:rPr>
          <w:rFonts w:cs="Calibri"/>
        </w:rPr>
        <w:t>It is through sustainable procurement that the values of sustainable development and sustainability can extend throughout the council, enabling the mitigation of climate change and the strengthening of communities.</w:t>
      </w:r>
    </w:p>
    <w:p w:rsidR="00845276" w:rsidRDefault="00845276" w:rsidP="00845276">
      <w:pPr>
        <w:pStyle w:val="ListParagraph"/>
        <w:numPr>
          <w:ilvl w:val="0"/>
          <w:numId w:val="2"/>
        </w:numPr>
        <w:tabs>
          <w:tab w:val="left" w:pos="76"/>
        </w:tabs>
        <w:spacing w:after="240"/>
        <w:ind w:left="73" w:hanging="357"/>
        <w:jc w:val="both"/>
        <w:rPr>
          <w:rFonts w:cs="Calibri"/>
        </w:rPr>
      </w:pPr>
      <w:r>
        <w:rPr>
          <w:rFonts w:cs="Calibri"/>
        </w:rPr>
        <w:t xml:space="preserve">The </w:t>
      </w:r>
      <w:r w:rsidR="00C961D6">
        <w:rPr>
          <w:rFonts w:cs="Calibri"/>
        </w:rPr>
        <w:t xml:space="preserve">authority </w:t>
      </w:r>
      <w:r w:rsidR="004E67CD">
        <w:rPr>
          <w:rFonts w:cs="Calibri"/>
        </w:rPr>
        <w:t>ha</w:t>
      </w:r>
      <w:r w:rsidR="00C961D6">
        <w:rPr>
          <w:rFonts w:cs="Calibri"/>
        </w:rPr>
        <w:t>s</w:t>
      </w:r>
      <w:r>
        <w:rPr>
          <w:rFonts w:cs="Calibri"/>
        </w:rPr>
        <w:t xml:space="preserve"> an obligation, under </w:t>
      </w:r>
      <w:r w:rsidR="00C961D6">
        <w:rPr>
          <w:rFonts w:cs="Calibri"/>
        </w:rPr>
        <w:t xml:space="preserve">EU and UK </w:t>
      </w:r>
      <w:r>
        <w:rPr>
          <w:rFonts w:cs="Calibri"/>
        </w:rPr>
        <w:t xml:space="preserve">law, to obtain value for money </w:t>
      </w:r>
      <w:r w:rsidR="00C961D6">
        <w:rPr>
          <w:rFonts w:cs="Calibri"/>
        </w:rPr>
        <w:t xml:space="preserve">and Best Value </w:t>
      </w:r>
      <w:r>
        <w:rPr>
          <w:rFonts w:cs="Calibri"/>
        </w:rPr>
        <w:t>in its procurement activity, this does not necessarily mean lowest price and should involve assessing value and cost over the life of goods, works and services contracts.</w:t>
      </w:r>
    </w:p>
    <w:p w:rsidR="00845276" w:rsidRDefault="00845276" w:rsidP="00845276">
      <w:pPr>
        <w:pStyle w:val="ListParagraph"/>
        <w:numPr>
          <w:ilvl w:val="0"/>
          <w:numId w:val="2"/>
        </w:numPr>
        <w:tabs>
          <w:tab w:val="left" w:pos="76"/>
        </w:tabs>
        <w:spacing w:after="240"/>
        <w:ind w:left="73" w:hanging="357"/>
        <w:jc w:val="both"/>
        <w:rPr>
          <w:rFonts w:cs="Calibri"/>
        </w:rPr>
      </w:pPr>
      <w:r>
        <w:rPr>
          <w:rFonts w:cs="Calibri"/>
        </w:rPr>
        <w:t>A bold change is required in order to progress procurement processes forwards to a point where practice is transformed. For too long, the emphasis has been on short term economic gains rather than long term economic, social and environmental benefits.</w:t>
      </w:r>
    </w:p>
    <w:p w:rsidR="00845276" w:rsidRDefault="00845276" w:rsidP="00845276">
      <w:pPr>
        <w:pStyle w:val="ListParagraph"/>
        <w:numPr>
          <w:ilvl w:val="0"/>
          <w:numId w:val="2"/>
        </w:numPr>
        <w:tabs>
          <w:tab w:val="left" w:pos="76"/>
        </w:tabs>
        <w:spacing w:after="240"/>
        <w:ind w:left="73" w:hanging="357"/>
        <w:jc w:val="both"/>
        <w:rPr>
          <w:rFonts w:cs="Calibri"/>
        </w:rPr>
      </w:pPr>
      <w:r>
        <w:rPr>
          <w:rFonts w:cs="Calibri"/>
        </w:rPr>
        <w:t>The focus of sustainable procurement is typically on the very large contracts such as energy and construction. The cumulative contribution that smaller contracts can make is highly significant and procurers should not overlook this.</w:t>
      </w:r>
    </w:p>
    <w:p w:rsidR="00EF7708" w:rsidRDefault="00845276" w:rsidP="00EF7708">
      <w:pPr>
        <w:pStyle w:val="ListParagraph"/>
        <w:numPr>
          <w:ilvl w:val="0"/>
          <w:numId w:val="5"/>
        </w:numPr>
        <w:tabs>
          <w:tab w:val="left" w:pos="76"/>
        </w:tabs>
        <w:spacing w:after="0"/>
        <w:ind w:left="76" w:hanging="360"/>
        <w:jc w:val="both"/>
        <w:rPr>
          <w:rFonts w:cs="Calibri"/>
        </w:rPr>
      </w:pPr>
      <w:r>
        <w:rPr>
          <w:rFonts w:cs="Calibri"/>
        </w:rPr>
        <w:t xml:space="preserve">The </w:t>
      </w:r>
      <w:r w:rsidR="00C961D6">
        <w:rPr>
          <w:rFonts w:cs="Calibri"/>
        </w:rPr>
        <w:t>authority is</w:t>
      </w:r>
      <w:r>
        <w:rPr>
          <w:rFonts w:cs="Calibri"/>
        </w:rPr>
        <w:t xml:space="preserve"> passionate about achieving sustainable procurement practice and are working towards ‘Leadership’ in all aspects of the Government’s ‘Flexible Framework for Sustainable Procurement’.</w:t>
      </w:r>
    </w:p>
    <w:tbl>
      <w:tblPr>
        <w:tblW w:w="7812" w:type="dxa"/>
        <w:tblBorders>
          <w:top w:val="single" w:sz="36" w:space="0" w:color="92D050"/>
        </w:tblBorders>
        <w:tblLayout w:type="fixed"/>
        <w:tblLook w:val="0000" w:firstRow="0" w:lastRow="0" w:firstColumn="0" w:lastColumn="0" w:noHBand="0" w:noVBand="0"/>
      </w:tblPr>
      <w:tblGrid>
        <w:gridCol w:w="7812"/>
      </w:tblGrid>
      <w:tr w:rsidR="00E2796D" w:rsidTr="00EF7708">
        <w:tc>
          <w:tcPr>
            <w:tcW w:w="7812" w:type="dxa"/>
          </w:tcPr>
          <w:p w:rsidR="00E2796D" w:rsidRDefault="00EF7708">
            <w:pPr>
              <w:pStyle w:val="Standard"/>
              <w:snapToGrid w:val="0"/>
              <w:spacing w:before="240" w:after="600" w:line="240" w:lineRule="auto"/>
              <w:jc w:val="both"/>
              <w:rPr>
                <w:rFonts w:ascii="Corbel" w:hAnsi="Corbel" w:cs="Calibri"/>
                <w:color w:val="000000"/>
                <w:spacing w:val="80"/>
                <w:sz w:val="34"/>
                <w:szCs w:val="34"/>
              </w:rPr>
            </w:pPr>
            <w:r>
              <w:rPr>
                <w:rFonts w:cs="Calibri"/>
              </w:rPr>
              <w:lastRenderedPageBreak/>
              <w:br w:type="page"/>
            </w:r>
            <w:r>
              <w:rPr>
                <w:rFonts w:cs="Calibri"/>
              </w:rPr>
              <w:br w:type="page"/>
            </w:r>
            <w:r w:rsidR="00D07BC0">
              <w:rPr>
                <w:rFonts w:ascii="Corbel" w:hAnsi="Corbel" w:cs="Calibri"/>
                <w:color w:val="000000"/>
                <w:spacing w:val="80"/>
                <w:sz w:val="34"/>
                <w:szCs w:val="34"/>
              </w:rPr>
              <w:t>The Principles</w:t>
            </w:r>
          </w:p>
        </w:tc>
      </w:tr>
    </w:tbl>
    <w:p w:rsidR="00E2796D" w:rsidRDefault="00D07BC0" w:rsidP="00721567">
      <w:pPr>
        <w:pStyle w:val="ListParagraph"/>
        <w:numPr>
          <w:ilvl w:val="0"/>
          <w:numId w:val="5"/>
        </w:numPr>
        <w:tabs>
          <w:tab w:val="left" w:pos="76"/>
        </w:tabs>
        <w:spacing w:after="120"/>
        <w:ind w:left="73" w:hanging="357"/>
        <w:jc w:val="both"/>
        <w:rPr>
          <w:rFonts w:cs="Calibri"/>
        </w:rPr>
      </w:pPr>
      <w:r>
        <w:rPr>
          <w:rFonts w:cs="Calibri"/>
        </w:rPr>
        <w:t>This strategy integrates the principles of sustainable development into public sector procurement within</w:t>
      </w:r>
      <w:r w:rsidR="00C961D6">
        <w:rPr>
          <w:rFonts w:cs="Calibri"/>
        </w:rPr>
        <w:t xml:space="preserve"> B&amp;NES. </w:t>
      </w:r>
    </w:p>
    <w:p w:rsidR="00E2796D" w:rsidRDefault="00D07BC0" w:rsidP="00721567">
      <w:pPr>
        <w:pStyle w:val="ListParagraph"/>
        <w:numPr>
          <w:ilvl w:val="0"/>
          <w:numId w:val="5"/>
        </w:numPr>
        <w:tabs>
          <w:tab w:val="left" w:pos="76"/>
        </w:tabs>
        <w:spacing w:after="120"/>
        <w:ind w:left="73" w:hanging="357"/>
        <w:jc w:val="both"/>
        <w:rPr>
          <w:rFonts w:cs="Calibri"/>
        </w:rPr>
      </w:pPr>
      <w:r>
        <w:rPr>
          <w:rFonts w:cs="Calibri"/>
        </w:rPr>
        <w:t>Fundamental reform of the B&amp;NES procurement systems is required in order to meet sustainability. It is founded on the principles of…</w:t>
      </w:r>
    </w:p>
    <w:tbl>
      <w:tblPr>
        <w:tblW w:w="11515" w:type="dxa"/>
        <w:tblLook w:val="04A0" w:firstRow="1" w:lastRow="0" w:firstColumn="1" w:lastColumn="0" w:noHBand="0" w:noVBand="1"/>
      </w:tblPr>
      <w:tblGrid>
        <w:gridCol w:w="7338"/>
        <w:gridCol w:w="4177"/>
      </w:tblGrid>
      <w:tr w:rsidR="00A96F8D" w:rsidTr="00176200">
        <w:trPr>
          <w:trHeight w:val="542"/>
        </w:trPr>
        <w:tc>
          <w:tcPr>
            <w:tcW w:w="7338" w:type="dxa"/>
            <w:shd w:val="clear" w:color="auto" w:fill="auto"/>
          </w:tcPr>
          <w:p w:rsidR="00A96F8D" w:rsidRPr="00721567" w:rsidRDefault="00A96F8D" w:rsidP="00721567">
            <w:pPr>
              <w:pStyle w:val="Standard"/>
              <w:spacing w:after="120"/>
              <w:rPr>
                <w:rFonts w:cs="Calibri"/>
                <w:kern w:val="2"/>
              </w:rPr>
            </w:pPr>
          </w:p>
        </w:tc>
        <w:tc>
          <w:tcPr>
            <w:tcW w:w="4177" w:type="dxa"/>
            <w:shd w:val="clear" w:color="auto" w:fill="auto"/>
          </w:tcPr>
          <w:p w:rsidR="00A96F8D" w:rsidRPr="00986EDD" w:rsidRDefault="00A96F8D" w:rsidP="00986EDD">
            <w:pPr>
              <w:pStyle w:val="ListParagraph"/>
              <w:tabs>
                <w:tab w:val="left" w:pos="218"/>
              </w:tabs>
              <w:spacing w:after="0"/>
              <w:ind w:left="0"/>
              <w:rPr>
                <w:rFonts w:cs="Calibri"/>
                <w:color w:val="000000"/>
              </w:rPr>
            </w:pPr>
          </w:p>
        </w:tc>
      </w:tr>
      <w:tr w:rsidR="00A96F8D" w:rsidTr="00176200">
        <w:trPr>
          <w:trHeight w:val="3030"/>
        </w:trPr>
        <w:tc>
          <w:tcPr>
            <w:tcW w:w="7338" w:type="dxa"/>
            <w:shd w:val="clear" w:color="auto" w:fill="auto"/>
          </w:tcPr>
          <w:p w:rsidR="00A96F8D" w:rsidRPr="00986EDD" w:rsidRDefault="00A96F8D" w:rsidP="00986EDD">
            <w:pPr>
              <w:pStyle w:val="ListParagraph"/>
              <w:numPr>
                <w:ilvl w:val="0"/>
                <w:numId w:val="3"/>
              </w:numPr>
              <w:tabs>
                <w:tab w:val="left" w:pos="218"/>
              </w:tabs>
              <w:spacing w:after="0"/>
              <w:ind w:left="218" w:hanging="360"/>
              <w:rPr>
                <w:rFonts w:cs="Calibri"/>
                <w:i/>
                <w:color w:val="000000"/>
              </w:rPr>
            </w:pPr>
            <w:r w:rsidRPr="00986EDD">
              <w:rPr>
                <w:rFonts w:cs="Calibri"/>
                <w:i/>
                <w:color w:val="000000"/>
              </w:rPr>
              <w:t xml:space="preserve">A distinctive place that maintains and </w:t>
            </w:r>
            <w:r w:rsidR="00176200">
              <w:rPr>
                <w:rFonts w:cs="Calibri"/>
                <w:i/>
                <w:color w:val="000000"/>
              </w:rPr>
              <w:t>e</w:t>
            </w:r>
            <w:r w:rsidRPr="00986EDD">
              <w:rPr>
                <w:rFonts w:cs="Calibri"/>
                <w:i/>
                <w:color w:val="000000"/>
              </w:rPr>
              <w:t>nhances its outstanding built and natural environment, achieves connectivity and retains world class arts and culture</w:t>
            </w:r>
          </w:p>
          <w:p w:rsidR="00A96F8D" w:rsidRPr="00986EDD" w:rsidRDefault="00A96F8D" w:rsidP="00986EDD">
            <w:pPr>
              <w:pStyle w:val="ListParagraph"/>
              <w:numPr>
                <w:ilvl w:val="0"/>
                <w:numId w:val="3"/>
              </w:numPr>
              <w:tabs>
                <w:tab w:val="left" w:pos="218"/>
              </w:tabs>
              <w:spacing w:after="0"/>
              <w:ind w:left="218" w:hanging="360"/>
              <w:rPr>
                <w:rFonts w:cs="Calibri"/>
                <w:i/>
                <w:color w:val="000000"/>
              </w:rPr>
            </w:pPr>
            <w:r w:rsidRPr="00986EDD">
              <w:rPr>
                <w:rFonts w:cs="Calibri"/>
                <w:i/>
                <w:color w:val="000000"/>
              </w:rPr>
              <w:t>Vibrant sustainable communities that are lively and inclusive, where people feel safe, make a contribution and that are carbon neutral</w:t>
            </w:r>
          </w:p>
          <w:p w:rsidR="00A96F8D" w:rsidRPr="00986EDD" w:rsidRDefault="00A96F8D" w:rsidP="00986EDD">
            <w:pPr>
              <w:pStyle w:val="ListParagraph"/>
              <w:numPr>
                <w:ilvl w:val="0"/>
                <w:numId w:val="3"/>
              </w:numPr>
              <w:tabs>
                <w:tab w:val="left" w:pos="218"/>
              </w:tabs>
              <w:spacing w:after="0"/>
              <w:ind w:left="218" w:hanging="360"/>
              <w:rPr>
                <w:rFonts w:cs="Calibri"/>
                <w:i/>
                <w:color w:val="000000"/>
              </w:rPr>
            </w:pPr>
            <w:r w:rsidRPr="00986EDD">
              <w:rPr>
                <w:rFonts w:cs="Calibri"/>
                <w:i/>
                <w:color w:val="000000"/>
              </w:rPr>
              <w:t xml:space="preserve">Communities where everyone fulfils their potential by having an equal opportunity to learn and develop </w:t>
            </w:r>
            <w:proofErr w:type="gramStart"/>
            <w:r w:rsidR="00114FA3" w:rsidRPr="00986EDD">
              <w:rPr>
                <w:rFonts w:cs="Calibri"/>
                <w:i/>
                <w:color w:val="000000"/>
              </w:rPr>
              <w:t>skills</w:t>
            </w:r>
            <w:r w:rsidR="006C4EEF" w:rsidRPr="00986EDD">
              <w:rPr>
                <w:rFonts w:cs="Calibri"/>
                <w:i/>
                <w:color w:val="000000"/>
              </w:rPr>
              <w:t>,</w:t>
            </w:r>
            <w:proofErr w:type="gramEnd"/>
            <w:r w:rsidRPr="00986EDD">
              <w:rPr>
                <w:rFonts w:cs="Calibri"/>
                <w:i/>
                <w:color w:val="000000"/>
              </w:rPr>
              <w:t xml:space="preserve"> enjoy a healthy, low carbon lifestyle and influence the future of their area.</w:t>
            </w:r>
          </w:p>
          <w:p w:rsidR="00A96F8D" w:rsidRPr="00986EDD" w:rsidRDefault="00A96F8D" w:rsidP="00986EDD">
            <w:pPr>
              <w:pStyle w:val="Standard"/>
              <w:spacing w:after="120"/>
              <w:jc w:val="both"/>
              <w:rPr>
                <w:rFonts w:cs="Calibri"/>
                <w:b/>
                <w:sz w:val="36"/>
                <w:szCs w:val="28"/>
              </w:rPr>
            </w:pPr>
          </w:p>
        </w:tc>
        <w:tc>
          <w:tcPr>
            <w:tcW w:w="4177" w:type="dxa"/>
            <w:shd w:val="clear" w:color="auto" w:fill="auto"/>
          </w:tcPr>
          <w:p w:rsidR="00A96F8D" w:rsidRPr="00986EDD" w:rsidRDefault="00A96F8D" w:rsidP="00176200">
            <w:pPr>
              <w:pStyle w:val="Standard"/>
              <w:spacing w:after="120"/>
              <w:ind w:left="3054"/>
              <w:jc w:val="both"/>
              <w:rPr>
                <w:rFonts w:cs="Calibri"/>
                <w:b/>
                <w:sz w:val="36"/>
                <w:szCs w:val="28"/>
              </w:rPr>
            </w:pPr>
          </w:p>
        </w:tc>
      </w:tr>
    </w:tbl>
    <w:p w:rsidR="00E2796D" w:rsidRDefault="00D07BC0" w:rsidP="00721567">
      <w:pPr>
        <w:pStyle w:val="ListParagraph"/>
        <w:numPr>
          <w:ilvl w:val="0"/>
          <w:numId w:val="3"/>
        </w:numPr>
        <w:tabs>
          <w:tab w:val="left" w:pos="76"/>
        </w:tabs>
        <w:spacing w:after="120"/>
        <w:ind w:left="76" w:hanging="360"/>
        <w:jc w:val="both"/>
        <w:rPr>
          <w:rFonts w:cs="Calibri"/>
        </w:rPr>
      </w:pPr>
      <w:r>
        <w:rPr>
          <w:rFonts w:cs="Calibri"/>
          <w:b/>
        </w:rPr>
        <w:t>People.</w:t>
      </w:r>
      <w:r>
        <w:rPr>
          <w:rFonts w:cs="Calibri"/>
        </w:rPr>
        <w:t xml:space="preserve"> With the understanding that the </w:t>
      </w:r>
      <w:r w:rsidR="00C961D6">
        <w:rPr>
          <w:rFonts w:cs="Calibri"/>
        </w:rPr>
        <w:t xml:space="preserve">authority is </w:t>
      </w:r>
      <w:r>
        <w:rPr>
          <w:rFonts w:cs="Calibri"/>
        </w:rPr>
        <w:t>investing public monies responsibly and sustainably, people within the regions will feel valued and engaged with the Local Authority. Resulting in happiness and fulfilment with the services provided and being proud of where they live, allowing a high quality of life.</w:t>
      </w:r>
    </w:p>
    <w:p w:rsidR="00721567" w:rsidRPr="00721567" w:rsidRDefault="00D07BC0" w:rsidP="00721567">
      <w:pPr>
        <w:pStyle w:val="ListParagraph"/>
        <w:numPr>
          <w:ilvl w:val="0"/>
          <w:numId w:val="9"/>
        </w:numPr>
        <w:tabs>
          <w:tab w:val="left" w:pos="76"/>
        </w:tabs>
        <w:spacing w:after="240"/>
        <w:ind w:left="73" w:hanging="357"/>
        <w:jc w:val="both"/>
        <w:rPr>
          <w:rFonts w:cs="Calibri"/>
        </w:rPr>
      </w:pPr>
      <w:r>
        <w:rPr>
          <w:rFonts w:cs="Calibri"/>
          <w:b/>
        </w:rPr>
        <w:t>Communities.</w:t>
      </w:r>
      <w:r>
        <w:rPr>
          <w:rFonts w:cs="Calibri"/>
        </w:rPr>
        <w:t xml:space="preserve"> By ensuring that the principles of sustainable procurement are adhered to during the procurement process, the societal and environmental benefits will allow communities to thrive. The values of sustainable procurement will benefit and strengthen the local economy by allowing local communities and businesses to become fit for the future through becoming greener, low carbon, resource efficient and better equipped to provide services to the </w:t>
      </w:r>
      <w:r w:rsidR="00F45FA0">
        <w:rPr>
          <w:rFonts w:cs="Calibri"/>
        </w:rPr>
        <w:t>authority</w:t>
      </w:r>
      <w:r>
        <w:rPr>
          <w:rFonts w:cs="Calibri"/>
        </w:rPr>
        <w:t>. Subsequently, people will enjoy being part of the lively, active communities.</w:t>
      </w:r>
    </w:p>
    <w:p w:rsidR="00176200" w:rsidRDefault="00176200" w:rsidP="00721567">
      <w:pPr>
        <w:pStyle w:val="Standard"/>
        <w:spacing w:after="0"/>
        <w:ind w:left="-284"/>
        <w:jc w:val="both"/>
        <w:rPr>
          <w:rFonts w:cs="Calibri"/>
          <w:i/>
          <w:color w:val="000000"/>
          <w:sz w:val="18"/>
        </w:rPr>
      </w:pPr>
    </w:p>
    <w:p w:rsidR="00176200" w:rsidRDefault="00176200" w:rsidP="00721567">
      <w:pPr>
        <w:pStyle w:val="Standard"/>
        <w:spacing w:after="0"/>
        <w:ind w:left="-284"/>
        <w:jc w:val="both"/>
        <w:rPr>
          <w:rFonts w:cs="Calibri"/>
          <w:i/>
          <w:color w:val="000000"/>
          <w:sz w:val="18"/>
        </w:rPr>
      </w:pPr>
    </w:p>
    <w:p w:rsidR="00176200" w:rsidRDefault="00176200" w:rsidP="00721567">
      <w:pPr>
        <w:pStyle w:val="Standard"/>
        <w:spacing w:after="0"/>
        <w:ind w:left="-284"/>
        <w:jc w:val="both"/>
        <w:rPr>
          <w:rFonts w:cs="Calibri"/>
          <w:i/>
          <w:color w:val="000000"/>
          <w:sz w:val="18"/>
        </w:rPr>
      </w:pPr>
    </w:p>
    <w:p w:rsidR="00176200" w:rsidRDefault="00176200" w:rsidP="00721567">
      <w:pPr>
        <w:pStyle w:val="Standard"/>
        <w:spacing w:after="0"/>
        <w:ind w:left="-284"/>
        <w:jc w:val="both"/>
        <w:rPr>
          <w:rFonts w:cs="Calibri"/>
          <w:i/>
          <w:color w:val="000000"/>
          <w:sz w:val="18"/>
        </w:rPr>
      </w:pPr>
    </w:p>
    <w:p w:rsidR="00176200" w:rsidRDefault="00176200" w:rsidP="00721567">
      <w:pPr>
        <w:pStyle w:val="Standard"/>
        <w:spacing w:after="0"/>
        <w:ind w:left="-284"/>
        <w:jc w:val="both"/>
        <w:rPr>
          <w:rFonts w:cs="Calibri"/>
          <w:i/>
          <w:color w:val="000000"/>
          <w:sz w:val="18"/>
        </w:rPr>
      </w:pPr>
    </w:p>
    <w:p w:rsidR="00176200" w:rsidRDefault="00176200" w:rsidP="00721567">
      <w:pPr>
        <w:pStyle w:val="Standard"/>
        <w:spacing w:after="0"/>
        <w:ind w:left="-284"/>
        <w:jc w:val="both"/>
        <w:rPr>
          <w:rFonts w:cs="Calibri"/>
          <w:i/>
          <w:color w:val="000000"/>
          <w:sz w:val="18"/>
        </w:rPr>
      </w:pPr>
    </w:p>
    <w:p w:rsidR="00176200" w:rsidRDefault="00176200" w:rsidP="00721567">
      <w:pPr>
        <w:pStyle w:val="Standard"/>
        <w:spacing w:after="0"/>
        <w:ind w:left="-284"/>
        <w:jc w:val="both"/>
        <w:rPr>
          <w:rFonts w:cs="Calibri"/>
          <w:i/>
          <w:color w:val="000000"/>
          <w:sz w:val="18"/>
        </w:rPr>
      </w:pPr>
    </w:p>
    <w:p w:rsidR="00176200" w:rsidRDefault="00176200" w:rsidP="00721567">
      <w:pPr>
        <w:pStyle w:val="Standard"/>
        <w:spacing w:after="0"/>
        <w:ind w:left="-284"/>
        <w:jc w:val="both"/>
        <w:rPr>
          <w:rFonts w:cs="Calibri"/>
          <w:i/>
          <w:color w:val="000000"/>
          <w:sz w:val="18"/>
        </w:rPr>
      </w:pPr>
    </w:p>
    <w:p w:rsidR="00176200" w:rsidRDefault="00176200">
      <w:pPr>
        <w:widowControl/>
        <w:suppressAutoHyphens w:val="0"/>
        <w:textAlignment w:val="auto"/>
        <w:rPr>
          <w:rFonts w:ascii="Calibri" w:hAnsi="Calibri" w:cs="Calibri"/>
          <w:i/>
          <w:color w:val="000000"/>
          <w:sz w:val="18"/>
          <w:szCs w:val="22"/>
        </w:rPr>
      </w:pPr>
      <w:r>
        <w:rPr>
          <w:rFonts w:cs="Calibri"/>
          <w:i/>
          <w:color w:val="000000"/>
          <w:sz w:val="18"/>
        </w:rPr>
        <w:br w:type="page"/>
      </w:r>
    </w:p>
    <w:p w:rsidR="00BC4319" w:rsidRPr="00F9414B" w:rsidRDefault="00BC4319" w:rsidP="00721567">
      <w:pPr>
        <w:pStyle w:val="Standard"/>
        <w:spacing w:after="0"/>
        <w:ind w:left="-284"/>
        <w:jc w:val="both"/>
        <w:rPr>
          <w:rFonts w:cs="Calibri"/>
          <w:i/>
          <w:color w:val="000000"/>
          <w:sz w:val="18"/>
        </w:rPr>
      </w:pPr>
    </w:p>
    <w:tbl>
      <w:tblPr>
        <w:tblW w:w="7812" w:type="dxa"/>
        <w:tblBorders>
          <w:top w:val="single" w:sz="36" w:space="0" w:color="92D050"/>
        </w:tblBorders>
        <w:tblLayout w:type="fixed"/>
        <w:tblLook w:val="0000" w:firstRow="0" w:lastRow="0" w:firstColumn="0" w:lastColumn="0" w:noHBand="0" w:noVBand="0"/>
      </w:tblPr>
      <w:tblGrid>
        <w:gridCol w:w="7812"/>
      </w:tblGrid>
      <w:tr w:rsidR="00E2796D" w:rsidTr="00293408">
        <w:trPr>
          <w:trHeight w:val="934"/>
        </w:trPr>
        <w:tc>
          <w:tcPr>
            <w:tcW w:w="7812" w:type="dxa"/>
          </w:tcPr>
          <w:p w:rsidR="00E2796D" w:rsidRDefault="00BC4319">
            <w:pPr>
              <w:pStyle w:val="Standard"/>
              <w:snapToGrid w:val="0"/>
              <w:spacing w:before="240" w:after="600" w:line="240" w:lineRule="auto"/>
              <w:jc w:val="both"/>
              <w:rPr>
                <w:rFonts w:ascii="Corbel" w:hAnsi="Corbel" w:cs="Calibri"/>
                <w:color w:val="000000"/>
                <w:spacing w:val="80"/>
                <w:sz w:val="34"/>
                <w:szCs w:val="34"/>
              </w:rPr>
            </w:pPr>
            <w:r>
              <w:rPr>
                <w:rFonts w:cs="Calibri"/>
                <w:color w:val="000000"/>
              </w:rPr>
              <w:br w:type="page"/>
            </w:r>
            <w:r w:rsidR="00D07BC0">
              <w:rPr>
                <w:rFonts w:ascii="Corbel" w:hAnsi="Corbel" w:cs="Calibri"/>
                <w:color w:val="000000"/>
                <w:spacing w:val="80"/>
                <w:sz w:val="34"/>
                <w:szCs w:val="34"/>
              </w:rPr>
              <w:t>In Practice</w:t>
            </w:r>
          </w:p>
        </w:tc>
      </w:tr>
    </w:tbl>
    <w:p w:rsidR="00BB3151" w:rsidRPr="006401C0" w:rsidRDefault="00BB3151" w:rsidP="00BB3151">
      <w:pPr>
        <w:pStyle w:val="Standard"/>
        <w:spacing w:before="480" w:after="240"/>
        <w:ind w:left="-284"/>
        <w:rPr>
          <w:rFonts w:ascii="Corbel" w:hAnsi="Corbel" w:cs="Calibri"/>
          <w:b/>
          <w:color w:val="000000"/>
          <w:sz w:val="28"/>
          <w:szCs w:val="28"/>
        </w:rPr>
      </w:pPr>
      <w:r w:rsidRPr="006401C0">
        <w:rPr>
          <w:rFonts w:ascii="Corbel" w:hAnsi="Corbel" w:cs="Calibri"/>
          <w:b/>
          <w:color w:val="000000"/>
          <w:sz w:val="28"/>
          <w:szCs w:val="28"/>
        </w:rPr>
        <w:t>Public Services (Social Value) Act</w:t>
      </w:r>
      <w:r>
        <w:rPr>
          <w:rFonts w:ascii="Corbel" w:hAnsi="Corbel" w:cs="Calibri"/>
          <w:b/>
          <w:color w:val="000000"/>
          <w:sz w:val="28"/>
          <w:szCs w:val="28"/>
        </w:rPr>
        <w:t xml:space="preserve"> 2012</w:t>
      </w:r>
    </w:p>
    <w:p w:rsidR="00082166" w:rsidRPr="00082166" w:rsidRDefault="00BB3151" w:rsidP="00082166">
      <w:pPr>
        <w:pStyle w:val="ListParagraph"/>
        <w:numPr>
          <w:ilvl w:val="0"/>
          <w:numId w:val="13"/>
        </w:numPr>
        <w:tabs>
          <w:tab w:val="left" w:pos="76"/>
        </w:tabs>
        <w:spacing w:after="120"/>
        <w:ind w:left="73" w:hanging="357"/>
        <w:jc w:val="both"/>
        <w:rPr>
          <w:rFonts w:cs="Calibri"/>
          <w:color w:val="000000"/>
        </w:rPr>
      </w:pPr>
      <w:r w:rsidRPr="006401C0">
        <w:rPr>
          <w:rFonts w:cs="Calibri"/>
          <w:color w:val="000000"/>
        </w:rPr>
        <w:t>This act requires local authorities to consider social, economic and environmental issues within their procurement activities.  Adherence to this strategy will ensure that the requirements of this Act are met.</w:t>
      </w:r>
      <w:r w:rsidR="00F1488B">
        <w:rPr>
          <w:rFonts w:cs="Calibri"/>
          <w:color w:val="000000"/>
        </w:rPr>
        <w:t xml:space="preserve"> </w:t>
      </w:r>
    </w:p>
    <w:p w:rsidR="00E2796D" w:rsidRDefault="00D07BC0">
      <w:pPr>
        <w:pStyle w:val="Standard"/>
        <w:spacing w:before="240" w:after="240"/>
        <w:ind w:left="-284"/>
        <w:rPr>
          <w:rFonts w:ascii="Corbel" w:hAnsi="Corbel" w:cs="Calibri"/>
          <w:b/>
          <w:color w:val="000000"/>
          <w:sz w:val="28"/>
          <w:szCs w:val="28"/>
        </w:rPr>
      </w:pPr>
      <w:r>
        <w:rPr>
          <w:rFonts w:ascii="Corbel" w:hAnsi="Corbel" w:cs="Calibri"/>
          <w:b/>
          <w:color w:val="000000"/>
          <w:sz w:val="28"/>
          <w:szCs w:val="28"/>
        </w:rPr>
        <w:t>Senior Support</w:t>
      </w:r>
    </w:p>
    <w:p w:rsidR="007D2E45" w:rsidRDefault="00D07BC0" w:rsidP="00F205A5">
      <w:pPr>
        <w:pStyle w:val="ListParagraph"/>
        <w:numPr>
          <w:ilvl w:val="0"/>
          <w:numId w:val="13"/>
        </w:numPr>
        <w:tabs>
          <w:tab w:val="left" w:pos="76"/>
        </w:tabs>
        <w:spacing w:after="240"/>
        <w:ind w:left="76" w:hanging="360"/>
        <w:jc w:val="both"/>
        <w:rPr>
          <w:rFonts w:cs="Calibri"/>
          <w:color w:val="000000"/>
        </w:rPr>
      </w:pPr>
      <w:r>
        <w:rPr>
          <w:rFonts w:cs="Calibri"/>
          <w:color w:val="000000"/>
        </w:rPr>
        <w:t>Leaders across the whole organisation should be involved in order to support sustainable procurement in both devolved and central activities.</w:t>
      </w:r>
    </w:p>
    <w:p w:rsidR="00E2796D" w:rsidRDefault="00D07BC0">
      <w:pPr>
        <w:pStyle w:val="ListParagraph"/>
        <w:numPr>
          <w:ilvl w:val="0"/>
          <w:numId w:val="13"/>
        </w:numPr>
        <w:tabs>
          <w:tab w:val="left" w:pos="76"/>
        </w:tabs>
        <w:spacing w:after="0"/>
        <w:ind w:left="76" w:hanging="360"/>
        <w:jc w:val="both"/>
        <w:rPr>
          <w:rFonts w:cs="Calibri"/>
          <w:color w:val="000000"/>
        </w:rPr>
      </w:pPr>
      <w:r>
        <w:rPr>
          <w:rFonts w:cs="Calibri"/>
          <w:color w:val="000000"/>
        </w:rPr>
        <w:t>A senior member of procurement staff should be nominated to champion sustainable procurement over the collaborative departments.</w:t>
      </w:r>
    </w:p>
    <w:p w:rsidR="00E2796D" w:rsidRDefault="00D07BC0">
      <w:pPr>
        <w:pStyle w:val="Standard"/>
        <w:spacing w:before="480" w:after="240"/>
        <w:ind w:left="-284"/>
        <w:rPr>
          <w:rFonts w:ascii="Corbel" w:hAnsi="Corbel" w:cs="Calibri"/>
          <w:b/>
          <w:color w:val="000000"/>
          <w:sz w:val="28"/>
          <w:szCs w:val="28"/>
        </w:rPr>
      </w:pPr>
      <w:r>
        <w:rPr>
          <w:rFonts w:ascii="Corbel" w:hAnsi="Corbel" w:cs="Calibri"/>
          <w:b/>
          <w:color w:val="000000"/>
          <w:sz w:val="28"/>
          <w:szCs w:val="28"/>
        </w:rPr>
        <w:t>Training</w:t>
      </w:r>
    </w:p>
    <w:p w:rsidR="007D2E45" w:rsidRDefault="007D2E45" w:rsidP="00F205A5">
      <w:pPr>
        <w:pStyle w:val="ListParagraph"/>
        <w:numPr>
          <w:ilvl w:val="0"/>
          <w:numId w:val="13"/>
        </w:numPr>
        <w:tabs>
          <w:tab w:val="left" w:pos="76"/>
        </w:tabs>
        <w:spacing w:after="240"/>
        <w:ind w:left="76" w:hanging="360"/>
        <w:jc w:val="both"/>
        <w:rPr>
          <w:rFonts w:cs="Calibri"/>
          <w:color w:val="000000"/>
        </w:rPr>
      </w:pPr>
      <w:r>
        <w:rPr>
          <w:rFonts w:cs="Calibri"/>
          <w:color w:val="000000"/>
        </w:rPr>
        <w:t xml:space="preserve">Staff engaged </w:t>
      </w:r>
      <w:r w:rsidR="00F205A5">
        <w:rPr>
          <w:rFonts w:cs="Calibri"/>
          <w:color w:val="000000"/>
        </w:rPr>
        <w:t>in</w:t>
      </w:r>
      <w:r>
        <w:rPr>
          <w:rFonts w:cs="Calibri"/>
          <w:color w:val="000000"/>
        </w:rPr>
        <w:t xml:space="preserve"> procurement</w:t>
      </w:r>
      <w:r w:rsidR="00F205A5">
        <w:rPr>
          <w:rFonts w:cs="Calibri"/>
          <w:color w:val="000000"/>
        </w:rPr>
        <w:t xml:space="preserve"> activities</w:t>
      </w:r>
      <w:r>
        <w:rPr>
          <w:rFonts w:cs="Calibri"/>
          <w:color w:val="000000"/>
        </w:rPr>
        <w:t xml:space="preserve"> shall receive t</w:t>
      </w:r>
      <w:r w:rsidR="00D07BC0">
        <w:rPr>
          <w:rFonts w:cs="Calibri"/>
          <w:color w:val="000000"/>
        </w:rPr>
        <w:t>raining</w:t>
      </w:r>
      <w:r>
        <w:rPr>
          <w:rFonts w:cs="Calibri"/>
          <w:color w:val="000000"/>
        </w:rPr>
        <w:t xml:space="preserve"> </w:t>
      </w:r>
      <w:r w:rsidR="00F205A5">
        <w:rPr>
          <w:rFonts w:cs="Calibri"/>
          <w:color w:val="000000"/>
        </w:rPr>
        <w:t>to</w:t>
      </w:r>
      <w:r w:rsidR="00D07BC0">
        <w:rPr>
          <w:rFonts w:cs="Calibri"/>
          <w:color w:val="000000"/>
        </w:rPr>
        <w:t xml:space="preserve"> better understand the </w:t>
      </w:r>
      <w:r>
        <w:rPr>
          <w:rFonts w:cs="Calibri"/>
          <w:color w:val="000000"/>
        </w:rPr>
        <w:t>value</w:t>
      </w:r>
      <w:r w:rsidR="00D07BC0">
        <w:rPr>
          <w:rFonts w:cs="Calibri"/>
          <w:color w:val="000000"/>
        </w:rPr>
        <w:t xml:space="preserve"> </w:t>
      </w:r>
      <w:r>
        <w:rPr>
          <w:rFonts w:cs="Calibri"/>
          <w:color w:val="000000"/>
        </w:rPr>
        <w:t>of</w:t>
      </w:r>
      <w:r w:rsidR="00D07BC0">
        <w:rPr>
          <w:rFonts w:cs="Calibri"/>
          <w:color w:val="000000"/>
        </w:rPr>
        <w:t xml:space="preserve"> sustainable</w:t>
      </w:r>
      <w:r>
        <w:rPr>
          <w:rFonts w:cs="Calibri"/>
          <w:color w:val="000000"/>
        </w:rPr>
        <w:t xml:space="preserve"> procurement</w:t>
      </w:r>
      <w:r w:rsidR="00D07BC0">
        <w:rPr>
          <w:rFonts w:cs="Calibri"/>
          <w:color w:val="000000"/>
        </w:rPr>
        <w:t xml:space="preserve">. </w:t>
      </w:r>
    </w:p>
    <w:p w:rsidR="00E2796D" w:rsidRDefault="00237075">
      <w:pPr>
        <w:pStyle w:val="ListParagraph"/>
        <w:numPr>
          <w:ilvl w:val="0"/>
          <w:numId w:val="13"/>
        </w:numPr>
        <w:tabs>
          <w:tab w:val="left" w:pos="76"/>
        </w:tabs>
        <w:spacing w:after="0"/>
        <w:ind w:left="76" w:hanging="360"/>
        <w:jc w:val="both"/>
        <w:rPr>
          <w:rFonts w:cs="Calibri"/>
          <w:color w:val="000000"/>
        </w:rPr>
      </w:pPr>
      <w:r>
        <w:rPr>
          <w:rFonts w:cs="Calibri"/>
          <w:color w:val="000000"/>
        </w:rPr>
        <w:t>Local, Small and</w:t>
      </w:r>
      <w:r w:rsidR="007D2E45">
        <w:rPr>
          <w:rFonts w:cs="Calibri"/>
          <w:color w:val="000000"/>
        </w:rPr>
        <w:t xml:space="preserve"> Medium sized Enterprises (SMEs) will receive training and</w:t>
      </w:r>
      <w:r w:rsidR="00D07BC0">
        <w:rPr>
          <w:rFonts w:cs="Calibri"/>
          <w:color w:val="000000"/>
        </w:rPr>
        <w:t xml:space="preserve"> will become better equipped to meet the requirements of local authority and external contracts through this training.</w:t>
      </w:r>
      <w:r w:rsidR="004E67CD">
        <w:rPr>
          <w:rFonts w:cs="Calibri"/>
          <w:color w:val="000000"/>
        </w:rPr>
        <w:t xml:space="preserve"> This will build on the training delivered through the South West Sustainable Procuremen</w:t>
      </w:r>
      <w:r w:rsidR="00222EEF">
        <w:rPr>
          <w:rFonts w:cs="Calibri"/>
          <w:color w:val="000000"/>
        </w:rPr>
        <w:t>t Network during 2009-</w:t>
      </w:r>
      <w:r w:rsidR="004E67CD">
        <w:rPr>
          <w:rFonts w:cs="Calibri"/>
          <w:color w:val="000000"/>
        </w:rPr>
        <w:t>2011.</w:t>
      </w:r>
    </w:p>
    <w:p w:rsidR="00E2796D" w:rsidRDefault="00D07BC0">
      <w:pPr>
        <w:pStyle w:val="Standard"/>
        <w:spacing w:before="480" w:after="240"/>
        <w:ind w:left="-284"/>
        <w:rPr>
          <w:rFonts w:ascii="Corbel" w:hAnsi="Corbel" w:cs="Calibri"/>
          <w:b/>
          <w:color w:val="000000"/>
          <w:sz w:val="28"/>
          <w:szCs w:val="28"/>
        </w:rPr>
      </w:pPr>
      <w:r>
        <w:rPr>
          <w:rFonts w:ascii="Corbel" w:hAnsi="Corbel" w:cs="Calibri"/>
          <w:b/>
          <w:color w:val="000000"/>
          <w:sz w:val="28"/>
          <w:szCs w:val="28"/>
        </w:rPr>
        <w:t>Identify Savings &amp; Challenge Demand</w:t>
      </w:r>
    </w:p>
    <w:p w:rsidR="00E2796D" w:rsidRDefault="00D07BC0">
      <w:pPr>
        <w:pStyle w:val="ListParagraph"/>
        <w:numPr>
          <w:ilvl w:val="0"/>
          <w:numId w:val="13"/>
        </w:numPr>
        <w:tabs>
          <w:tab w:val="left" w:pos="76"/>
        </w:tabs>
        <w:spacing w:after="240"/>
        <w:ind w:left="73" w:hanging="357"/>
        <w:jc w:val="both"/>
        <w:rPr>
          <w:rFonts w:cs="Calibri"/>
          <w:color w:val="000000"/>
        </w:rPr>
      </w:pPr>
      <w:r>
        <w:rPr>
          <w:rFonts w:cs="Calibri"/>
          <w:color w:val="000000"/>
        </w:rPr>
        <w:t xml:space="preserve">The </w:t>
      </w:r>
      <w:r w:rsidR="00F45FA0">
        <w:rPr>
          <w:rFonts w:cs="Calibri"/>
          <w:color w:val="000000"/>
        </w:rPr>
        <w:t>authority</w:t>
      </w:r>
      <w:r>
        <w:rPr>
          <w:rFonts w:cs="Calibri"/>
          <w:color w:val="000000"/>
        </w:rPr>
        <w:t xml:space="preserve"> will continue to identify inefficient relationships between the outputs of the organisation and that of its inputs.</w:t>
      </w:r>
    </w:p>
    <w:p w:rsidR="00E2796D" w:rsidRDefault="00D07BC0">
      <w:pPr>
        <w:pStyle w:val="ListParagraph"/>
        <w:numPr>
          <w:ilvl w:val="0"/>
          <w:numId w:val="13"/>
        </w:numPr>
        <w:tabs>
          <w:tab w:val="left" w:pos="76"/>
        </w:tabs>
        <w:spacing w:after="240"/>
        <w:ind w:left="73" w:hanging="357"/>
        <w:jc w:val="both"/>
        <w:rPr>
          <w:rFonts w:cs="Calibri"/>
          <w:color w:val="000000"/>
        </w:rPr>
      </w:pPr>
      <w:r>
        <w:rPr>
          <w:rFonts w:cs="Calibri"/>
          <w:color w:val="000000"/>
        </w:rPr>
        <w:t>Through challenging the need of goods, works and services upon request for their purchase, money can be saved and unnecessary social and environmental impacts can be avoided.</w:t>
      </w:r>
    </w:p>
    <w:p w:rsidR="00E2796D" w:rsidRDefault="00D07BC0">
      <w:pPr>
        <w:pStyle w:val="ListParagraph"/>
        <w:numPr>
          <w:ilvl w:val="0"/>
          <w:numId w:val="13"/>
        </w:numPr>
        <w:tabs>
          <w:tab w:val="left" w:pos="76"/>
        </w:tabs>
        <w:spacing w:after="240"/>
        <w:ind w:left="73" w:hanging="357"/>
        <w:jc w:val="both"/>
        <w:rPr>
          <w:rFonts w:cs="Calibri"/>
          <w:color w:val="000000"/>
        </w:rPr>
      </w:pPr>
      <w:r>
        <w:rPr>
          <w:rFonts w:cs="Calibri"/>
          <w:color w:val="000000"/>
        </w:rPr>
        <w:t>All staff should identify ways to reduce costs through encouraging engagement between all the relevant parties of the procurement process.</w:t>
      </w:r>
    </w:p>
    <w:p w:rsidR="00222EEF" w:rsidRDefault="00222EEF" w:rsidP="00222EEF">
      <w:pPr>
        <w:pStyle w:val="ListParagraph"/>
        <w:tabs>
          <w:tab w:val="left" w:pos="76"/>
        </w:tabs>
        <w:spacing w:after="0"/>
        <w:ind w:left="-284"/>
        <w:jc w:val="both"/>
        <w:rPr>
          <w:rFonts w:cs="Calibri"/>
          <w:color w:val="000000"/>
        </w:rPr>
      </w:pPr>
    </w:p>
    <w:p w:rsidR="00E2796D" w:rsidRDefault="00D07BC0">
      <w:pPr>
        <w:pStyle w:val="ListParagraph"/>
        <w:numPr>
          <w:ilvl w:val="0"/>
          <w:numId w:val="13"/>
        </w:numPr>
        <w:tabs>
          <w:tab w:val="left" w:pos="76"/>
        </w:tabs>
        <w:spacing w:after="240"/>
        <w:ind w:left="73" w:hanging="357"/>
        <w:jc w:val="both"/>
        <w:rPr>
          <w:rFonts w:cs="Calibri"/>
          <w:color w:val="000000"/>
        </w:rPr>
      </w:pPr>
      <w:r>
        <w:rPr>
          <w:rFonts w:cs="Calibri"/>
          <w:color w:val="000000"/>
        </w:rPr>
        <w:t xml:space="preserve">The whole-life cost of goods, works and services </w:t>
      </w:r>
      <w:r w:rsidR="00C961D6">
        <w:rPr>
          <w:rFonts w:cs="Calibri"/>
          <w:color w:val="000000"/>
        </w:rPr>
        <w:t xml:space="preserve">should </w:t>
      </w:r>
      <w:r>
        <w:rPr>
          <w:rFonts w:cs="Calibri"/>
          <w:color w:val="000000"/>
        </w:rPr>
        <w:t>be considered when researching and reviewing the procurement of a product and assessing value for money.</w:t>
      </w:r>
    </w:p>
    <w:p w:rsidR="005319EB" w:rsidRPr="00A51A9D" w:rsidRDefault="00D07BC0" w:rsidP="005319EB">
      <w:pPr>
        <w:pStyle w:val="ListParagraph"/>
        <w:numPr>
          <w:ilvl w:val="0"/>
          <w:numId w:val="13"/>
        </w:numPr>
        <w:tabs>
          <w:tab w:val="left" w:pos="76"/>
        </w:tabs>
        <w:spacing w:after="240"/>
        <w:ind w:left="73" w:hanging="357"/>
        <w:jc w:val="both"/>
        <w:rPr>
          <w:rFonts w:cs="Calibri"/>
          <w:color w:val="000000"/>
        </w:rPr>
      </w:pPr>
      <w:r w:rsidRPr="00A51A9D">
        <w:rPr>
          <w:rFonts w:cs="Calibri"/>
          <w:color w:val="000000"/>
        </w:rPr>
        <w:t>The demand for goods and services can be reduced by cutting down on waste, and encouraging re-use and re-cycling.</w:t>
      </w:r>
    </w:p>
    <w:p w:rsidR="00E2796D" w:rsidRDefault="00D07BC0">
      <w:pPr>
        <w:pStyle w:val="Standard"/>
        <w:spacing w:before="480" w:after="240"/>
        <w:ind w:left="-284"/>
        <w:rPr>
          <w:rFonts w:ascii="Corbel" w:hAnsi="Corbel" w:cs="Calibri"/>
          <w:b/>
          <w:color w:val="000000"/>
          <w:sz w:val="28"/>
          <w:szCs w:val="28"/>
        </w:rPr>
      </w:pPr>
      <w:r>
        <w:rPr>
          <w:rFonts w:ascii="Corbel" w:hAnsi="Corbel" w:cs="Calibri"/>
          <w:b/>
          <w:color w:val="000000"/>
          <w:sz w:val="28"/>
          <w:szCs w:val="28"/>
        </w:rPr>
        <w:t>Market and Community Deve</w:t>
      </w:r>
      <w:r w:rsidR="00293408">
        <w:rPr>
          <w:rFonts w:ascii="Corbel" w:hAnsi="Corbel" w:cs="Calibri"/>
          <w:b/>
          <w:color w:val="000000"/>
          <w:sz w:val="28"/>
          <w:szCs w:val="28"/>
        </w:rPr>
        <w:t>l</w:t>
      </w:r>
      <w:r>
        <w:rPr>
          <w:rFonts w:ascii="Corbel" w:hAnsi="Corbel" w:cs="Calibri"/>
          <w:b/>
          <w:color w:val="000000"/>
          <w:sz w:val="28"/>
          <w:szCs w:val="28"/>
        </w:rPr>
        <w:t>opment</w:t>
      </w:r>
    </w:p>
    <w:p w:rsidR="00986EDD" w:rsidRDefault="00F45FA0" w:rsidP="00986EDD">
      <w:pPr>
        <w:pStyle w:val="ListParagraph"/>
        <w:numPr>
          <w:ilvl w:val="0"/>
          <w:numId w:val="13"/>
        </w:numPr>
        <w:tabs>
          <w:tab w:val="left" w:pos="76"/>
        </w:tabs>
        <w:spacing w:after="240"/>
        <w:ind w:left="73" w:hanging="357"/>
        <w:jc w:val="both"/>
        <w:rPr>
          <w:rFonts w:cs="Calibri"/>
          <w:color w:val="000000"/>
        </w:rPr>
      </w:pPr>
      <w:r>
        <w:rPr>
          <w:rFonts w:cs="Calibri"/>
          <w:color w:val="000000"/>
        </w:rPr>
        <w:t>B&amp;NES</w:t>
      </w:r>
      <w:r w:rsidR="00293408">
        <w:rPr>
          <w:rFonts w:cs="Calibri"/>
          <w:color w:val="000000"/>
        </w:rPr>
        <w:t xml:space="preserve"> </w:t>
      </w:r>
      <w:r w:rsidR="00986EDD">
        <w:rPr>
          <w:rFonts w:cs="Calibri"/>
          <w:color w:val="000000"/>
        </w:rPr>
        <w:t>will support and expand the local economy by equipping SMEs and local business with the skills necessary to compete for Local Authority contracts.</w:t>
      </w:r>
      <w:r w:rsidR="006401C0">
        <w:rPr>
          <w:rFonts w:cs="Calibri"/>
          <w:color w:val="000000"/>
        </w:rPr>
        <w:t xml:space="preserve"> </w:t>
      </w:r>
    </w:p>
    <w:p w:rsidR="00E2796D" w:rsidRDefault="00D07BC0">
      <w:pPr>
        <w:pStyle w:val="ListParagraph"/>
        <w:numPr>
          <w:ilvl w:val="0"/>
          <w:numId w:val="13"/>
        </w:numPr>
        <w:tabs>
          <w:tab w:val="left" w:pos="76"/>
        </w:tabs>
        <w:spacing w:after="240"/>
        <w:ind w:left="73" w:hanging="357"/>
        <w:jc w:val="both"/>
        <w:rPr>
          <w:rFonts w:cs="Calibri"/>
          <w:color w:val="000000"/>
          <w:sz w:val="20"/>
          <w:szCs w:val="20"/>
        </w:rPr>
      </w:pPr>
      <w:r>
        <w:rPr>
          <w:rFonts w:cs="Calibri"/>
          <w:color w:val="000000"/>
        </w:rPr>
        <w:t xml:space="preserve">The </w:t>
      </w:r>
      <w:hyperlink r:id="rId15" w:history="1">
        <w:r>
          <w:rPr>
            <w:rFonts w:cs="Calibri"/>
            <w:color w:val="000000"/>
          </w:rPr>
          <w:t>‘Small Business (SME) Friendly Concordat’</w:t>
        </w:r>
      </w:hyperlink>
      <w:r>
        <w:rPr>
          <w:rFonts w:cs="Calibri"/>
          <w:color w:val="000000"/>
        </w:rPr>
        <w:t xml:space="preserve"> signed by </w:t>
      </w:r>
      <w:r w:rsidR="00F45FA0">
        <w:rPr>
          <w:rFonts w:cs="Calibri"/>
          <w:color w:val="000000"/>
        </w:rPr>
        <w:t>B&amp;NES</w:t>
      </w:r>
      <w:r w:rsidR="00293408">
        <w:rPr>
          <w:rFonts w:cs="Calibri"/>
          <w:color w:val="000000"/>
        </w:rPr>
        <w:t xml:space="preserve"> </w:t>
      </w:r>
      <w:r>
        <w:rPr>
          <w:rFonts w:cs="Calibri"/>
          <w:color w:val="000000"/>
        </w:rPr>
        <w:t>will be adhered to, making it easier for small companies to tender for the wide range of contracts awarded.</w:t>
      </w:r>
      <w:r w:rsidR="00F205A5">
        <w:rPr>
          <w:rFonts w:cs="Calibri"/>
          <w:color w:val="000000"/>
        </w:rPr>
        <w:t xml:space="preserve"> </w:t>
      </w:r>
    </w:p>
    <w:p w:rsidR="00E2796D" w:rsidRDefault="00D07BC0">
      <w:pPr>
        <w:pStyle w:val="ListParagraph"/>
        <w:numPr>
          <w:ilvl w:val="0"/>
          <w:numId w:val="13"/>
        </w:numPr>
        <w:tabs>
          <w:tab w:val="left" w:pos="76"/>
        </w:tabs>
        <w:spacing w:after="240"/>
        <w:ind w:left="73" w:hanging="357"/>
        <w:jc w:val="both"/>
        <w:rPr>
          <w:rFonts w:cs="Calibri"/>
          <w:color w:val="000000"/>
        </w:rPr>
      </w:pPr>
      <w:r>
        <w:rPr>
          <w:rFonts w:cs="Calibri"/>
          <w:color w:val="000000"/>
        </w:rPr>
        <w:t xml:space="preserve">Prompt payment to SMEs is essential in the current economic climate, adhering to the payment time outlined in the terms and conditions of the contract is </w:t>
      </w:r>
      <w:proofErr w:type="gramStart"/>
      <w:r>
        <w:rPr>
          <w:rFonts w:cs="Calibri"/>
          <w:color w:val="000000"/>
        </w:rPr>
        <w:t>key</w:t>
      </w:r>
      <w:proofErr w:type="gramEnd"/>
      <w:r>
        <w:rPr>
          <w:rFonts w:cs="Calibri"/>
          <w:color w:val="000000"/>
        </w:rPr>
        <w:t xml:space="preserve">. This is in line with the ‘Prompt Payment Code’ signed by </w:t>
      </w:r>
      <w:r w:rsidR="00F45FA0">
        <w:rPr>
          <w:rFonts w:cs="Calibri"/>
          <w:color w:val="000000"/>
        </w:rPr>
        <w:t>B&amp;NES</w:t>
      </w:r>
      <w:r w:rsidR="00293408">
        <w:rPr>
          <w:rFonts w:cs="Calibri"/>
          <w:color w:val="000000"/>
        </w:rPr>
        <w:t xml:space="preserve"> </w:t>
      </w:r>
      <w:r>
        <w:rPr>
          <w:rFonts w:cs="Calibri"/>
          <w:color w:val="000000"/>
        </w:rPr>
        <w:t>in 2010.</w:t>
      </w:r>
    </w:p>
    <w:p w:rsidR="00E2796D" w:rsidRDefault="00D07BC0">
      <w:pPr>
        <w:pStyle w:val="ListParagraph"/>
        <w:numPr>
          <w:ilvl w:val="0"/>
          <w:numId w:val="13"/>
        </w:numPr>
        <w:tabs>
          <w:tab w:val="left" w:pos="76"/>
        </w:tabs>
        <w:spacing w:after="240"/>
        <w:ind w:left="73" w:hanging="357"/>
        <w:jc w:val="both"/>
        <w:rPr>
          <w:rFonts w:cs="Calibri"/>
          <w:color w:val="000000"/>
        </w:rPr>
      </w:pPr>
      <w:r>
        <w:rPr>
          <w:rFonts w:cs="Calibri"/>
          <w:color w:val="000000"/>
        </w:rPr>
        <w:t xml:space="preserve">The </w:t>
      </w:r>
      <w:r w:rsidR="00C961D6">
        <w:rPr>
          <w:rFonts w:cs="Calibri"/>
          <w:color w:val="000000"/>
        </w:rPr>
        <w:t xml:space="preserve">authority </w:t>
      </w:r>
      <w:r>
        <w:rPr>
          <w:rFonts w:cs="Calibri"/>
          <w:color w:val="000000"/>
        </w:rPr>
        <w:t>should seek to divide up contract</w:t>
      </w:r>
      <w:r w:rsidR="006401C0">
        <w:rPr>
          <w:rFonts w:cs="Calibri"/>
          <w:color w:val="000000"/>
        </w:rPr>
        <w:t>s</w:t>
      </w:r>
      <w:r>
        <w:rPr>
          <w:rFonts w:cs="Calibri"/>
          <w:color w:val="000000"/>
        </w:rPr>
        <w:t xml:space="preserve"> </w:t>
      </w:r>
      <w:r w:rsidR="006401C0">
        <w:rPr>
          <w:rFonts w:cs="Calibri"/>
          <w:color w:val="000000"/>
        </w:rPr>
        <w:t xml:space="preserve">into lots, where </w:t>
      </w:r>
      <w:r w:rsidR="0039090C">
        <w:rPr>
          <w:rFonts w:cs="Calibri"/>
          <w:color w:val="000000"/>
        </w:rPr>
        <w:t>applicable;</w:t>
      </w:r>
      <w:r w:rsidR="006401C0">
        <w:rPr>
          <w:rFonts w:cs="Calibri"/>
          <w:color w:val="000000"/>
        </w:rPr>
        <w:t xml:space="preserve"> </w:t>
      </w:r>
      <w:r>
        <w:rPr>
          <w:rFonts w:cs="Calibri"/>
          <w:color w:val="000000"/>
        </w:rPr>
        <w:t xml:space="preserve">so that SMEs are able to compete with larger businesses and aid the </w:t>
      </w:r>
      <w:r w:rsidR="00F45FA0">
        <w:rPr>
          <w:rFonts w:cs="Calibri"/>
          <w:color w:val="000000"/>
        </w:rPr>
        <w:t>authority</w:t>
      </w:r>
      <w:r w:rsidR="006F214B">
        <w:rPr>
          <w:rFonts w:cs="Calibri"/>
          <w:color w:val="000000"/>
        </w:rPr>
        <w:t xml:space="preserve"> to</w:t>
      </w:r>
      <w:r>
        <w:rPr>
          <w:rFonts w:cs="Calibri"/>
          <w:color w:val="000000"/>
        </w:rPr>
        <w:t xml:space="preserve"> achieve better value for money.</w:t>
      </w:r>
    </w:p>
    <w:p w:rsidR="00E2796D" w:rsidRDefault="00E17B15">
      <w:pPr>
        <w:pStyle w:val="ListParagraph"/>
        <w:numPr>
          <w:ilvl w:val="0"/>
          <w:numId w:val="13"/>
        </w:numPr>
        <w:tabs>
          <w:tab w:val="left" w:pos="76"/>
        </w:tabs>
        <w:spacing w:after="240"/>
        <w:ind w:left="73" w:hanging="357"/>
        <w:jc w:val="both"/>
        <w:rPr>
          <w:rFonts w:cs="Calibri"/>
          <w:color w:val="000000"/>
        </w:rPr>
      </w:pPr>
      <w:r>
        <w:rPr>
          <w:rFonts w:cs="Calibri"/>
          <w:color w:val="000000"/>
        </w:rPr>
        <w:t xml:space="preserve">The </w:t>
      </w:r>
      <w:r w:rsidR="00F45FA0">
        <w:rPr>
          <w:rFonts w:cs="Calibri"/>
          <w:color w:val="000000"/>
        </w:rPr>
        <w:t>authority</w:t>
      </w:r>
      <w:r>
        <w:rPr>
          <w:rFonts w:cs="Calibri"/>
          <w:color w:val="000000"/>
        </w:rPr>
        <w:t xml:space="preserve"> should encourage c</w:t>
      </w:r>
      <w:r w:rsidR="00D07BC0">
        <w:rPr>
          <w:rFonts w:cs="Calibri"/>
          <w:color w:val="000000"/>
        </w:rPr>
        <w:t xml:space="preserve">o-operation between </w:t>
      </w:r>
      <w:r>
        <w:rPr>
          <w:rFonts w:cs="Calibri"/>
          <w:color w:val="000000"/>
        </w:rPr>
        <w:t xml:space="preserve">local small and medium sized </w:t>
      </w:r>
      <w:r w:rsidR="00D07BC0">
        <w:rPr>
          <w:rFonts w:cs="Calibri"/>
          <w:color w:val="000000"/>
        </w:rPr>
        <w:t>businesses in order to compete for larger contracts.</w:t>
      </w:r>
    </w:p>
    <w:p w:rsidR="007C5878" w:rsidRDefault="00D07BC0" w:rsidP="007C5878">
      <w:pPr>
        <w:pStyle w:val="ListParagraph"/>
        <w:numPr>
          <w:ilvl w:val="0"/>
          <w:numId w:val="13"/>
        </w:numPr>
        <w:tabs>
          <w:tab w:val="left" w:pos="76"/>
        </w:tabs>
        <w:spacing w:after="120"/>
        <w:ind w:left="73" w:hanging="357"/>
        <w:jc w:val="both"/>
        <w:rPr>
          <w:rFonts w:cs="Calibri"/>
          <w:color w:val="000000"/>
        </w:rPr>
      </w:pPr>
      <w:r>
        <w:rPr>
          <w:rFonts w:cs="Calibri"/>
          <w:color w:val="000000"/>
        </w:rPr>
        <w:t>Encourage uptake of local apprentices and long-term unemployed in contr</w:t>
      </w:r>
      <w:r w:rsidR="006401C0">
        <w:rPr>
          <w:rFonts w:cs="Calibri"/>
          <w:color w:val="000000"/>
        </w:rPr>
        <w:t xml:space="preserve">acted organisations. This </w:t>
      </w:r>
      <w:r>
        <w:rPr>
          <w:rFonts w:cs="Calibri"/>
          <w:color w:val="000000"/>
        </w:rPr>
        <w:t>will increase a person’s contribution to the local economy, decrease dependence on Jobseekers Allowance and generate income for the public sector in the form of tax and National Insurance payments.</w:t>
      </w:r>
    </w:p>
    <w:p w:rsidR="00E17B15" w:rsidRDefault="00E17B15" w:rsidP="007C5878">
      <w:pPr>
        <w:pStyle w:val="ListParagraph"/>
        <w:numPr>
          <w:ilvl w:val="1"/>
          <w:numId w:val="13"/>
        </w:numPr>
        <w:tabs>
          <w:tab w:val="left" w:pos="644"/>
        </w:tabs>
        <w:spacing w:after="240"/>
        <w:ind w:left="644" w:hanging="360"/>
        <w:jc w:val="both"/>
        <w:rPr>
          <w:rFonts w:cs="Calibri"/>
          <w:color w:val="000000"/>
        </w:rPr>
      </w:pPr>
      <w:r w:rsidRPr="007C5878">
        <w:rPr>
          <w:rFonts w:cs="Calibri"/>
          <w:color w:val="000000"/>
        </w:rPr>
        <w:t>Improving local skills through schemes such as the Low Carbon Skills Academy will enable</w:t>
      </w:r>
      <w:r w:rsidR="007C5878" w:rsidRPr="007C5878">
        <w:rPr>
          <w:rFonts w:cs="Calibri"/>
          <w:color w:val="000000"/>
        </w:rPr>
        <w:t xml:space="preserve"> local people and businesses to obtain the skills necessary to compete for contracts in connection with The Green Deal.</w:t>
      </w:r>
    </w:p>
    <w:p w:rsidR="00E2796D" w:rsidRDefault="006401C0">
      <w:pPr>
        <w:pStyle w:val="ListParagraph"/>
        <w:numPr>
          <w:ilvl w:val="0"/>
          <w:numId w:val="13"/>
        </w:numPr>
        <w:tabs>
          <w:tab w:val="left" w:pos="76"/>
        </w:tabs>
        <w:spacing w:after="240"/>
        <w:ind w:left="73" w:hanging="357"/>
        <w:jc w:val="both"/>
        <w:rPr>
          <w:rFonts w:cs="Calibri"/>
          <w:color w:val="000000"/>
        </w:rPr>
      </w:pPr>
      <w:r>
        <w:rPr>
          <w:rFonts w:cs="Calibri"/>
          <w:color w:val="000000"/>
        </w:rPr>
        <w:t>Where appropriate, b</w:t>
      </w:r>
      <w:r w:rsidR="00D07BC0">
        <w:rPr>
          <w:rFonts w:cs="Calibri"/>
          <w:color w:val="000000"/>
        </w:rPr>
        <w:t>idders should have the ability to submit optional, priced proposals for the delivery of community benefits, as long as they are relevant to the contract and the authority’s community plan.</w:t>
      </w:r>
    </w:p>
    <w:p w:rsidR="00E2796D" w:rsidRDefault="00D07BC0">
      <w:pPr>
        <w:pStyle w:val="ListParagraph"/>
        <w:numPr>
          <w:ilvl w:val="0"/>
          <w:numId w:val="13"/>
        </w:numPr>
        <w:tabs>
          <w:tab w:val="left" w:pos="76"/>
        </w:tabs>
        <w:spacing w:after="0"/>
        <w:ind w:left="76" w:hanging="360"/>
        <w:jc w:val="both"/>
        <w:rPr>
          <w:rFonts w:cs="Calibri"/>
          <w:color w:val="000000"/>
        </w:rPr>
      </w:pPr>
      <w:r>
        <w:rPr>
          <w:rFonts w:cs="Calibri"/>
          <w:color w:val="000000"/>
        </w:rPr>
        <w:t xml:space="preserve">The </w:t>
      </w:r>
      <w:r w:rsidR="00F45FA0">
        <w:rPr>
          <w:rFonts w:cs="Calibri"/>
          <w:color w:val="000000"/>
        </w:rPr>
        <w:t>authority</w:t>
      </w:r>
      <w:r>
        <w:rPr>
          <w:rFonts w:cs="Calibri"/>
          <w:color w:val="000000"/>
        </w:rPr>
        <w:t xml:space="preserve"> should host supplier networking events so that the </w:t>
      </w:r>
      <w:r w:rsidR="00F45FA0">
        <w:rPr>
          <w:rFonts w:cs="Calibri"/>
          <w:color w:val="000000"/>
        </w:rPr>
        <w:t>authority</w:t>
      </w:r>
      <w:r>
        <w:rPr>
          <w:rFonts w:cs="Calibri"/>
          <w:color w:val="000000"/>
        </w:rPr>
        <w:t xml:space="preserve"> and suppliers can better understand the </w:t>
      </w:r>
      <w:r w:rsidR="007C5878">
        <w:rPr>
          <w:rFonts w:cs="Calibri"/>
          <w:color w:val="000000"/>
        </w:rPr>
        <w:t>needs and wants of contracts</w:t>
      </w:r>
      <w:r>
        <w:rPr>
          <w:rFonts w:cs="Calibri"/>
          <w:color w:val="000000"/>
        </w:rPr>
        <w:t xml:space="preserve"> so that supply chains can be developed and diversified.</w:t>
      </w:r>
    </w:p>
    <w:p w:rsidR="00A51A9D" w:rsidRDefault="00A51A9D" w:rsidP="00A51A9D">
      <w:pPr>
        <w:tabs>
          <w:tab w:val="left" w:pos="76"/>
        </w:tabs>
        <w:jc w:val="both"/>
        <w:rPr>
          <w:rFonts w:cs="Calibri"/>
          <w:color w:val="000000"/>
        </w:rPr>
      </w:pPr>
    </w:p>
    <w:p w:rsidR="00A51A9D" w:rsidRPr="00A51A9D" w:rsidRDefault="00A51A9D" w:rsidP="00A51A9D">
      <w:pPr>
        <w:tabs>
          <w:tab w:val="left" w:pos="76"/>
        </w:tabs>
        <w:jc w:val="both"/>
        <w:rPr>
          <w:rFonts w:cs="Calibri"/>
          <w:color w:val="000000"/>
        </w:rPr>
      </w:pPr>
    </w:p>
    <w:p w:rsidR="00E2796D" w:rsidRDefault="00D07BC0">
      <w:pPr>
        <w:pStyle w:val="Standard"/>
        <w:spacing w:before="480" w:after="240"/>
        <w:ind w:left="-284"/>
        <w:rPr>
          <w:rFonts w:ascii="Corbel" w:hAnsi="Corbel" w:cs="Calibri"/>
          <w:b/>
          <w:color w:val="000000"/>
          <w:sz w:val="28"/>
          <w:szCs w:val="28"/>
        </w:rPr>
      </w:pPr>
      <w:r>
        <w:rPr>
          <w:rFonts w:ascii="Corbel" w:hAnsi="Corbel" w:cs="Calibri"/>
          <w:b/>
          <w:color w:val="000000"/>
          <w:sz w:val="28"/>
          <w:szCs w:val="28"/>
        </w:rPr>
        <w:t>The Localism Act and the Right to Challenge</w:t>
      </w:r>
    </w:p>
    <w:p w:rsidR="00E2796D" w:rsidRDefault="00D07BC0" w:rsidP="005A49AD">
      <w:pPr>
        <w:pStyle w:val="ListParagraph"/>
        <w:numPr>
          <w:ilvl w:val="0"/>
          <w:numId w:val="13"/>
        </w:numPr>
        <w:tabs>
          <w:tab w:val="left" w:pos="76"/>
        </w:tabs>
        <w:spacing w:after="120"/>
        <w:ind w:left="73" w:hanging="357"/>
        <w:jc w:val="both"/>
        <w:rPr>
          <w:rFonts w:cs="Calibri"/>
          <w:color w:val="000000"/>
        </w:rPr>
      </w:pPr>
      <w:r>
        <w:rPr>
          <w:rFonts w:cs="Calibri"/>
          <w:color w:val="000000"/>
        </w:rPr>
        <w:t xml:space="preserve">Through the Localism Act, the </w:t>
      </w:r>
      <w:r w:rsidR="00F45FA0">
        <w:rPr>
          <w:rFonts w:cs="Calibri"/>
          <w:color w:val="000000"/>
        </w:rPr>
        <w:t>authority</w:t>
      </w:r>
      <w:r>
        <w:rPr>
          <w:rFonts w:cs="Calibri"/>
          <w:color w:val="000000"/>
        </w:rPr>
        <w:t xml:space="preserve"> will enable voluntary organisations, community bodies and employees of the authority that wish to form a mutual organisation to deliver services, and parish councils to express an interest in running a local authority service. The </w:t>
      </w:r>
      <w:r w:rsidR="00F45FA0">
        <w:rPr>
          <w:rFonts w:cs="Calibri"/>
          <w:color w:val="000000"/>
        </w:rPr>
        <w:t>authority</w:t>
      </w:r>
      <w:r>
        <w:rPr>
          <w:rFonts w:cs="Calibri"/>
          <w:color w:val="000000"/>
        </w:rPr>
        <w:t xml:space="preserve">, as a local authority </w:t>
      </w:r>
      <w:r w:rsidR="00293408">
        <w:rPr>
          <w:rFonts w:cs="Calibri"/>
          <w:color w:val="000000"/>
        </w:rPr>
        <w:t>is</w:t>
      </w:r>
      <w:r>
        <w:rPr>
          <w:rFonts w:cs="Calibri"/>
          <w:color w:val="000000"/>
        </w:rPr>
        <w:t xml:space="preserve"> under a duty to consider expressions of interest, and, where accepted, run a procurement exercise for the service. It should be noted that there is a specific window in which challenges can be made</w:t>
      </w:r>
      <w:r w:rsidR="005A49AD">
        <w:rPr>
          <w:rFonts w:cs="Calibri"/>
          <w:color w:val="000000"/>
        </w:rPr>
        <w:t xml:space="preserve"> (see </w:t>
      </w:r>
      <w:r w:rsidR="005A49AD" w:rsidRPr="005A49AD">
        <w:rPr>
          <w:rFonts w:cs="Calibri"/>
          <w:color w:val="000000"/>
        </w:rPr>
        <w:t>http://www.bathnes.gov.uk/services/business/selling-council/right-challenge-0</w:t>
      </w:r>
      <w:r w:rsidR="005A49AD">
        <w:rPr>
          <w:rFonts w:cs="Calibri"/>
          <w:color w:val="000000"/>
        </w:rPr>
        <w:t>)</w:t>
      </w:r>
    </w:p>
    <w:p w:rsidR="00E2796D" w:rsidRPr="006401C0" w:rsidRDefault="00D07BC0" w:rsidP="006401C0">
      <w:pPr>
        <w:pStyle w:val="Standard"/>
        <w:spacing w:before="480" w:after="240"/>
        <w:ind w:left="-284"/>
        <w:rPr>
          <w:rFonts w:cs="Calibri"/>
          <w:color w:val="000000"/>
        </w:rPr>
      </w:pPr>
      <w:r w:rsidRPr="006401C0">
        <w:rPr>
          <w:rFonts w:ascii="Corbel" w:hAnsi="Corbel" w:cs="Calibri"/>
          <w:b/>
          <w:color w:val="000000"/>
          <w:sz w:val="28"/>
          <w:szCs w:val="28"/>
        </w:rPr>
        <w:lastRenderedPageBreak/>
        <w:t>Specify</w:t>
      </w:r>
    </w:p>
    <w:p w:rsidR="00E2796D" w:rsidRPr="006401C0" w:rsidRDefault="00D07BC0" w:rsidP="007C5878">
      <w:pPr>
        <w:pStyle w:val="ListParagraph"/>
        <w:numPr>
          <w:ilvl w:val="0"/>
          <w:numId w:val="13"/>
        </w:numPr>
        <w:tabs>
          <w:tab w:val="left" w:pos="76"/>
        </w:tabs>
        <w:spacing w:after="240"/>
        <w:ind w:left="73" w:hanging="357"/>
        <w:jc w:val="both"/>
        <w:rPr>
          <w:rFonts w:cs="Calibri"/>
          <w:color w:val="000000"/>
        </w:rPr>
      </w:pPr>
      <w:r w:rsidRPr="006401C0">
        <w:rPr>
          <w:rFonts w:cs="Calibri"/>
          <w:color w:val="000000"/>
        </w:rPr>
        <w:t xml:space="preserve">Sustainability criteria </w:t>
      </w:r>
      <w:r w:rsidR="007C5878">
        <w:rPr>
          <w:rFonts w:cs="Calibri"/>
          <w:color w:val="000000"/>
        </w:rPr>
        <w:t>are integral to producing a</w:t>
      </w:r>
      <w:r w:rsidRPr="006401C0">
        <w:rPr>
          <w:rFonts w:cs="Calibri"/>
          <w:color w:val="000000"/>
        </w:rPr>
        <w:t xml:space="preserve"> </w:t>
      </w:r>
      <w:r w:rsidR="00EF2451" w:rsidRPr="006401C0">
        <w:rPr>
          <w:rFonts w:cs="Calibri"/>
          <w:color w:val="000000"/>
        </w:rPr>
        <w:t>specification</w:t>
      </w:r>
      <w:r w:rsidR="00EF2451">
        <w:rPr>
          <w:rFonts w:cs="Calibri"/>
          <w:color w:val="000000"/>
        </w:rPr>
        <w:t>;</w:t>
      </w:r>
      <w:r w:rsidRPr="006401C0">
        <w:rPr>
          <w:rFonts w:cs="Calibri"/>
          <w:color w:val="000000"/>
        </w:rPr>
        <w:t xml:space="preserve"> it may be too late to apply these requirements later in the procurement process.</w:t>
      </w:r>
    </w:p>
    <w:p w:rsidR="00E2796D" w:rsidRPr="00043D37" w:rsidRDefault="00D07BC0" w:rsidP="00043D37">
      <w:pPr>
        <w:pStyle w:val="ListParagraph"/>
        <w:numPr>
          <w:ilvl w:val="0"/>
          <w:numId w:val="13"/>
        </w:numPr>
        <w:tabs>
          <w:tab w:val="left" w:pos="76"/>
        </w:tabs>
        <w:spacing w:after="120"/>
        <w:ind w:left="73" w:hanging="357"/>
        <w:jc w:val="both"/>
        <w:rPr>
          <w:rFonts w:cs="Calibri"/>
          <w:color w:val="000000"/>
          <w:sz w:val="20"/>
          <w:szCs w:val="20"/>
        </w:rPr>
      </w:pPr>
      <w:r>
        <w:rPr>
          <w:rFonts w:cs="Calibri"/>
          <w:color w:val="000000"/>
        </w:rPr>
        <w:t>The least environmentally damaging goods and services will be purchased</w:t>
      </w:r>
    </w:p>
    <w:p w:rsidR="00043D37" w:rsidRPr="00043D37" w:rsidRDefault="00EF2451" w:rsidP="00043D37">
      <w:pPr>
        <w:pStyle w:val="ListParagraph"/>
        <w:numPr>
          <w:ilvl w:val="0"/>
          <w:numId w:val="4"/>
        </w:numPr>
        <w:tabs>
          <w:tab w:val="left" w:pos="644"/>
        </w:tabs>
        <w:spacing w:after="240"/>
        <w:ind w:left="644" w:hanging="360"/>
        <w:jc w:val="both"/>
        <w:rPr>
          <w:rFonts w:cs="Calibri"/>
        </w:rPr>
      </w:pPr>
      <w:r>
        <w:rPr>
          <w:rFonts w:cs="Calibri"/>
        </w:rPr>
        <w:t>T</w:t>
      </w:r>
      <w:r w:rsidR="00043D37" w:rsidRPr="00043D37">
        <w:rPr>
          <w:rFonts w:cs="Calibri"/>
        </w:rPr>
        <w:t xml:space="preserve">he </w:t>
      </w:r>
      <w:r w:rsidR="00F45FA0">
        <w:rPr>
          <w:rFonts w:cs="Calibri"/>
        </w:rPr>
        <w:t>authority</w:t>
      </w:r>
      <w:r w:rsidR="00043D37" w:rsidRPr="00043D37">
        <w:rPr>
          <w:rFonts w:cs="Calibri"/>
        </w:rPr>
        <w:t xml:space="preserve"> have pledged to use only Forest Stewardship</w:t>
      </w:r>
      <w:r>
        <w:rPr>
          <w:rFonts w:cs="Calibri"/>
        </w:rPr>
        <w:t xml:space="preserve"> Council (FSC) certified timber and 100% recycled paper</w:t>
      </w:r>
    </w:p>
    <w:p w:rsidR="00E2796D" w:rsidRPr="006401C0" w:rsidRDefault="0094216D" w:rsidP="007C5878">
      <w:pPr>
        <w:pStyle w:val="ListParagraph"/>
        <w:numPr>
          <w:ilvl w:val="0"/>
          <w:numId w:val="13"/>
        </w:numPr>
        <w:tabs>
          <w:tab w:val="left" w:pos="76"/>
        </w:tabs>
        <w:spacing w:after="240"/>
        <w:ind w:left="73" w:hanging="357"/>
        <w:jc w:val="both"/>
        <w:rPr>
          <w:rFonts w:cs="Calibri"/>
          <w:color w:val="000000"/>
        </w:rPr>
      </w:pPr>
      <w:r>
        <w:rPr>
          <w:rFonts w:cs="Calibri"/>
          <w:color w:val="000000"/>
        </w:rPr>
        <w:t>Where appropriate,</w:t>
      </w:r>
      <w:r w:rsidR="00D07BC0">
        <w:rPr>
          <w:rFonts w:cs="Calibri"/>
          <w:color w:val="000000"/>
        </w:rPr>
        <w:t xml:space="preserve"> economic</w:t>
      </w:r>
      <w:r w:rsidR="006401C0">
        <w:rPr>
          <w:rFonts w:cs="Calibri"/>
          <w:color w:val="000000"/>
        </w:rPr>
        <w:t xml:space="preserve"> </w:t>
      </w:r>
      <w:r w:rsidR="00D07BC0">
        <w:rPr>
          <w:rFonts w:cs="Calibri"/>
          <w:color w:val="000000"/>
        </w:rPr>
        <w:t>analysis</w:t>
      </w:r>
      <w:r>
        <w:rPr>
          <w:rFonts w:cs="Calibri"/>
          <w:color w:val="000000"/>
        </w:rPr>
        <w:t xml:space="preserve"> methods such as ‘Local Multiplier 3’</w:t>
      </w:r>
      <w:r w:rsidR="00D07BC0" w:rsidRPr="006401C0">
        <w:rPr>
          <w:rFonts w:cs="Calibri"/>
          <w:color w:val="000000"/>
        </w:rPr>
        <w:t xml:space="preserve"> should be used to produce specifications that reflect the intent of the </w:t>
      </w:r>
      <w:r w:rsidR="00F45FA0">
        <w:rPr>
          <w:rFonts w:cs="Calibri"/>
          <w:color w:val="000000"/>
        </w:rPr>
        <w:t>authority</w:t>
      </w:r>
      <w:r w:rsidR="00D07BC0" w:rsidRPr="006401C0">
        <w:rPr>
          <w:rFonts w:cs="Calibri"/>
          <w:color w:val="000000"/>
        </w:rPr>
        <w:t xml:space="preserve"> to enhance communities and social welfare</w:t>
      </w:r>
    </w:p>
    <w:p w:rsidR="00E2796D" w:rsidRDefault="00D07BC0">
      <w:pPr>
        <w:pStyle w:val="Standard"/>
        <w:spacing w:before="480" w:after="240"/>
        <w:ind w:left="-284"/>
        <w:rPr>
          <w:rFonts w:ascii="Corbel" w:hAnsi="Corbel" w:cs="Calibri"/>
          <w:b/>
          <w:color w:val="000000"/>
          <w:sz w:val="28"/>
          <w:szCs w:val="28"/>
        </w:rPr>
      </w:pPr>
      <w:r>
        <w:rPr>
          <w:rFonts w:ascii="Corbel" w:hAnsi="Corbel" w:cs="Calibri"/>
          <w:b/>
          <w:color w:val="000000"/>
          <w:sz w:val="28"/>
          <w:szCs w:val="28"/>
        </w:rPr>
        <w:t>Question &amp; Engage with Suppliers</w:t>
      </w:r>
    </w:p>
    <w:p w:rsidR="00E2796D" w:rsidRDefault="00D07BC0">
      <w:pPr>
        <w:pStyle w:val="ListParagraph"/>
        <w:numPr>
          <w:ilvl w:val="0"/>
          <w:numId w:val="13"/>
        </w:numPr>
        <w:tabs>
          <w:tab w:val="left" w:pos="76"/>
        </w:tabs>
        <w:spacing w:after="240"/>
        <w:ind w:left="73" w:hanging="357"/>
        <w:jc w:val="both"/>
        <w:rPr>
          <w:rFonts w:cs="Calibri"/>
          <w:color w:val="000000"/>
        </w:rPr>
      </w:pPr>
      <w:r>
        <w:rPr>
          <w:rFonts w:cs="Calibri"/>
          <w:color w:val="000000"/>
        </w:rPr>
        <w:t xml:space="preserve">Suppliers are at the heart of the system that the </w:t>
      </w:r>
      <w:r w:rsidR="00F45FA0">
        <w:rPr>
          <w:rFonts w:cs="Calibri"/>
          <w:color w:val="000000"/>
        </w:rPr>
        <w:t>authority</w:t>
      </w:r>
      <w:r>
        <w:rPr>
          <w:rFonts w:cs="Calibri"/>
          <w:color w:val="000000"/>
        </w:rPr>
        <w:t xml:space="preserve"> will develop; therefore they should be encouraged to invest in themselves in order make their operations more sustainable. Suppliers are also a </w:t>
      </w:r>
      <w:r w:rsidR="00EF2451">
        <w:rPr>
          <w:rFonts w:cs="Calibri"/>
          <w:color w:val="000000"/>
        </w:rPr>
        <w:t>link</w:t>
      </w:r>
      <w:r>
        <w:rPr>
          <w:rFonts w:cs="Calibri"/>
          <w:color w:val="000000"/>
        </w:rPr>
        <w:t xml:space="preserve"> to an extensive web of external businesses and communities that the purchasing power of the </w:t>
      </w:r>
      <w:r w:rsidR="00F45FA0">
        <w:rPr>
          <w:rFonts w:cs="Calibri"/>
          <w:color w:val="000000"/>
        </w:rPr>
        <w:t>authority</w:t>
      </w:r>
      <w:r>
        <w:rPr>
          <w:rFonts w:cs="Calibri"/>
          <w:color w:val="000000"/>
        </w:rPr>
        <w:t xml:space="preserve"> can benefit, enhancing social, environmental and economic values nationwide and globally.</w:t>
      </w:r>
    </w:p>
    <w:p w:rsidR="00E2796D" w:rsidRDefault="00D07BC0">
      <w:pPr>
        <w:pStyle w:val="ListParagraph"/>
        <w:numPr>
          <w:ilvl w:val="0"/>
          <w:numId w:val="13"/>
        </w:numPr>
        <w:tabs>
          <w:tab w:val="left" w:pos="76"/>
        </w:tabs>
        <w:spacing w:after="240"/>
        <w:ind w:left="73" w:hanging="357"/>
        <w:jc w:val="both"/>
        <w:rPr>
          <w:rFonts w:cs="Calibri"/>
          <w:color w:val="000000"/>
        </w:rPr>
      </w:pPr>
      <w:r>
        <w:rPr>
          <w:rFonts w:cs="Calibri"/>
          <w:color w:val="000000"/>
        </w:rPr>
        <w:t>Encourage innovation and enterprise to drive forward sustainability in supplier and stakeholder organisations.</w:t>
      </w:r>
    </w:p>
    <w:p w:rsidR="00E2796D" w:rsidRDefault="00D07BC0">
      <w:pPr>
        <w:pStyle w:val="ListParagraph"/>
        <w:numPr>
          <w:ilvl w:val="0"/>
          <w:numId w:val="13"/>
        </w:numPr>
        <w:tabs>
          <w:tab w:val="left" w:pos="76"/>
        </w:tabs>
        <w:spacing w:after="240"/>
        <w:ind w:left="73" w:hanging="357"/>
        <w:jc w:val="both"/>
        <w:rPr>
          <w:rFonts w:cs="Calibri"/>
          <w:color w:val="000000"/>
        </w:rPr>
      </w:pPr>
      <w:r>
        <w:rPr>
          <w:rFonts w:cs="Calibri"/>
          <w:color w:val="000000"/>
        </w:rPr>
        <w:t>Promote the importance of social enterprise and community engagement in the commissioning of services contracts.</w:t>
      </w:r>
    </w:p>
    <w:p w:rsidR="00E2796D" w:rsidRDefault="00D07BC0">
      <w:pPr>
        <w:pStyle w:val="ListParagraph"/>
        <w:numPr>
          <w:ilvl w:val="0"/>
          <w:numId w:val="13"/>
        </w:numPr>
        <w:tabs>
          <w:tab w:val="left" w:pos="76"/>
        </w:tabs>
        <w:spacing w:after="240"/>
        <w:ind w:left="73" w:hanging="357"/>
        <w:jc w:val="both"/>
        <w:rPr>
          <w:rFonts w:cs="Calibri"/>
        </w:rPr>
      </w:pPr>
      <w:r>
        <w:rPr>
          <w:rFonts w:cs="Calibri"/>
          <w:color w:val="000000"/>
        </w:rPr>
        <w:t>The pre-qualification stage may be used to eliminate suppliers who have committed an environmental offence, which is considered a professional misconduct or suppliers who do not have the correct level of environment technical competence, where it is relevant to the contract.</w:t>
      </w:r>
    </w:p>
    <w:p w:rsidR="006C354E" w:rsidRPr="006C354E" w:rsidRDefault="00D07BC0" w:rsidP="006C354E">
      <w:pPr>
        <w:pStyle w:val="ListParagraph"/>
        <w:numPr>
          <w:ilvl w:val="0"/>
          <w:numId w:val="13"/>
        </w:numPr>
        <w:tabs>
          <w:tab w:val="left" w:pos="76"/>
        </w:tabs>
        <w:spacing w:after="240"/>
        <w:ind w:left="73" w:hanging="357"/>
        <w:jc w:val="both"/>
        <w:rPr>
          <w:rFonts w:cs="Calibri"/>
          <w:color w:val="000000"/>
        </w:rPr>
      </w:pPr>
      <w:r w:rsidRPr="006C354E">
        <w:rPr>
          <w:rFonts w:cs="Calibri"/>
          <w:color w:val="000000"/>
        </w:rPr>
        <w:t xml:space="preserve">SMEs may be excluded by including the ISO14001 standard as a conditional requirement </w:t>
      </w:r>
      <w:r w:rsidR="006C354E">
        <w:rPr>
          <w:rFonts w:cs="Calibri"/>
          <w:color w:val="000000"/>
        </w:rPr>
        <w:t>of a contract</w:t>
      </w:r>
      <w:r w:rsidRPr="006C354E">
        <w:rPr>
          <w:rFonts w:cs="Calibri"/>
          <w:color w:val="000000"/>
        </w:rPr>
        <w:t>. Tho</w:t>
      </w:r>
      <w:r w:rsidR="006C354E">
        <w:rPr>
          <w:rFonts w:cs="Calibri"/>
          <w:color w:val="000000"/>
        </w:rPr>
        <w:t xml:space="preserve">ugh it is </w:t>
      </w:r>
      <w:r w:rsidR="0094216D">
        <w:rPr>
          <w:rFonts w:cs="Calibri"/>
          <w:color w:val="000000"/>
        </w:rPr>
        <w:t>one</w:t>
      </w:r>
      <w:r w:rsidR="006C354E">
        <w:rPr>
          <w:rFonts w:cs="Calibri"/>
          <w:color w:val="000000"/>
        </w:rPr>
        <w:t xml:space="preserve"> </w:t>
      </w:r>
      <w:r w:rsidR="0094216D">
        <w:rPr>
          <w:rFonts w:cs="Calibri"/>
          <w:color w:val="000000"/>
        </w:rPr>
        <w:t>way</w:t>
      </w:r>
      <w:r w:rsidR="006C354E">
        <w:rPr>
          <w:rFonts w:cs="Calibri"/>
          <w:color w:val="000000"/>
        </w:rPr>
        <w:t xml:space="preserve"> of </w:t>
      </w:r>
      <w:r w:rsidRPr="006C354E">
        <w:rPr>
          <w:rFonts w:cs="Calibri"/>
          <w:color w:val="000000"/>
        </w:rPr>
        <w:t xml:space="preserve">assessing a company’s environmental credentials, alternative questions </w:t>
      </w:r>
      <w:r w:rsidR="006C354E">
        <w:rPr>
          <w:rFonts w:cs="Calibri"/>
          <w:color w:val="000000"/>
        </w:rPr>
        <w:t>should be asked.</w:t>
      </w:r>
    </w:p>
    <w:p w:rsidR="00E2796D" w:rsidRDefault="00D07BC0">
      <w:pPr>
        <w:pStyle w:val="Standard"/>
        <w:spacing w:before="480" w:after="240"/>
        <w:ind w:left="-284"/>
        <w:rPr>
          <w:rFonts w:ascii="Corbel" w:hAnsi="Corbel" w:cs="Calibri"/>
          <w:b/>
          <w:color w:val="000000"/>
          <w:sz w:val="28"/>
          <w:szCs w:val="28"/>
        </w:rPr>
      </w:pPr>
      <w:r>
        <w:rPr>
          <w:rFonts w:ascii="Corbel" w:hAnsi="Corbel" w:cs="Calibri"/>
          <w:b/>
          <w:color w:val="000000"/>
          <w:sz w:val="28"/>
          <w:szCs w:val="28"/>
        </w:rPr>
        <w:t>Manage Performance</w:t>
      </w:r>
    </w:p>
    <w:p w:rsidR="00E2796D" w:rsidRDefault="00D07BC0">
      <w:pPr>
        <w:pStyle w:val="ListParagraph"/>
        <w:numPr>
          <w:ilvl w:val="0"/>
          <w:numId w:val="13"/>
        </w:numPr>
        <w:tabs>
          <w:tab w:val="left" w:pos="76"/>
        </w:tabs>
        <w:spacing w:after="240"/>
        <w:ind w:left="73" w:hanging="357"/>
        <w:jc w:val="both"/>
        <w:rPr>
          <w:rFonts w:cs="Calibri"/>
          <w:color w:val="000000"/>
        </w:rPr>
      </w:pPr>
      <w:r>
        <w:rPr>
          <w:rFonts w:cs="Calibri"/>
          <w:color w:val="000000"/>
        </w:rPr>
        <w:t>Ensure that measurable objectives for our procurement projects are used, through clear specifications and procurement strategies agreed with our customers.</w:t>
      </w:r>
    </w:p>
    <w:p w:rsidR="00C961D6" w:rsidRDefault="00D07BC0" w:rsidP="00C961D6">
      <w:pPr>
        <w:pStyle w:val="ListParagraph"/>
        <w:numPr>
          <w:ilvl w:val="0"/>
          <w:numId w:val="13"/>
        </w:numPr>
        <w:tabs>
          <w:tab w:val="left" w:pos="76"/>
        </w:tabs>
        <w:spacing w:after="240"/>
        <w:ind w:left="73" w:hanging="357"/>
        <w:jc w:val="both"/>
        <w:rPr>
          <w:rFonts w:cs="Calibri"/>
          <w:color w:val="000000"/>
        </w:rPr>
      </w:pPr>
      <w:r>
        <w:rPr>
          <w:rFonts w:cs="Calibri"/>
          <w:color w:val="000000"/>
        </w:rPr>
        <w:t xml:space="preserve">Measure supplier performance beyond price, to recognise the contribution of the supply chain to the </w:t>
      </w:r>
      <w:r w:rsidR="00F45FA0">
        <w:rPr>
          <w:rFonts w:cs="Calibri"/>
          <w:color w:val="000000"/>
        </w:rPr>
        <w:t>authority</w:t>
      </w:r>
      <w:r w:rsidR="00293408">
        <w:rPr>
          <w:rFonts w:cs="Calibri"/>
          <w:color w:val="000000"/>
        </w:rPr>
        <w:t>’</w:t>
      </w:r>
      <w:r>
        <w:rPr>
          <w:rFonts w:cs="Calibri"/>
          <w:color w:val="000000"/>
        </w:rPr>
        <w:t>s vision.</w:t>
      </w:r>
      <w:r w:rsidR="00C961D6" w:rsidRPr="00C961D6">
        <w:rPr>
          <w:rFonts w:cs="Calibri"/>
          <w:color w:val="000000"/>
        </w:rPr>
        <w:t xml:space="preserve"> </w:t>
      </w:r>
      <w:r w:rsidR="00C961D6">
        <w:rPr>
          <w:rFonts w:cs="Calibri"/>
          <w:color w:val="000000"/>
        </w:rPr>
        <w:t>Ensure appropriate KPIs and contract management criteria are included in the contract.</w:t>
      </w:r>
    </w:p>
    <w:p w:rsidR="00E2796D" w:rsidRDefault="009E27C3">
      <w:pPr>
        <w:pStyle w:val="ListParagraph"/>
        <w:numPr>
          <w:ilvl w:val="1"/>
          <w:numId w:val="13"/>
        </w:numPr>
        <w:tabs>
          <w:tab w:val="left" w:pos="796"/>
        </w:tabs>
        <w:spacing w:after="240"/>
        <w:ind w:left="794" w:hanging="357"/>
        <w:jc w:val="both"/>
        <w:rPr>
          <w:rFonts w:cs="Calibri"/>
          <w:color w:val="000000"/>
        </w:rPr>
      </w:pPr>
      <w:r>
        <w:rPr>
          <w:rFonts w:cs="Calibri"/>
          <w:color w:val="000000"/>
        </w:rPr>
        <w:lastRenderedPageBreak/>
        <w:t>KPIs should be quantitative,</w:t>
      </w:r>
      <w:r w:rsidR="00D07BC0">
        <w:rPr>
          <w:rFonts w:cs="Calibri"/>
          <w:color w:val="000000"/>
        </w:rPr>
        <w:t xml:space="preserve"> </w:t>
      </w:r>
      <w:r>
        <w:rPr>
          <w:rFonts w:cs="Calibri"/>
          <w:color w:val="000000"/>
        </w:rPr>
        <w:t>comparable and reliable</w:t>
      </w:r>
      <w:r w:rsidR="00D07BC0">
        <w:rPr>
          <w:rFonts w:cs="Calibri"/>
          <w:color w:val="000000"/>
        </w:rPr>
        <w:t xml:space="preserve"> in order to best reflect the performance of an organisation.</w:t>
      </w:r>
    </w:p>
    <w:p w:rsidR="00E2796D" w:rsidRDefault="00D07BC0">
      <w:pPr>
        <w:pStyle w:val="ListParagraph"/>
        <w:numPr>
          <w:ilvl w:val="0"/>
          <w:numId w:val="13"/>
        </w:numPr>
        <w:tabs>
          <w:tab w:val="left" w:pos="76"/>
        </w:tabs>
        <w:spacing w:after="240"/>
        <w:ind w:left="73" w:hanging="357"/>
        <w:jc w:val="both"/>
        <w:rPr>
          <w:rFonts w:cs="Calibri"/>
          <w:color w:val="000000"/>
        </w:rPr>
      </w:pPr>
      <w:r>
        <w:rPr>
          <w:rFonts w:cs="Calibri"/>
          <w:color w:val="000000"/>
        </w:rPr>
        <w:t xml:space="preserve">Review the need for and performance of contracts prior to developing replacement procurement </w:t>
      </w:r>
      <w:r w:rsidR="00AC412E">
        <w:rPr>
          <w:rFonts w:cs="Calibri"/>
          <w:color w:val="000000"/>
        </w:rPr>
        <w:t>activities</w:t>
      </w:r>
      <w:r>
        <w:rPr>
          <w:rFonts w:cs="Calibri"/>
          <w:color w:val="000000"/>
        </w:rPr>
        <w:t>.</w:t>
      </w:r>
    </w:p>
    <w:p w:rsidR="00E2796D" w:rsidRDefault="00D07BC0">
      <w:pPr>
        <w:pStyle w:val="ListParagraph"/>
        <w:numPr>
          <w:ilvl w:val="0"/>
          <w:numId w:val="13"/>
        </w:numPr>
        <w:tabs>
          <w:tab w:val="left" w:pos="76"/>
        </w:tabs>
        <w:spacing w:after="240"/>
        <w:ind w:left="73" w:hanging="357"/>
        <w:jc w:val="both"/>
        <w:rPr>
          <w:rFonts w:cs="Calibri"/>
          <w:color w:val="000000"/>
        </w:rPr>
      </w:pPr>
      <w:r>
        <w:rPr>
          <w:rFonts w:cs="Calibri"/>
          <w:color w:val="000000"/>
        </w:rPr>
        <w:t xml:space="preserve">The </w:t>
      </w:r>
      <w:r w:rsidR="00F45FA0">
        <w:rPr>
          <w:rFonts w:cs="Calibri"/>
          <w:color w:val="000000"/>
        </w:rPr>
        <w:t>authority</w:t>
      </w:r>
      <w:r>
        <w:rPr>
          <w:rFonts w:cs="Calibri"/>
          <w:color w:val="000000"/>
        </w:rPr>
        <w:t xml:space="preserve"> will seek to increase the weighting of social and environmental criteria throughout the procurement process in order to award more contracts based on a company’s contribution to improving social welfare and the environment.</w:t>
      </w:r>
    </w:p>
    <w:p w:rsidR="00E2796D" w:rsidRDefault="00D07BC0">
      <w:pPr>
        <w:pStyle w:val="ListParagraph"/>
        <w:numPr>
          <w:ilvl w:val="0"/>
          <w:numId w:val="13"/>
        </w:numPr>
        <w:tabs>
          <w:tab w:val="left" w:pos="76"/>
        </w:tabs>
        <w:spacing w:after="240"/>
        <w:ind w:left="73" w:hanging="357"/>
        <w:jc w:val="both"/>
        <w:rPr>
          <w:rFonts w:cs="Calibri"/>
          <w:color w:val="000000"/>
        </w:rPr>
      </w:pPr>
      <w:r>
        <w:rPr>
          <w:rFonts w:cs="Calibri"/>
          <w:color w:val="000000"/>
        </w:rPr>
        <w:t xml:space="preserve">The </w:t>
      </w:r>
      <w:r w:rsidR="00F45FA0">
        <w:rPr>
          <w:rFonts w:cs="Calibri"/>
          <w:color w:val="000000"/>
        </w:rPr>
        <w:t>authority</w:t>
      </w:r>
      <w:r>
        <w:rPr>
          <w:rFonts w:cs="Calibri"/>
          <w:color w:val="000000"/>
        </w:rPr>
        <w:t xml:space="preserve"> will work with suppliers after a contract has been awarded to develop a local supply chain and employment opportunities in order to deliver a better service.</w:t>
      </w:r>
    </w:p>
    <w:p w:rsidR="00E2796D" w:rsidRDefault="00D07BC0">
      <w:pPr>
        <w:pStyle w:val="Standard"/>
        <w:spacing w:before="480" w:after="240"/>
        <w:ind w:left="-284"/>
        <w:rPr>
          <w:rFonts w:ascii="Corbel" w:hAnsi="Corbel" w:cs="Calibri"/>
          <w:b/>
          <w:color w:val="000000"/>
          <w:sz w:val="28"/>
          <w:szCs w:val="28"/>
        </w:rPr>
      </w:pPr>
      <w:r>
        <w:rPr>
          <w:rFonts w:ascii="Corbel" w:hAnsi="Corbel" w:cs="Calibri"/>
          <w:b/>
          <w:color w:val="000000"/>
          <w:sz w:val="28"/>
          <w:szCs w:val="28"/>
        </w:rPr>
        <w:t>Review Sustainable Procurement Strategy</w:t>
      </w:r>
    </w:p>
    <w:p w:rsidR="00E2796D" w:rsidRDefault="00D07BC0">
      <w:pPr>
        <w:pStyle w:val="ListParagraph"/>
        <w:numPr>
          <w:ilvl w:val="0"/>
          <w:numId w:val="13"/>
        </w:numPr>
        <w:tabs>
          <w:tab w:val="left" w:pos="76"/>
        </w:tabs>
        <w:spacing w:after="240"/>
        <w:ind w:left="73" w:hanging="357"/>
        <w:jc w:val="both"/>
      </w:pPr>
      <w:r>
        <w:rPr>
          <w:rFonts w:cs="Calibri"/>
          <w:color w:val="000000"/>
        </w:rPr>
        <w:t>The strategy</w:t>
      </w:r>
      <w:r w:rsidR="00F1488B">
        <w:rPr>
          <w:rFonts w:cs="Calibri"/>
          <w:color w:val="000000"/>
        </w:rPr>
        <w:t>, Code</w:t>
      </w:r>
      <w:r>
        <w:rPr>
          <w:rFonts w:cs="Calibri"/>
          <w:color w:val="000000"/>
        </w:rPr>
        <w:t xml:space="preserve"> and action plan should be reviewed periodically to evaluate how effectively sustainable procurement practice has percolated throughout the organisation, whether ‘flexible framework’ ambitions have been met and how to further implement the ‘Sustainable Procurement strategy’ into </w:t>
      </w:r>
      <w:r w:rsidR="00F45FA0">
        <w:rPr>
          <w:rFonts w:cs="Calibri"/>
          <w:color w:val="000000"/>
        </w:rPr>
        <w:t>authority</w:t>
      </w:r>
      <w:r>
        <w:rPr>
          <w:rFonts w:cs="Calibri"/>
          <w:color w:val="000000"/>
        </w:rPr>
        <w:t xml:space="preserve"> procurement practice.</w:t>
      </w:r>
    </w:p>
    <w:p w:rsidR="00E2796D" w:rsidRDefault="00E2796D">
      <w:pPr>
        <w:pStyle w:val="ListParagraph"/>
        <w:tabs>
          <w:tab w:val="left" w:pos="76"/>
        </w:tabs>
        <w:spacing w:after="240"/>
        <w:ind w:left="0"/>
        <w:jc w:val="both"/>
        <w:sectPr w:rsidR="00E2796D" w:rsidSect="002B7F0F">
          <w:footerReference w:type="default" r:id="rId16"/>
          <w:footnotePr>
            <w:pos w:val="beneathText"/>
          </w:footnotePr>
          <w:type w:val="continuous"/>
          <w:pgSz w:w="11905" w:h="16837"/>
          <w:pgMar w:top="1440" w:right="2155" w:bottom="1440" w:left="2155" w:header="1440" w:footer="720" w:gutter="0"/>
          <w:pgNumType w:start="1"/>
          <w:cols w:space="720"/>
          <w:docGrid w:linePitch="360"/>
        </w:sectPr>
      </w:pPr>
    </w:p>
    <w:tbl>
      <w:tblPr>
        <w:tblpPr w:leftFromText="180" w:rightFromText="180" w:vertAnchor="page" w:horzAnchor="margin" w:tblpY="30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4"/>
        <w:gridCol w:w="2450"/>
        <w:gridCol w:w="2452"/>
        <w:gridCol w:w="2449"/>
        <w:gridCol w:w="2457"/>
        <w:gridCol w:w="2449"/>
      </w:tblGrid>
      <w:tr w:rsidR="00E2796D" w:rsidTr="00B141C0">
        <w:trPr>
          <w:trHeight w:val="370"/>
        </w:trPr>
        <w:tc>
          <w:tcPr>
            <w:tcW w:w="1734" w:type="dxa"/>
            <w:tcBorders>
              <w:top w:val="single" w:sz="12" w:space="0" w:color="auto"/>
              <w:left w:val="single" w:sz="12" w:space="0" w:color="auto"/>
              <w:bottom w:val="single" w:sz="12" w:space="0" w:color="auto"/>
              <w:right w:val="single" w:sz="12" w:space="0" w:color="auto"/>
            </w:tcBorders>
            <w:vAlign w:val="center"/>
          </w:tcPr>
          <w:p w:rsidR="00E2796D" w:rsidRDefault="00E2796D" w:rsidP="00B141C0">
            <w:pPr>
              <w:jc w:val="center"/>
              <w:rPr>
                <w:rFonts w:ascii="Calibri" w:hAnsi="Calibri"/>
                <w:sz w:val="16"/>
              </w:rPr>
            </w:pPr>
          </w:p>
        </w:tc>
        <w:tc>
          <w:tcPr>
            <w:tcW w:w="2450" w:type="dxa"/>
            <w:tcBorders>
              <w:top w:val="single" w:sz="12" w:space="0" w:color="auto"/>
              <w:left w:val="single" w:sz="12" w:space="0" w:color="auto"/>
              <w:bottom w:val="single" w:sz="12" w:space="0" w:color="auto"/>
            </w:tcBorders>
            <w:vAlign w:val="center"/>
          </w:tcPr>
          <w:p w:rsidR="00E2796D" w:rsidRDefault="00E2796D" w:rsidP="00B141C0">
            <w:pPr>
              <w:jc w:val="center"/>
              <w:rPr>
                <w:rFonts w:ascii="Calibri" w:hAnsi="Calibri"/>
                <w:b/>
                <w:bCs/>
                <w:sz w:val="20"/>
              </w:rPr>
            </w:pPr>
          </w:p>
        </w:tc>
        <w:tc>
          <w:tcPr>
            <w:tcW w:w="2452" w:type="dxa"/>
            <w:tcBorders>
              <w:top w:val="single" w:sz="12" w:space="0" w:color="auto"/>
              <w:bottom w:val="single" w:sz="12" w:space="0" w:color="auto"/>
            </w:tcBorders>
            <w:vAlign w:val="center"/>
          </w:tcPr>
          <w:p w:rsidR="00E2796D" w:rsidRDefault="00E2796D" w:rsidP="00B141C0">
            <w:pPr>
              <w:pStyle w:val="Heading4"/>
              <w:framePr w:hSpace="0" w:wrap="auto" w:vAnchor="margin" w:hAnchor="text" w:yAlign="inline"/>
            </w:pPr>
          </w:p>
        </w:tc>
        <w:tc>
          <w:tcPr>
            <w:tcW w:w="2449" w:type="dxa"/>
            <w:tcBorders>
              <w:top w:val="single" w:sz="12" w:space="0" w:color="auto"/>
              <w:bottom w:val="single" w:sz="12" w:space="0" w:color="auto"/>
            </w:tcBorders>
            <w:vAlign w:val="center"/>
          </w:tcPr>
          <w:p w:rsidR="00E2796D" w:rsidRDefault="00E2796D" w:rsidP="00B141C0">
            <w:pPr>
              <w:pStyle w:val="Heading4"/>
              <w:framePr w:hSpace="0" w:wrap="auto" w:vAnchor="margin" w:hAnchor="text" w:yAlign="inline"/>
            </w:pPr>
          </w:p>
        </w:tc>
        <w:tc>
          <w:tcPr>
            <w:tcW w:w="2457" w:type="dxa"/>
            <w:tcBorders>
              <w:top w:val="single" w:sz="12" w:space="0" w:color="auto"/>
              <w:bottom w:val="single" w:sz="12" w:space="0" w:color="auto"/>
            </w:tcBorders>
            <w:vAlign w:val="center"/>
          </w:tcPr>
          <w:p w:rsidR="00E2796D" w:rsidRDefault="00E2796D" w:rsidP="00B141C0">
            <w:pPr>
              <w:jc w:val="center"/>
              <w:rPr>
                <w:rFonts w:ascii="Calibri" w:hAnsi="Calibri"/>
                <w:b/>
                <w:bCs/>
                <w:sz w:val="20"/>
              </w:rPr>
            </w:pPr>
          </w:p>
        </w:tc>
        <w:tc>
          <w:tcPr>
            <w:tcW w:w="2449" w:type="dxa"/>
            <w:tcBorders>
              <w:top w:val="single" w:sz="12" w:space="0" w:color="auto"/>
              <w:bottom w:val="single" w:sz="12" w:space="0" w:color="auto"/>
              <w:right w:val="single" w:sz="12" w:space="0" w:color="auto"/>
            </w:tcBorders>
            <w:vAlign w:val="center"/>
          </w:tcPr>
          <w:p w:rsidR="00E2796D" w:rsidRDefault="00E2796D" w:rsidP="00B141C0">
            <w:pPr>
              <w:jc w:val="center"/>
              <w:rPr>
                <w:rFonts w:ascii="Calibri" w:hAnsi="Calibri"/>
                <w:b/>
                <w:bCs/>
                <w:sz w:val="20"/>
              </w:rPr>
            </w:pPr>
          </w:p>
        </w:tc>
      </w:tr>
      <w:tr w:rsidR="00E2796D" w:rsidTr="00B141C0">
        <w:trPr>
          <w:trHeight w:val="1134"/>
        </w:trPr>
        <w:tc>
          <w:tcPr>
            <w:tcW w:w="1734" w:type="dxa"/>
            <w:tcBorders>
              <w:top w:val="single" w:sz="12" w:space="0" w:color="auto"/>
              <w:left w:val="single" w:sz="12" w:space="0" w:color="auto"/>
              <w:bottom w:val="single" w:sz="6" w:space="0" w:color="auto"/>
              <w:right w:val="single" w:sz="12" w:space="0" w:color="auto"/>
            </w:tcBorders>
            <w:vAlign w:val="center"/>
          </w:tcPr>
          <w:p w:rsidR="00E2796D" w:rsidRDefault="00D07BC0" w:rsidP="00B141C0">
            <w:pPr>
              <w:pStyle w:val="Heading3"/>
              <w:jc w:val="center"/>
              <w:rPr>
                <w:rFonts w:ascii="Calibri" w:hAnsi="Calibri"/>
                <w:sz w:val="20"/>
              </w:rPr>
            </w:pPr>
            <w:r>
              <w:rPr>
                <w:rFonts w:ascii="Calibri" w:hAnsi="Calibri"/>
                <w:sz w:val="20"/>
              </w:rPr>
              <w:t>People</w:t>
            </w:r>
          </w:p>
        </w:tc>
        <w:tc>
          <w:tcPr>
            <w:tcW w:w="2450" w:type="dxa"/>
            <w:tcBorders>
              <w:top w:val="single" w:sz="12" w:space="0" w:color="auto"/>
              <w:left w:val="single" w:sz="12" w:space="0" w:color="auto"/>
              <w:bottom w:val="single" w:sz="6" w:space="0" w:color="auto"/>
              <w:right w:val="single" w:sz="6" w:space="0" w:color="auto"/>
            </w:tcBorders>
            <w:vAlign w:val="center"/>
          </w:tcPr>
          <w:p w:rsidR="00E2796D" w:rsidRDefault="00E2796D" w:rsidP="00B141C0">
            <w:pPr>
              <w:jc w:val="center"/>
              <w:rPr>
                <w:rFonts w:ascii="Calibri" w:hAnsi="Calibri"/>
                <w:sz w:val="16"/>
              </w:rPr>
            </w:pPr>
          </w:p>
        </w:tc>
        <w:tc>
          <w:tcPr>
            <w:tcW w:w="2452" w:type="dxa"/>
            <w:tcBorders>
              <w:top w:val="single" w:sz="12" w:space="0" w:color="auto"/>
              <w:left w:val="single" w:sz="6" w:space="0" w:color="auto"/>
              <w:bottom w:val="single" w:sz="6" w:space="0" w:color="auto"/>
              <w:right w:val="single" w:sz="6" w:space="0" w:color="auto"/>
            </w:tcBorders>
            <w:shd w:val="clear" w:color="auto" w:fill="FFCCFF"/>
            <w:vAlign w:val="center"/>
          </w:tcPr>
          <w:p w:rsidR="00E2796D" w:rsidRDefault="00D07BC0" w:rsidP="00B141C0">
            <w:pPr>
              <w:jc w:val="center"/>
              <w:rPr>
                <w:rFonts w:ascii="Calibri" w:hAnsi="Calibri"/>
                <w:sz w:val="16"/>
              </w:rPr>
            </w:pPr>
            <w:r>
              <w:rPr>
                <w:rFonts w:ascii="Calibri" w:hAnsi="Calibri"/>
                <w:sz w:val="16"/>
              </w:rPr>
              <w:t>Nominate a senior member of procurement staff to champion sustainable procurement over the collaborative departments</w:t>
            </w:r>
          </w:p>
        </w:tc>
        <w:tc>
          <w:tcPr>
            <w:tcW w:w="2449" w:type="dxa"/>
            <w:tcBorders>
              <w:top w:val="single" w:sz="12" w:space="0" w:color="auto"/>
              <w:left w:val="single" w:sz="6" w:space="0" w:color="auto"/>
              <w:bottom w:val="single" w:sz="6" w:space="0" w:color="auto"/>
              <w:right w:val="single" w:sz="6" w:space="0" w:color="auto"/>
            </w:tcBorders>
            <w:shd w:val="clear" w:color="auto" w:fill="FFFF99"/>
            <w:vAlign w:val="center"/>
          </w:tcPr>
          <w:p w:rsidR="00E2796D" w:rsidRDefault="00D07BC0" w:rsidP="00B141C0">
            <w:pPr>
              <w:jc w:val="center"/>
              <w:rPr>
                <w:rFonts w:ascii="Calibri" w:hAnsi="Calibri"/>
                <w:sz w:val="16"/>
              </w:rPr>
            </w:pPr>
            <w:r>
              <w:rPr>
                <w:rFonts w:ascii="Calibri" w:hAnsi="Calibri"/>
                <w:sz w:val="16"/>
              </w:rPr>
              <w:t>Introduce basic training to all procurement staff regarding sustainable procurement and advanced training to key staff</w:t>
            </w:r>
          </w:p>
        </w:tc>
        <w:tc>
          <w:tcPr>
            <w:tcW w:w="2457" w:type="dxa"/>
            <w:tcBorders>
              <w:top w:val="single" w:sz="12" w:space="0" w:color="auto"/>
              <w:left w:val="single" w:sz="6" w:space="0" w:color="auto"/>
              <w:bottom w:val="single" w:sz="6" w:space="0" w:color="auto"/>
              <w:right w:val="single" w:sz="6" w:space="0" w:color="auto"/>
            </w:tcBorders>
            <w:shd w:val="clear" w:color="auto" w:fill="CCFFCC"/>
            <w:vAlign w:val="center"/>
          </w:tcPr>
          <w:p w:rsidR="00E2796D" w:rsidRDefault="00D07BC0" w:rsidP="00B141C0">
            <w:pPr>
              <w:jc w:val="center"/>
              <w:rPr>
                <w:rFonts w:ascii="Calibri" w:hAnsi="Calibri"/>
                <w:sz w:val="16"/>
              </w:rPr>
            </w:pPr>
            <w:r>
              <w:rPr>
                <w:rFonts w:ascii="Calibri" w:hAnsi="Calibri"/>
                <w:sz w:val="16"/>
              </w:rPr>
              <w:t>Review contracts awarded since training began to ascertain whether sustainable procurement factors have been included in contracts</w:t>
            </w:r>
          </w:p>
        </w:tc>
        <w:tc>
          <w:tcPr>
            <w:tcW w:w="2449" w:type="dxa"/>
            <w:tcBorders>
              <w:top w:val="single" w:sz="12" w:space="0" w:color="auto"/>
              <w:left w:val="single" w:sz="6" w:space="0" w:color="auto"/>
              <w:bottom w:val="single" w:sz="6" w:space="0" w:color="auto"/>
              <w:right w:val="single" w:sz="12" w:space="0" w:color="auto"/>
            </w:tcBorders>
            <w:vAlign w:val="center"/>
          </w:tcPr>
          <w:p w:rsidR="00E2796D" w:rsidRDefault="00E2796D" w:rsidP="00B141C0">
            <w:pPr>
              <w:jc w:val="center"/>
              <w:rPr>
                <w:rFonts w:ascii="Calibri" w:hAnsi="Calibri"/>
                <w:sz w:val="16"/>
              </w:rPr>
            </w:pPr>
          </w:p>
        </w:tc>
      </w:tr>
      <w:tr w:rsidR="00E2796D" w:rsidTr="00B141C0">
        <w:trPr>
          <w:trHeight w:val="1134"/>
        </w:trPr>
        <w:tc>
          <w:tcPr>
            <w:tcW w:w="1734" w:type="dxa"/>
            <w:tcBorders>
              <w:top w:val="single" w:sz="6" w:space="0" w:color="auto"/>
              <w:left w:val="single" w:sz="12" w:space="0" w:color="auto"/>
              <w:bottom w:val="single" w:sz="6" w:space="0" w:color="auto"/>
              <w:right w:val="single" w:sz="12" w:space="0" w:color="auto"/>
            </w:tcBorders>
            <w:vAlign w:val="center"/>
          </w:tcPr>
          <w:p w:rsidR="00E2796D" w:rsidRDefault="00D07BC0" w:rsidP="00B141C0">
            <w:pPr>
              <w:jc w:val="center"/>
              <w:rPr>
                <w:rFonts w:ascii="Calibri" w:hAnsi="Calibri"/>
                <w:b/>
                <w:bCs/>
                <w:sz w:val="20"/>
              </w:rPr>
            </w:pPr>
            <w:r>
              <w:rPr>
                <w:rFonts w:ascii="Calibri" w:hAnsi="Calibri"/>
                <w:b/>
                <w:bCs/>
                <w:sz w:val="20"/>
              </w:rPr>
              <w:t>Policy, Strategy &amp; Communications</w:t>
            </w:r>
          </w:p>
        </w:tc>
        <w:tc>
          <w:tcPr>
            <w:tcW w:w="2450" w:type="dxa"/>
            <w:tcBorders>
              <w:top w:val="single" w:sz="6" w:space="0" w:color="auto"/>
              <w:left w:val="single" w:sz="12" w:space="0" w:color="auto"/>
              <w:bottom w:val="single" w:sz="6" w:space="0" w:color="auto"/>
              <w:right w:val="single" w:sz="6" w:space="0" w:color="auto"/>
            </w:tcBorders>
            <w:shd w:val="clear" w:color="auto" w:fill="FFCCFF"/>
            <w:vAlign w:val="center"/>
          </w:tcPr>
          <w:p w:rsidR="00E2796D" w:rsidRDefault="00D07BC0" w:rsidP="00B141C0">
            <w:pPr>
              <w:jc w:val="center"/>
              <w:rPr>
                <w:rFonts w:ascii="Calibri" w:hAnsi="Calibri"/>
                <w:sz w:val="16"/>
              </w:rPr>
            </w:pPr>
            <w:r>
              <w:rPr>
                <w:rFonts w:ascii="Calibri" w:hAnsi="Calibri"/>
                <w:sz w:val="16"/>
              </w:rPr>
              <w:t>Agree &amp; communicate overarching sustainability objectives</w:t>
            </w:r>
          </w:p>
        </w:tc>
        <w:tc>
          <w:tcPr>
            <w:tcW w:w="2452" w:type="dxa"/>
            <w:tcBorders>
              <w:top w:val="single" w:sz="6" w:space="0" w:color="auto"/>
              <w:left w:val="single" w:sz="6" w:space="0" w:color="auto"/>
              <w:bottom w:val="single" w:sz="6" w:space="0" w:color="auto"/>
              <w:right w:val="single" w:sz="6" w:space="0" w:color="auto"/>
            </w:tcBorders>
            <w:shd w:val="clear" w:color="auto" w:fill="FFFF99"/>
            <w:vAlign w:val="center"/>
          </w:tcPr>
          <w:p w:rsidR="00E2796D" w:rsidRDefault="00D07BC0" w:rsidP="00B141C0">
            <w:pPr>
              <w:jc w:val="center"/>
              <w:rPr>
                <w:rFonts w:ascii="Calibri" w:hAnsi="Calibri"/>
                <w:sz w:val="16"/>
              </w:rPr>
            </w:pPr>
            <w:r>
              <w:rPr>
                <w:rFonts w:ascii="Calibri" w:hAnsi="Calibri"/>
                <w:sz w:val="16"/>
              </w:rPr>
              <w:t>Review and enhance sustainable procurement policy</w:t>
            </w:r>
            <w:r w:rsidR="00EF1DF4">
              <w:rPr>
                <w:rFonts w:ascii="Calibri" w:hAnsi="Calibri"/>
                <w:sz w:val="16"/>
              </w:rPr>
              <w:t>. Introduce basic sustainability assessment tool.</w:t>
            </w:r>
          </w:p>
        </w:tc>
        <w:tc>
          <w:tcPr>
            <w:tcW w:w="2449" w:type="dxa"/>
            <w:tcBorders>
              <w:top w:val="single" w:sz="6" w:space="0" w:color="auto"/>
              <w:left w:val="single" w:sz="6" w:space="0" w:color="auto"/>
              <w:bottom w:val="single" w:sz="6" w:space="0" w:color="auto"/>
              <w:right w:val="single" w:sz="6" w:space="0" w:color="auto"/>
            </w:tcBorders>
            <w:vAlign w:val="center"/>
          </w:tcPr>
          <w:p w:rsidR="00E2796D" w:rsidRDefault="00E2796D" w:rsidP="00B141C0">
            <w:pPr>
              <w:jc w:val="center"/>
              <w:rPr>
                <w:rFonts w:ascii="Calibri" w:hAnsi="Calibri"/>
                <w:sz w:val="16"/>
              </w:rPr>
            </w:pPr>
          </w:p>
        </w:tc>
        <w:tc>
          <w:tcPr>
            <w:tcW w:w="2457" w:type="dxa"/>
            <w:tcBorders>
              <w:top w:val="single" w:sz="6" w:space="0" w:color="auto"/>
              <w:left w:val="single" w:sz="6" w:space="0" w:color="auto"/>
              <w:bottom w:val="single" w:sz="6" w:space="0" w:color="auto"/>
              <w:right w:val="single" w:sz="6" w:space="0" w:color="auto"/>
            </w:tcBorders>
            <w:shd w:val="clear" w:color="auto" w:fill="CCFFCC"/>
            <w:vAlign w:val="center"/>
          </w:tcPr>
          <w:p w:rsidR="00E2796D" w:rsidRDefault="00D07BC0" w:rsidP="00B141C0">
            <w:pPr>
              <w:jc w:val="center"/>
              <w:rPr>
                <w:rFonts w:ascii="Calibri" w:hAnsi="Calibri"/>
                <w:sz w:val="16"/>
              </w:rPr>
            </w:pPr>
            <w:r>
              <w:rPr>
                <w:rFonts w:ascii="Calibri" w:hAnsi="Calibri"/>
                <w:sz w:val="16"/>
              </w:rPr>
              <w:t>Strategy endorsed by senior members. Review process in place to determine sustainability of awarded contracts - review and develop strategy depending on lessons learnt</w:t>
            </w:r>
          </w:p>
        </w:tc>
        <w:tc>
          <w:tcPr>
            <w:tcW w:w="2449" w:type="dxa"/>
            <w:tcBorders>
              <w:top w:val="single" w:sz="6" w:space="0" w:color="auto"/>
              <w:left w:val="single" w:sz="6" w:space="0" w:color="auto"/>
              <w:bottom w:val="single" w:sz="6" w:space="0" w:color="auto"/>
              <w:right w:val="single" w:sz="12" w:space="0" w:color="auto"/>
            </w:tcBorders>
            <w:vAlign w:val="center"/>
          </w:tcPr>
          <w:p w:rsidR="00E2796D" w:rsidRDefault="00E2796D" w:rsidP="00B141C0">
            <w:pPr>
              <w:jc w:val="center"/>
              <w:rPr>
                <w:rFonts w:ascii="Calibri" w:hAnsi="Calibri"/>
                <w:sz w:val="16"/>
              </w:rPr>
            </w:pPr>
          </w:p>
        </w:tc>
      </w:tr>
      <w:tr w:rsidR="00E2796D" w:rsidTr="00B141C0">
        <w:trPr>
          <w:trHeight w:val="1134"/>
        </w:trPr>
        <w:tc>
          <w:tcPr>
            <w:tcW w:w="1734" w:type="dxa"/>
            <w:tcBorders>
              <w:top w:val="single" w:sz="6" w:space="0" w:color="auto"/>
              <w:left w:val="single" w:sz="12" w:space="0" w:color="auto"/>
              <w:bottom w:val="single" w:sz="6" w:space="0" w:color="auto"/>
              <w:right w:val="single" w:sz="12" w:space="0" w:color="auto"/>
            </w:tcBorders>
            <w:vAlign w:val="center"/>
          </w:tcPr>
          <w:p w:rsidR="00E2796D" w:rsidRDefault="00D07BC0" w:rsidP="00B141C0">
            <w:pPr>
              <w:jc w:val="center"/>
              <w:rPr>
                <w:rFonts w:ascii="Calibri" w:hAnsi="Calibri"/>
                <w:b/>
                <w:bCs/>
                <w:sz w:val="20"/>
              </w:rPr>
            </w:pPr>
            <w:r>
              <w:rPr>
                <w:rFonts w:ascii="Calibri" w:hAnsi="Calibri"/>
                <w:b/>
                <w:bCs/>
                <w:sz w:val="20"/>
              </w:rPr>
              <w:t>Procurement Process</w:t>
            </w:r>
          </w:p>
        </w:tc>
        <w:tc>
          <w:tcPr>
            <w:tcW w:w="2450" w:type="dxa"/>
            <w:tcBorders>
              <w:top w:val="single" w:sz="6" w:space="0" w:color="auto"/>
              <w:left w:val="single" w:sz="12" w:space="0" w:color="auto"/>
              <w:bottom w:val="single" w:sz="6" w:space="0" w:color="auto"/>
              <w:right w:val="single" w:sz="6" w:space="0" w:color="auto"/>
            </w:tcBorders>
            <w:vAlign w:val="center"/>
          </w:tcPr>
          <w:p w:rsidR="00E2796D" w:rsidRDefault="00E2796D" w:rsidP="00B141C0">
            <w:pPr>
              <w:jc w:val="center"/>
              <w:rPr>
                <w:rFonts w:ascii="Calibri" w:hAnsi="Calibri"/>
                <w:sz w:val="16"/>
              </w:rPr>
            </w:pPr>
          </w:p>
        </w:tc>
        <w:tc>
          <w:tcPr>
            <w:tcW w:w="2452" w:type="dxa"/>
            <w:tcBorders>
              <w:top w:val="single" w:sz="6" w:space="0" w:color="auto"/>
              <w:left w:val="single" w:sz="6" w:space="0" w:color="auto"/>
              <w:bottom w:val="single" w:sz="6" w:space="0" w:color="auto"/>
              <w:right w:val="single" w:sz="6" w:space="0" w:color="auto"/>
            </w:tcBorders>
            <w:shd w:val="clear" w:color="auto" w:fill="FFCCFF"/>
            <w:vAlign w:val="center"/>
          </w:tcPr>
          <w:p w:rsidR="00E2796D" w:rsidRDefault="00D07BC0" w:rsidP="00B141C0">
            <w:pPr>
              <w:jc w:val="center"/>
              <w:rPr>
                <w:rFonts w:ascii="Calibri" w:hAnsi="Calibri"/>
                <w:sz w:val="16"/>
              </w:rPr>
            </w:pPr>
            <w:r>
              <w:rPr>
                <w:rFonts w:ascii="Calibri" w:hAnsi="Calibri"/>
                <w:sz w:val="16"/>
              </w:rPr>
              <w:t>Identify and evaluate key sustainability impacts in forthcoming contracts to enable appropriate sustainability criteria and targets to be included in contract design.</w:t>
            </w:r>
          </w:p>
        </w:tc>
        <w:tc>
          <w:tcPr>
            <w:tcW w:w="2449" w:type="dxa"/>
            <w:tcBorders>
              <w:top w:val="single" w:sz="6" w:space="0" w:color="auto"/>
              <w:left w:val="single" w:sz="6" w:space="0" w:color="auto"/>
              <w:bottom w:val="single" w:sz="6" w:space="0" w:color="auto"/>
              <w:right w:val="single" w:sz="6" w:space="0" w:color="auto"/>
            </w:tcBorders>
            <w:shd w:val="clear" w:color="auto" w:fill="FFFF99"/>
            <w:vAlign w:val="center"/>
          </w:tcPr>
          <w:p w:rsidR="00E2796D" w:rsidRDefault="00D07BC0" w:rsidP="00B141C0">
            <w:pPr>
              <w:jc w:val="center"/>
              <w:rPr>
                <w:rFonts w:ascii="Calibri" w:hAnsi="Calibri"/>
                <w:sz w:val="16"/>
              </w:rPr>
            </w:pPr>
            <w:r>
              <w:rPr>
                <w:rFonts w:ascii="Calibri" w:hAnsi="Calibri"/>
                <w:sz w:val="16"/>
              </w:rPr>
              <w:t>Sustainability considered from early stage of most contracts. Whole-life costing adopted. Develop sustainable procurement criteria in standard contract templates</w:t>
            </w:r>
          </w:p>
        </w:tc>
        <w:tc>
          <w:tcPr>
            <w:tcW w:w="2457" w:type="dxa"/>
            <w:tcBorders>
              <w:top w:val="single" w:sz="6" w:space="0" w:color="auto"/>
              <w:left w:val="single" w:sz="6" w:space="0" w:color="auto"/>
              <w:bottom w:val="single" w:sz="6" w:space="0" w:color="auto"/>
              <w:right w:val="single" w:sz="6" w:space="0" w:color="auto"/>
            </w:tcBorders>
            <w:vAlign w:val="center"/>
          </w:tcPr>
          <w:p w:rsidR="00E2796D" w:rsidRDefault="00E2796D" w:rsidP="00B141C0">
            <w:pPr>
              <w:jc w:val="center"/>
              <w:rPr>
                <w:rFonts w:ascii="Calibri" w:hAnsi="Calibri"/>
                <w:sz w:val="16"/>
              </w:rPr>
            </w:pPr>
          </w:p>
        </w:tc>
        <w:tc>
          <w:tcPr>
            <w:tcW w:w="2449" w:type="dxa"/>
            <w:tcBorders>
              <w:top w:val="single" w:sz="6" w:space="0" w:color="auto"/>
              <w:left w:val="single" w:sz="6" w:space="0" w:color="auto"/>
              <w:bottom w:val="single" w:sz="6" w:space="0" w:color="auto"/>
              <w:right w:val="single" w:sz="12" w:space="0" w:color="auto"/>
            </w:tcBorders>
            <w:shd w:val="clear" w:color="auto" w:fill="CCFFCC"/>
            <w:vAlign w:val="center"/>
          </w:tcPr>
          <w:p w:rsidR="00E2796D" w:rsidRDefault="00D07BC0" w:rsidP="00B141C0">
            <w:pPr>
              <w:jc w:val="center"/>
              <w:rPr>
                <w:rFonts w:ascii="Calibri" w:hAnsi="Calibri"/>
                <w:sz w:val="16"/>
              </w:rPr>
            </w:pPr>
            <w:r>
              <w:rPr>
                <w:rFonts w:ascii="Calibri" w:hAnsi="Calibri"/>
                <w:sz w:val="16"/>
              </w:rPr>
              <w:t>All contracts assessed for sustainability risks and supplier performance reviewed and managed regularly against KPIs set.</w:t>
            </w:r>
          </w:p>
        </w:tc>
      </w:tr>
      <w:tr w:rsidR="00E2796D" w:rsidTr="00B141C0">
        <w:trPr>
          <w:trHeight w:val="1134"/>
        </w:trPr>
        <w:tc>
          <w:tcPr>
            <w:tcW w:w="1734" w:type="dxa"/>
            <w:tcBorders>
              <w:top w:val="single" w:sz="6" w:space="0" w:color="auto"/>
              <w:left w:val="single" w:sz="12" w:space="0" w:color="auto"/>
              <w:bottom w:val="single" w:sz="6" w:space="0" w:color="auto"/>
              <w:right w:val="single" w:sz="12" w:space="0" w:color="auto"/>
            </w:tcBorders>
            <w:vAlign w:val="center"/>
          </w:tcPr>
          <w:p w:rsidR="00E2796D" w:rsidRDefault="00D07BC0" w:rsidP="00B141C0">
            <w:pPr>
              <w:jc w:val="center"/>
              <w:rPr>
                <w:rFonts w:ascii="Calibri" w:hAnsi="Calibri"/>
                <w:b/>
                <w:bCs/>
                <w:sz w:val="20"/>
              </w:rPr>
            </w:pPr>
            <w:r>
              <w:rPr>
                <w:rFonts w:ascii="Calibri" w:hAnsi="Calibri"/>
                <w:b/>
                <w:bCs/>
                <w:sz w:val="20"/>
              </w:rPr>
              <w:t>Engaging Suppliers</w:t>
            </w:r>
          </w:p>
        </w:tc>
        <w:tc>
          <w:tcPr>
            <w:tcW w:w="2450" w:type="dxa"/>
            <w:tcBorders>
              <w:top w:val="single" w:sz="6" w:space="0" w:color="auto"/>
              <w:left w:val="single" w:sz="12" w:space="0" w:color="auto"/>
              <w:bottom w:val="single" w:sz="6" w:space="0" w:color="auto"/>
              <w:right w:val="single" w:sz="6" w:space="0" w:color="auto"/>
            </w:tcBorders>
            <w:vAlign w:val="center"/>
          </w:tcPr>
          <w:p w:rsidR="00E2796D" w:rsidRDefault="00E2796D" w:rsidP="00B141C0">
            <w:pPr>
              <w:jc w:val="center"/>
              <w:rPr>
                <w:rFonts w:ascii="Calibri" w:hAnsi="Calibri"/>
                <w:sz w:val="16"/>
              </w:rPr>
            </w:pPr>
          </w:p>
        </w:tc>
        <w:tc>
          <w:tcPr>
            <w:tcW w:w="2452" w:type="dxa"/>
            <w:tcBorders>
              <w:top w:val="single" w:sz="6" w:space="0" w:color="auto"/>
              <w:left w:val="single" w:sz="6" w:space="0" w:color="auto"/>
              <w:bottom w:val="single" w:sz="6" w:space="0" w:color="auto"/>
              <w:right w:val="single" w:sz="6" w:space="0" w:color="auto"/>
            </w:tcBorders>
            <w:shd w:val="clear" w:color="auto" w:fill="FFCCFF"/>
            <w:vAlign w:val="center"/>
          </w:tcPr>
          <w:p w:rsidR="00E2796D" w:rsidRDefault="00D07BC0" w:rsidP="00B141C0">
            <w:pPr>
              <w:jc w:val="center"/>
              <w:rPr>
                <w:rFonts w:ascii="Calibri" w:hAnsi="Calibri"/>
                <w:sz w:val="16"/>
              </w:rPr>
            </w:pPr>
            <w:r>
              <w:rPr>
                <w:rFonts w:ascii="Calibri" w:hAnsi="Calibri"/>
                <w:sz w:val="16"/>
              </w:rPr>
              <w:t>High sustainability impact suppliers identified. Key suppliers targeted for engagement and views on sustainable supply chain</w:t>
            </w:r>
          </w:p>
        </w:tc>
        <w:tc>
          <w:tcPr>
            <w:tcW w:w="2449" w:type="dxa"/>
            <w:tcBorders>
              <w:top w:val="single" w:sz="6" w:space="0" w:color="auto"/>
              <w:left w:val="single" w:sz="6" w:space="0" w:color="auto"/>
              <w:bottom w:val="single" w:sz="6" w:space="0" w:color="auto"/>
              <w:right w:val="single" w:sz="6" w:space="0" w:color="auto"/>
            </w:tcBorders>
            <w:shd w:val="clear" w:color="auto" w:fill="FFFF99"/>
            <w:vAlign w:val="center"/>
          </w:tcPr>
          <w:p w:rsidR="00E2796D" w:rsidRDefault="00D07BC0" w:rsidP="00B141C0">
            <w:pPr>
              <w:jc w:val="center"/>
              <w:rPr>
                <w:rFonts w:ascii="Calibri" w:hAnsi="Calibri"/>
                <w:sz w:val="16"/>
              </w:rPr>
            </w:pPr>
            <w:r>
              <w:rPr>
                <w:rFonts w:ascii="Calibri" w:hAnsi="Calibri"/>
                <w:sz w:val="16"/>
              </w:rPr>
              <w:t>Introduce training to SMEs regarding sustainable procurement in order to equip local small and medium sized businesses with the skills and knowledge to compete for Local Authority contracts in a sustainable manner.</w:t>
            </w:r>
          </w:p>
        </w:tc>
        <w:tc>
          <w:tcPr>
            <w:tcW w:w="2457" w:type="dxa"/>
            <w:tcBorders>
              <w:top w:val="single" w:sz="6" w:space="0" w:color="auto"/>
              <w:left w:val="single" w:sz="6" w:space="0" w:color="auto"/>
              <w:bottom w:val="single" w:sz="6" w:space="0" w:color="auto"/>
              <w:right w:val="single" w:sz="6" w:space="0" w:color="auto"/>
            </w:tcBorders>
            <w:shd w:val="clear" w:color="auto" w:fill="CCFFCC"/>
            <w:vAlign w:val="center"/>
          </w:tcPr>
          <w:p w:rsidR="00E2796D" w:rsidRDefault="00D07BC0" w:rsidP="00B141C0">
            <w:pPr>
              <w:jc w:val="center"/>
              <w:rPr>
                <w:rFonts w:ascii="Calibri" w:hAnsi="Calibri"/>
                <w:sz w:val="16"/>
              </w:rPr>
            </w:pPr>
            <w:r>
              <w:rPr>
                <w:rFonts w:ascii="Calibri" w:hAnsi="Calibri"/>
                <w:sz w:val="16"/>
              </w:rPr>
              <w:t>Two-way communication exists between supplier and procurers - sustainability of suppliers monitored vi KPIs set in contracts</w:t>
            </w:r>
          </w:p>
        </w:tc>
        <w:tc>
          <w:tcPr>
            <w:tcW w:w="2449" w:type="dxa"/>
            <w:tcBorders>
              <w:top w:val="single" w:sz="6" w:space="0" w:color="auto"/>
              <w:left w:val="single" w:sz="6" w:space="0" w:color="auto"/>
              <w:bottom w:val="single" w:sz="6" w:space="0" w:color="auto"/>
              <w:right w:val="single" w:sz="12" w:space="0" w:color="auto"/>
            </w:tcBorders>
            <w:vAlign w:val="center"/>
          </w:tcPr>
          <w:p w:rsidR="00E2796D" w:rsidRDefault="00E2796D" w:rsidP="00B141C0">
            <w:pPr>
              <w:jc w:val="center"/>
              <w:rPr>
                <w:rFonts w:ascii="Calibri" w:hAnsi="Calibri"/>
                <w:sz w:val="16"/>
              </w:rPr>
            </w:pPr>
          </w:p>
        </w:tc>
      </w:tr>
      <w:tr w:rsidR="00E2796D" w:rsidTr="00B141C0">
        <w:trPr>
          <w:trHeight w:val="1134"/>
        </w:trPr>
        <w:tc>
          <w:tcPr>
            <w:tcW w:w="1734" w:type="dxa"/>
            <w:tcBorders>
              <w:top w:val="single" w:sz="6" w:space="0" w:color="auto"/>
              <w:left w:val="single" w:sz="12" w:space="0" w:color="auto"/>
              <w:bottom w:val="single" w:sz="12" w:space="0" w:color="auto"/>
              <w:right w:val="single" w:sz="12" w:space="0" w:color="auto"/>
            </w:tcBorders>
            <w:vAlign w:val="center"/>
          </w:tcPr>
          <w:p w:rsidR="00E2796D" w:rsidRDefault="00D07BC0" w:rsidP="00B141C0">
            <w:pPr>
              <w:jc w:val="center"/>
              <w:rPr>
                <w:rFonts w:ascii="Calibri" w:hAnsi="Calibri"/>
                <w:b/>
                <w:bCs/>
                <w:sz w:val="20"/>
              </w:rPr>
            </w:pPr>
            <w:r>
              <w:rPr>
                <w:rFonts w:ascii="Calibri" w:hAnsi="Calibri"/>
                <w:b/>
                <w:bCs/>
                <w:sz w:val="20"/>
              </w:rPr>
              <w:t>Measurement &amp; Results</w:t>
            </w:r>
          </w:p>
        </w:tc>
        <w:tc>
          <w:tcPr>
            <w:tcW w:w="2450" w:type="dxa"/>
            <w:tcBorders>
              <w:top w:val="single" w:sz="6" w:space="0" w:color="auto"/>
              <w:left w:val="single" w:sz="12" w:space="0" w:color="auto"/>
              <w:bottom w:val="single" w:sz="12" w:space="0" w:color="auto"/>
              <w:right w:val="single" w:sz="6" w:space="0" w:color="auto"/>
            </w:tcBorders>
            <w:vAlign w:val="center"/>
          </w:tcPr>
          <w:p w:rsidR="00E2796D" w:rsidRDefault="00E2796D" w:rsidP="00B141C0">
            <w:pPr>
              <w:jc w:val="center"/>
              <w:rPr>
                <w:rFonts w:ascii="Calibri" w:hAnsi="Calibri"/>
                <w:sz w:val="16"/>
              </w:rPr>
            </w:pPr>
          </w:p>
        </w:tc>
        <w:tc>
          <w:tcPr>
            <w:tcW w:w="2452" w:type="dxa"/>
            <w:tcBorders>
              <w:top w:val="single" w:sz="6" w:space="0" w:color="auto"/>
              <w:left w:val="single" w:sz="6" w:space="0" w:color="auto"/>
              <w:bottom w:val="single" w:sz="12" w:space="0" w:color="auto"/>
              <w:right w:val="single" w:sz="6" w:space="0" w:color="auto"/>
            </w:tcBorders>
            <w:shd w:val="clear" w:color="auto" w:fill="FFCCFF"/>
            <w:vAlign w:val="center"/>
          </w:tcPr>
          <w:p w:rsidR="00E2796D" w:rsidRDefault="00D07BC0" w:rsidP="00B141C0">
            <w:pPr>
              <w:jc w:val="center"/>
              <w:rPr>
                <w:rFonts w:ascii="Calibri" w:hAnsi="Calibri"/>
                <w:sz w:val="16"/>
              </w:rPr>
            </w:pPr>
            <w:r>
              <w:rPr>
                <w:rFonts w:ascii="Calibri" w:hAnsi="Calibri"/>
                <w:sz w:val="16"/>
              </w:rPr>
              <w:t>Introduce KPIs to large contracts to monitor the sustainable performance of contracted organisations. Ensure that these KPIs are quantitative, comparable and reliable.</w:t>
            </w:r>
          </w:p>
        </w:tc>
        <w:tc>
          <w:tcPr>
            <w:tcW w:w="2449" w:type="dxa"/>
            <w:tcBorders>
              <w:top w:val="single" w:sz="6" w:space="0" w:color="auto"/>
              <w:left w:val="single" w:sz="6" w:space="0" w:color="auto"/>
              <w:bottom w:val="single" w:sz="12" w:space="0" w:color="auto"/>
              <w:right w:val="single" w:sz="6" w:space="0" w:color="auto"/>
            </w:tcBorders>
            <w:shd w:val="clear" w:color="auto" w:fill="FFFF99"/>
            <w:vAlign w:val="center"/>
          </w:tcPr>
          <w:p w:rsidR="00E2796D" w:rsidRDefault="00D07BC0" w:rsidP="00B141C0">
            <w:pPr>
              <w:jc w:val="center"/>
              <w:rPr>
                <w:rFonts w:ascii="Calibri" w:hAnsi="Calibri"/>
                <w:sz w:val="16"/>
              </w:rPr>
            </w:pPr>
            <w:r>
              <w:rPr>
                <w:rFonts w:ascii="Calibri" w:hAnsi="Calibri"/>
                <w:sz w:val="16"/>
              </w:rPr>
              <w:t xml:space="preserve">Review KPIs used - Are KPIs used effective, easy to assess </w:t>
            </w:r>
            <w:proofErr w:type="spellStart"/>
            <w:r>
              <w:rPr>
                <w:rFonts w:ascii="Calibri" w:hAnsi="Calibri"/>
                <w:sz w:val="16"/>
              </w:rPr>
              <w:t>etc</w:t>
            </w:r>
            <w:proofErr w:type="spellEnd"/>
            <w:r>
              <w:rPr>
                <w:rFonts w:ascii="Calibri" w:hAnsi="Calibri"/>
                <w:sz w:val="16"/>
              </w:rPr>
              <w:t>? Alter accordingly. Introduce to smaller contracts</w:t>
            </w:r>
          </w:p>
        </w:tc>
        <w:tc>
          <w:tcPr>
            <w:tcW w:w="2457" w:type="dxa"/>
            <w:tcBorders>
              <w:top w:val="single" w:sz="6" w:space="0" w:color="auto"/>
              <w:left w:val="single" w:sz="6" w:space="0" w:color="auto"/>
              <w:bottom w:val="single" w:sz="12" w:space="0" w:color="auto"/>
              <w:right w:val="single" w:sz="6" w:space="0" w:color="auto"/>
            </w:tcBorders>
            <w:vAlign w:val="center"/>
          </w:tcPr>
          <w:p w:rsidR="00E2796D" w:rsidRDefault="00E2796D" w:rsidP="00B141C0">
            <w:pPr>
              <w:jc w:val="center"/>
              <w:rPr>
                <w:rFonts w:ascii="Calibri" w:hAnsi="Calibri"/>
                <w:sz w:val="16"/>
              </w:rPr>
            </w:pPr>
          </w:p>
        </w:tc>
        <w:tc>
          <w:tcPr>
            <w:tcW w:w="2449" w:type="dxa"/>
            <w:tcBorders>
              <w:top w:val="single" w:sz="6" w:space="0" w:color="auto"/>
              <w:left w:val="single" w:sz="6" w:space="0" w:color="auto"/>
              <w:bottom w:val="single" w:sz="12" w:space="0" w:color="auto"/>
              <w:right w:val="single" w:sz="12" w:space="0" w:color="auto"/>
            </w:tcBorders>
            <w:shd w:val="clear" w:color="auto" w:fill="CCFFCC"/>
            <w:vAlign w:val="center"/>
          </w:tcPr>
          <w:p w:rsidR="00E2796D" w:rsidRDefault="00D07BC0" w:rsidP="004E67CD">
            <w:pPr>
              <w:jc w:val="center"/>
              <w:rPr>
                <w:rFonts w:ascii="Calibri" w:hAnsi="Calibri"/>
                <w:sz w:val="16"/>
              </w:rPr>
            </w:pPr>
            <w:r>
              <w:rPr>
                <w:rFonts w:ascii="Calibri" w:hAnsi="Calibri"/>
                <w:sz w:val="16"/>
              </w:rPr>
              <w:t xml:space="preserve">Ensure KPIs </w:t>
            </w:r>
            <w:r w:rsidR="004E67CD">
              <w:rPr>
                <w:rFonts w:ascii="Calibri" w:hAnsi="Calibri"/>
                <w:sz w:val="16"/>
              </w:rPr>
              <w:t xml:space="preserve">are central to </w:t>
            </w:r>
            <w:proofErr w:type="gramStart"/>
            <w:r w:rsidR="004E67CD">
              <w:rPr>
                <w:rFonts w:ascii="Calibri" w:hAnsi="Calibri"/>
                <w:sz w:val="16"/>
              </w:rPr>
              <w:t xml:space="preserve">the </w:t>
            </w:r>
            <w:r>
              <w:rPr>
                <w:rFonts w:ascii="Calibri" w:hAnsi="Calibri"/>
                <w:sz w:val="16"/>
              </w:rPr>
              <w:t xml:space="preserve"> contract</w:t>
            </w:r>
            <w:proofErr w:type="gramEnd"/>
            <w:r>
              <w:rPr>
                <w:rFonts w:ascii="Calibri" w:hAnsi="Calibri"/>
                <w:sz w:val="16"/>
              </w:rPr>
              <w:t xml:space="preserve"> management process.</w:t>
            </w:r>
          </w:p>
        </w:tc>
      </w:tr>
    </w:tbl>
    <w:p w:rsidR="00986EDD" w:rsidRPr="00986EDD" w:rsidRDefault="00986EDD" w:rsidP="00986EDD">
      <w:pPr>
        <w:rPr>
          <w:vanish/>
        </w:rPr>
      </w:pPr>
    </w:p>
    <w:tbl>
      <w:tblPr>
        <w:tblpPr w:leftFromText="180" w:rightFromText="180" w:vertAnchor="text" w:horzAnchor="margin" w:tblpY="-758"/>
        <w:tblW w:w="7812" w:type="dxa"/>
        <w:tblBorders>
          <w:top w:val="single" w:sz="36" w:space="0" w:color="92D050"/>
        </w:tblBorders>
        <w:tblLayout w:type="fixed"/>
        <w:tblLook w:val="0000" w:firstRow="0" w:lastRow="0" w:firstColumn="0" w:lastColumn="0" w:noHBand="0" w:noVBand="0"/>
      </w:tblPr>
      <w:tblGrid>
        <w:gridCol w:w="7812"/>
      </w:tblGrid>
      <w:tr w:rsidR="00E2796D" w:rsidTr="00EF1DF4">
        <w:tc>
          <w:tcPr>
            <w:tcW w:w="7812" w:type="dxa"/>
          </w:tcPr>
          <w:p w:rsidR="00E2796D" w:rsidRDefault="00D07BC0">
            <w:pPr>
              <w:pStyle w:val="Standard"/>
              <w:snapToGrid w:val="0"/>
              <w:spacing w:before="240" w:after="600" w:line="240" w:lineRule="auto"/>
              <w:jc w:val="both"/>
              <w:rPr>
                <w:rFonts w:ascii="Corbel" w:hAnsi="Corbel" w:cs="Calibri"/>
                <w:color w:val="000000"/>
                <w:spacing w:val="80"/>
                <w:sz w:val="34"/>
                <w:szCs w:val="34"/>
              </w:rPr>
            </w:pPr>
            <w:r>
              <w:rPr>
                <w:rFonts w:ascii="Corbel" w:hAnsi="Corbel" w:cs="Calibri"/>
                <w:color w:val="000000"/>
                <w:spacing w:val="80"/>
                <w:sz w:val="34"/>
                <w:szCs w:val="34"/>
              </w:rPr>
              <w:t>Action Plan</w:t>
            </w:r>
          </w:p>
        </w:tc>
      </w:tr>
    </w:tbl>
    <w:p w:rsidR="00986EDD" w:rsidRPr="00986EDD" w:rsidRDefault="00986EDD" w:rsidP="00986EDD">
      <w:pPr>
        <w:rPr>
          <w:rFonts w:ascii="Calibri" w:hAnsi="Calibri" w:cs="Times New Roman"/>
          <w:vanish/>
          <w:sz w:val="22"/>
          <w:szCs w:val="22"/>
        </w:rPr>
      </w:pPr>
    </w:p>
    <w:tbl>
      <w:tblPr>
        <w:tblpPr w:leftFromText="180" w:rightFromText="180" w:vertAnchor="page" w:horzAnchor="margin" w:tblpXSpec="right" w:tblpY="1441"/>
        <w:tblW w:w="0" w:type="auto"/>
        <w:tblLook w:val="0000" w:firstRow="0" w:lastRow="0" w:firstColumn="0" w:lastColumn="0" w:noHBand="0" w:noVBand="0"/>
      </w:tblPr>
      <w:tblGrid>
        <w:gridCol w:w="360"/>
        <w:gridCol w:w="2500"/>
      </w:tblGrid>
      <w:tr w:rsidR="00EF1DF4" w:rsidTr="00B141C0">
        <w:trPr>
          <w:trHeight w:val="426"/>
        </w:trPr>
        <w:tc>
          <w:tcPr>
            <w:tcW w:w="2860" w:type="dxa"/>
            <w:gridSpan w:val="2"/>
            <w:shd w:val="clear" w:color="auto" w:fill="auto"/>
          </w:tcPr>
          <w:p w:rsidR="00EF1DF4" w:rsidRPr="00986EDD" w:rsidRDefault="00EF1DF4" w:rsidP="006F4A8E">
            <w:pPr>
              <w:jc w:val="center"/>
              <w:rPr>
                <w:rFonts w:ascii="Calibri" w:hAnsi="Calibri" w:cs="Calibri"/>
                <w:b/>
                <w:sz w:val="20"/>
              </w:rPr>
            </w:pPr>
            <w:r w:rsidRPr="00986EDD">
              <w:rPr>
                <w:rFonts w:ascii="Calibri" w:hAnsi="Calibri" w:cs="Calibri"/>
                <w:b/>
                <w:sz w:val="20"/>
              </w:rPr>
              <w:t>Flexible Framework Ambition</w:t>
            </w:r>
          </w:p>
        </w:tc>
      </w:tr>
      <w:tr w:rsidR="00E2796D" w:rsidTr="00B141C0">
        <w:trPr>
          <w:trHeight w:val="243"/>
        </w:trPr>
        <w:tc>
          <w:tcPr>
            <w:tcW w:w="3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CCFF"/>
          </w:tcPr>
          <w:p w:rsidR="00E2796D" w:rsidRDefault="00E2796D">
            <w:pPr>
              <w:rPr>
                <w:sz w:val="18"/>
              </w:rPr>
            </w:pPr>
          </w:p>
        </w:tc>
        <w:tc>
          <w:tcPr>
            <w:tcW w:w="2500" w:type="dxa"/>
            <w:tcBorders>
              <w:left w:val="single" w:sz="24" w:space="0" w:color="FFFFFF" w:themeColor="background1"/>
            </w:tcBorders>
            <w:vAlign w:val="center"/>
          </w:tcPr>
          <w:p w:rsidR="00E2796D" w:rsidRDefault="00D07BC0" w:rsidP="00B141C0">
            <w:pPr>
              <w:rPr>
                <w:sz w:val="18"/>
              </w:rPr>
            </w:pPr>
            <w:r>
              <w:rPr>
                <w:sz w:val="18"/>
              </w:rPr>
              <w:t>Foundation</w:t>
            </w:r>
          </w:p>
        </w:tc>
      </w:tr>
      <w:tr w:rsidR="00E2796D" w:rsidTr="00B141C0">
        <w:trPr>
          <w:trHeight w:val="261"/>
        </w:trPr>
        <w:tc>
          <w:tcPr>
            <w:tcW w:w="3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99"/>
          </w:tcPr>
          <w:p w:rsidR="00E2796D" w:rsidRDefault="00E2796D">
            <w:pPr>
              <w:rPr>
                <w:sz w:val="18"/>
              </w:rPr>
            </w:pPr>
          </w:p>
        </w:tc>
        <w:tc>
          <w:tcPr>
            <w:tcW w:w="2500" w:type="dxa"/>
            <w:tcBorders>
              <w:left w:val="single" w:sz="24" w:space="0" w:color="FFFFFF" w:themeColor="background1"/>
            </w:tcBorders>
            <w:vAlign w:val="center"/>
          </w:tcPr>
          <w:p w:rsidR="00E2796D" w:rsidRDefault="00D07BC0" w:rsidP="00B141C0">
            <w:pPr>
              <w:rPr>
                <w:sz w:val="18"/>
              </w:rPr>
            </w:pPr>
            <w:r>
              <w:rPr>
                <w:sz w:val="18"/>
              </w:rPr>
              <w:t>Embed</w:t>
            </w:r>
          </w:p>
        </w:tc>
      </w:tr>
      <w:tr w:rsidR="00E2796D" w:rsidTr="00B141C0">
        <w:trPr>
          <w:trHeight w:val="261"/>
        </w:trPr>
        <w:tc>
          <w:tcPr>
            <w:tcW w:w="3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CFFCC"/>
          </w:tcPr>
          <w:p w:rsidR="00E2796D" w:rsidRDefault="00E2796D">
            <w:pPr>
              <w:rPr>
                <w:sz w:val="18"/>
              </w:rPr>
            </w:pPr>
          </w:p>
        </w:tc>
        <w:tc>
          <w:tcPr>
            <w:tcW w:w="2500" w:type="dxa"/>
            <w:tcBorders>
              <w:left w:val="single" w:sz="24" w:space="0" w:color="FFFFFF" w:themeColor="background1"/>
            </w:tcBorders>
            <w:vAlign w:val="center"/>
          </w:tcPr>
          <w:p w:rsidR="00E2796D" w:rsidRDefault="00D07BC0" w:rsidP="00B141C0">
            <w:pPr>
              <w:rPr>
                <w:sz w:val="18"/>
              </w:rPr>
            </w:pPr>
            <w:r>
              <w:rPr>
                <w:sz w:val="18"/>
              </w:rPr>
              <w:t>Practice</w:t>
            </w:r>
          </w:p>
        </w:tc>
      </w:tr>
    </w:tbl>
    <w:p w:rsidR="00E2796D" w:rsidRDefault="00E2796D" w:rsidP="00BC4319">
      <w:pPr>
        <w:rPr>
          <w:sz w:val="18"/>
        </w:rPr>
      </w:pPr>
    </w:p>
    <w:sectPr w:rsidR="00E2796D" w:rsidSect="00EF1DF4">
      <w:footerReference w:type="default" r:id="rId17"/>
      <w:footnotePr>
        <w:pos w:val="beneathText"/>
      </w:footnotePr>
      <w:type w:val="continuous"/>
      <w:pgSz w:w="16837" w:h="11905" w:orient="landscape"/>
      <w:pgMar w:top="2155" w:right="1440" w:bottom="2155"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C99" w:rsidRDefault="00A71C99">
      <w:r>
        <w:separator/>
      </w:r>
    </w:p>
  </w:endnote>
  <w:endnote w:type="continuationSeparator" w:id="0">
    <w:p w:rsidR="00A71C99" w:rsidRDefault="00A7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0F" w:rsidRDefault="002B7F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9F" w:rsidRDefault="00FD5B9F">
    <w:pPr>
      <w:pStyle w:val="Footer"/>
      <w:jc w:val="right"/>
    </w:pPr>
  </w:p>
  <w:p w:rsidR="00FD5B9F" w:rsidRDefault="00FD5B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8B" w:rsidRDefault="00F1488B">
    <w:pPr>
      <w:pStyle w:val="Footer"/>
      <w:jc w:val="right"/>
    </w:pPr>
    <w:r>
      <w:fldChar w:fldCharType="begin"/>
    </w:r>
    <w:r>
      <w:instrText xml:space="preserve"> PAGE   \* MERGEFORMAT </w:instrText>
    </w:r>
    <w:r>
      <w:fldChar w:fldCharType="separate"/>
    </w:r>
    <w:r>
      <w:rPr>
        <w:noProof/>
      </w:rPr>
      <w:t>2</w:t>
    </w:r>
    <w:r>
      <w:rPr>
        <w:noProof/>
      </w:rPr>
      <w:fldChar w:fldCharType="end"/>
    </w:r>
  </w:p>
  <w:p w:rsidR="00F1488B" w:rsidRDefault="00F1488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012709"/>
      <w:docPartObj>
        <w:docPartGallery w:val="Page Numbers (Bottom of Page)"/>
        <w:docPartUnique/>
      </w:docPartObj>
    </w:sdtPr>
    <w:sdtEndPr>
      <w:rPr>
        <w:noProof/>
        <w:sz w:val="18"/>
        <w:szCs w:val="18"/>
      </w:rPr>
    </w:sdtEndPr>
    <w:sdtContent>
      <w:p w:rsidR="002B7F0F" w:rsidRPr="002B7F0F" w:rsidRDefault="002B7F0F">
        <w:pPr>
          <w:pStyle w:val="Footer"/>
          <w:jc w:val="right"/>
          <w:rPr>
            <w:sz w:val="18"/>
            <w:szCs w:val="18"/>
          </w:rPr>
        </w:pPr>
        <w:r w:rsidRPr="002B7F0F">
          <w:rPr>
            <w:sz w:val="18"/>
            <w:szCs w:val="18"/>
          </w:rPr>
          <w:fldChar w:fldCharType="begin"/>
        </w:r>
        <w:r w:rsidRPr="002B7F0F">
          <w:rPr>
            <w:sz w:val="18"/>
            <w:szCs w:val="18"/>
          </w:rPr>
          <w:instrText xml:space="preserve"> PAGE   \* MERGEFORMAT </w:instrText>
        </w:r>
        <w:r w:rsidRPr="002B7F0F">
          <w:rPr>
            <w:sz w:val="18"/>
            <w:szCs w:val="18"/>
          </w:rPr>
          <w:fldChar w:fldCharType="separate"/>
        </w:r>
        <w:r>
          <w:rPr>
            <w:noProof/>
            <w:sz w:val="18"/>
            <w:szCs w:val="18"/>
          </w:rPr>
          <w:t>1</w:t>
        </w:r>
        <w:r w:rsidRPr="002B7F0F">
          <w:rPr>
            <w:noProof/>
            <w:sz w:val="18"/>
            <w:szCs w:val="18"/>
          </w:rPr>
          <w:fldChar w:fldCharType="end"/>
        </w:r>
      </w:p>
    </w:sdtContent>
  </w:sdt>
  <w:p w:rsidR="00F1488B" w:rsidRDefault="00F1488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8B" w:rsidRDefault="00F1488B">
    <w:pPr>
      <w:pStyle w:val="Footer"/>
      <w:rPr>
        <w:rFonts w:cs="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C99" w:rsidRDefault="00A71C99">
      <w:r>
        <w:separator/>
      </w:r>
    </w:p>
  </w:footnote>
  <w:footnote w:type="continuationSeparator" w:id="0">
    <w:p w:rsidR="00A71C99" w:rsidRDefault="00A71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0F" w:rsidRDefault="002B7F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0F" w:rsidRDefault="002B7F0F">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0F" w:rsidRDefault="002B7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decimal"/>
      <w:lvlText w:val="%1."/>
      <w:lvlJc w:val="left"/>
      <w:pPr>
        <w:tabs>
          <w:tab w:val="num" w:pos="360"/>
        </w:tabs>
      </w:pPr>
    </w:lvl>
    <w:lvl w:ilvl="1">
      <w:numFmt w:val="bullet"/>
      <w:lvlText w:val="»"/>
      <w:lvlJc w:val="left"/>
      <w:pPr>
        <w:tabs>
          <w:tab w:val="num" w:pos="1080"/>
        </w:tabs>
      </w:pPr>
      <w:rPr>
        <w:rFonts w:ascii="Arial" w:hAnsi="Arial"/>
      </w:rPr>
    </w:lvl>
    <w:lvl w:ilvl="2">
      <w:start w:val="1"/>
      <w:numFmt w:val="lowerRoman"/>
      <w:lvlText w:val="%3."/>
      <w:lvlJc w:val="right"/>
      <w:pPr>
        <w:tabs>
          <w:tab w:val="num" w:pos="1800"/>
        </w:tabs>
      </w:pPr>
      <w:rPr>
        <w:rFonts w:ascii="Times New Roman" w:hAnsi="Times New Roman" w:cs="Times New Roman"/>
      </w:rPr>
    </w:lvl>
    <w:lvl w:ilvl="3">
      <w:start w:val="1"/>
      <w:numFmt w:val="decimal"/>
      <w:lvlText w:val="%4."/>
      <w:lvlJc w:val="left"/>
      <w:pPr>
        <w:tabs>
          <w:tab w:val="num" w:pos="2520"/>
        </w:tabs>
      </w:pPr>
      <w:rPr>
        <w:rFonts w:ascii="Times New Roman" w:hAnsi="Times New Roman" w:cs="Times New Roman"/>
      </w:rPr>
    </w:lvl>
    <w:lvl w:ilvl="4">
      <w:start w:val="1"/>
      <w:numFmt w:val="lowerLetter"/>
      <w:lvlText w:val="%5."/>
      <w:lvlJc w:val="left"/>
      <w:pPr>
        <w:tabs>
          <w:tab w:val="num" w:pos="3240"/>
        </w:tabs>
      </w:pPr>
      <w:rPr>
        <w:rFonts w:ascii="Times New Roman" w:hAnsi="Times New Roman" w:cs="Times New Roman"/>
      </w:rPr>
    </w:lvl>
    <w:lvl w:ilvl="5">
      <w:start w:val="1"/>
      <w:numFmt w:val="lowerRoman"/>
      <w:lvlText w:val="%6."/>
      <w:lvlJc w:val="right"/>
      <w:pPr>
        <w:tabs>
          <w:tab w:val="num" w:pos="3960"/>
        </w:tabs>
      </w:pPr>
      <w:rPr>
        <w:rFonts w:ascii="Times New Roman" w:hAnsi="Times New Roman" w:cs="Times New Roman"/>
      </w:rPr>
    </w:lvl>
    <w:lvl w:ilvl="6">
      <w:start w:val="1"/>
      <w:numFmt w:val="decimal"/>
      <w:lvlText w:val="%7."/>
      <w:lvlJc w:val="left"/>
      <w:pPr>
        <w:tabs>
          <w:tab w:val="num" w:pos="4680"/>
        </w:tabs>
      </w:pPr>
      <w:rPr>
        <w:rFonts w:ascii="Times New Roman" w:hAnsi="Times New Roman" w:cs="Times New Roman"/>
      </w:rPr>
    </w:lvl>
    <w:lvl w:ilvl="7">
      <w:start w:val="1"/>
      <w:numFmt w:val="lowerLetter"/>
      <w:lvlText w:val="%8."/>
      <w:lvlJc w:val="left"/>
      <w:pPr>
        <w:tabs>
          <w:tab w:val="num" w:pos="5400"/>
        </w:tabs>
      </w:pPr>
      <w:rPr>
        <w:rFonts w:ascii="Times New Roman" w:hAnsi="Times New Roman" w:cs="Times New Roman"/>
      </w:rPr>
    </w:lvl>
    <w:lvl w:ilvl="8">
      <w:start w:val="1"/>
      <w:numFmt w:val="lowerRoman"/>
      <w:lvlText w:val="%9."/>
      <w:lvlJc w:val="right"/>
      <w:pPr>
        <w:tabs>
          <w:tab w:val="num" w:pos="6120"/>
        </w:tabs>
      </w:pPr>
      <w:rPr>
        <w:rFonts w:ascii="Times New Roman" w:hAnsi="Times New Roman" w:cs="Times New Roman"/>
      </w:rPr>
    </w:lvl>
  </w:abstractNum>
  <w:abstractNum w:abstractNumId="1">
    <w:nsid w:val="00000002"/>
    <w:multiLevelType w:val="multilevel"/>
    <w:tmpl w:val="00000002"/>
    <w:name w:val="WW8Num8"/>
    <w:lvl w:ilvl="0">
      <w:numFmt w:val="bullet"/>
      <w:lvlText w:val=""/>
      <w:lvlJc w:val="left"/>
      <w:pPr>
        <w:tabs>
          <w:tab w:val="num" w:pos="720"/>
        </w:tabs>
      </w:pPr>
      <w:rPr>
        <w:rFonts w:ascii="Symbol" w:hAnsi="Symbol"/>
      </w:rPr>
    </w:lvl>
    <w:lvl w:ilvl="1">
      <w:numFmt w:val="bullet"/>
      <w:lvlText w:val=""/>
      <w:lvlJc w:val="left"/>
      <w:pPr>
        <w:tabs>
          <w:tab w:val="num" w:pos="360"/>
        </w:tabs>
      </w:pPr>
      <w:rPr>
        <w:rFonts w:ascii="Symbol" w:hAnsi="Symbol"/>
      </w:rPr>
    </w:lvl>
    <w:lvl w:ilvl="2">
      <w:start w:val="1"/>
      <w:numFmt w:val="lowerRoman"/>
      <w:lvlText w:val="%3."/>
      <w:lvlJc w:val="right"/>
      <w:pPr>
        <w:tabs>
          <w:tab w:val="num" w:pos="2160"/>
        </w:tabs>
      </w:pPr>
      <w:rPr>
        <w:rFonts w:ascii="Times New Roman" w:hAnsi="Times New Roman" w:cs="Times New Roman"/>
      </w:rPr>
    </w:lvl>
    <w:lvl w:ilvl="3">
      <w:start w:val="1"/>
      <w:numFmt w:val="decimal"/>
      <w:lvlText w:val="%4."/>
      <w:lvlJc w:val="left"/>
      <w:pPr>
        <w:tabs>
          <w:tab w:val="num" w:pos="2880"/>
        </w:tabs>
      </w:pPr>
      <w:rPr>
        <w:rFonts w:ascii="Times New Roman" w:hAnsi="Times New Roman" w:cs="Times New Roman"/>
      </w:rPr>
    </w:lvl>
    <w:lvl w:ilvl="4">
      <w:start w:val="1"/>
      <w:numFmt w:val="lowerLetter"/>
      <w:lvlText w:val="%5."/>
      <w:lvlJc w:val="left"/>
      <w:pPr>
        <w:tabs>
          <w:tab w:val="num" w:pos="3600"/>
        </w:tabs>
      </w:pPr>
      <w:rPr>
        <w:rFonts w:ascii="Times New Roman" w:hAnsi="Times New Roman" w:cs="Times New Roman"/>
      </w:rPr>
    </w:lvl>
    <w:lvl w:ilvl="5">
      <w:start w:val="1"/>
      <w:numFmt w:val="lowerRoman"/>
      <w:lvlText w:val="%6."/>
      <w:lvlJc w:val="right"/>
      <w:pPr>
        <w:tabs>
          <w:tab w:val="num" w:pos="4320"/>
        </w:tabs>
      </w:pPr>
      <w:rPr>
        <w:rFonts w:ascii="Times New Roman" w:hAnsi="Times New Roman" w:cs="Times New Roman"/>
      </w:rPr>
    </w:lvl>
    <w:lvl w:ilvl="6">
      <w:start w:val="1"/>
      <w:numFmt w:val="decimal"/>
      <w:lvlText w:val="%7."/>
      <w:lvlJc w:val="left"/>
      <w:pPr>
        <w:tabs>
          <w:tab w:val="num" w:pos="5040"/>
        </w:tabs>
      </w:pPr>
      <w:rPr>
        <w:rFonts w:ascii="Times New Roman" w:hAnsi="Times New Roman" w:cs="Times New Roman"/>
      </w:rPr>
    </w:lvl>
    <w:lvl w:ilvl="7">
      <w:start w:val="1"/>
      <w:numFmt w:val="lowerLetter"/>
      <w:lvlText w:val="%8."/>
      <w:lvlJc w:val="left"/>
      <w:pPr>
        <w:tabs>
          <w:tab w:val="num" w:pos="5760"/>
        </w:tabs>
      </w:pPr>
      <w:rPr>
        <w:rFonts w:ascii="Times New Roman" w:hAnsi="Times New Roman" w:cs="Times New Roman"/>
      </w:rPr>
    </w:lvl>
    <w:lvl w:ilvl="8">
      <w:start w:val="1"/>
      <w:numFmt w:val="lowerRoman"/>
      <w:lvlText w:val="%9."/>
      <w:lvlJc w:val="right"/>
      <w:pPr>
        <w:tabs>
          <w:tab w:val="num" w:pos="6480"/>
        </w:tabs>
      </w:pPr>
      <w:rPr>
        <w:rFonts w:ascii="Times New Roman" w:hAnsi="Times New Roman" w:cs="Times New Roman"/>
      </w:rPr>
    </w:lvl>
  </w:abstractNum>
  <w:abstractNum w:abstractNumId="2">
    <w:nsid w:val="00000003"/>
    <w:multiLevelType w:val="multilevel"/>
    <w:tmpl w:val="71E86FD4"/>
    <w:lvl w:ilvl="0">
      <w:start w:val="1"/>
      <w:numFmt w:val="bullet"/>
      <w:lvlText w:val=""/>
      <w:lvlJc w:val="left"/>
      <w:pPr>
        <w:tabs>
          <w:tab w:val="num" w:pos="360"/>
        </w:tabs>
      </w:pPr>
      <w:rPr>
        <w:rFonts w:ascii="Symbol" w:hAnsi="Symbol" w:hint="default"/>
      </w:rPr>
    </w:lvl>
    <w:lvl w:ilvl="1">
      <w:numFmt w:val="bullet"/>
      <w:lvlText w:val="o"/>
      <w:lvlJc w:val="left"/>
      <w:pPr>
        <w:tabs>
          <w:tab w:val="num" w:pos="1222"/>
        </w:tabs>
      </w:pPr>
      <w:rPr>
        <w:rFonts w:ascii="Courier New" w:hAnsi="Courier New" w:cs="Courier New"/>
      </w:rPr>
    </w:lvl>
    <w:lvl w:ilvl="2">
      <w:numFmt w:val="bullet"/>
      <w:lvlText w:val=""/>
      <w:lvlJc w:val="left"/>
      <w:pPr>
        <w:tabs>
          <w:tab w:val="num" w:pos="1942"/>
        </w:tabs>
      </w:pPr>
      <w:rPr>
        <w:rFonts w:ascii="Wingdings" w:hAnsi="Wingdings" w:cs="Times New Roman"/>
      </w:rPr>
    </w:lvl>
    <w:lvl w:ilvl="3">
      <w:numFmt w:val="bullet"/>
      <w:lvlText w:val=""/>
      <w:lvlJc w:val="left"/>
      <w:pPr>
        <w:tabs>
          <w:tab w:val="num" w:pos="2662"/>
        </w:tabs>
      </w:pPr>
      <w:rPr>
        <w:rFonts w:ascii="Symbol" w:hAnsi="Symbol" w:cs="Times New Roman"/>
      </w:rPr>
    </w:lvl>
    <w:lvl w:ilvl="4">
      <w:numFmt w:val="bullet"/>
      <w:lvlText w:val="o"/>
      <w:lvlJc w:val="left"/>
      <w:pPr>
        <w:tabs>
          <w:tab w:val="num" w:pos="3382"/>
        </w:tabs>
      </w:pPr>
      <w:rPr>
        <w:rFonts w:ascii="Courier New" w:hAnsi="Courier New" w:cs="Courier New"/>
      </w:rPr>
    </w:lvl>
    <w:lvl w:ilvl="5">
      <w:numFmt w:val="bullet"/>
      <w:lvlText w:val=""/>
      <w:lvlJc w:val="left"/>
      <w:pPr>
        <w:tabs>
          <w:tab w:val="num" w:pos="4102"/>
        </w:tabs>
      </w:pPr>
      <w:rPr>
        <w:rFonts w:ascii="Wingdings" w:hAnsi="Wingdings" w:cs="Times New Roman"/>
      </w:rPr>
    </w:lvl>
    <w:lvl w:ilvl="6">
      <w:numFmt w:val="bullet"/>
      <w:lvlText w:val=""/>
      <w:lvlJc w:val="left"/>
      <w:pPr>
        <w:tabs>
          <w:tab w:val="num" w:pos="4822"/>
        </w:tabs>
      </w:pPr>
      <w:rPr>
        <w:rFonts w:ascii="Symbol" w:hAnsi="Symbol" w:cs="Times New Roman"/>
      </w:rPr>
    </w:lvl>
    <w:lvl w:ilvl="7">
      <w:numFmt w:val="bullet"/>
      <w:lvlText w:val="o"/>
      <w:lvlJc w:val="left"/>
      <w:pPr>
        <w:tabs>
          <w:tab w:val="num" w:pos="5542"/>
        </w:tabs>
      </w:pPr>
      <w:rPr>
        <w:rFonts w:ascii="Courier New" w:hAnsi="Courier New" w:cs="Courier New"/>
      </w:rPr>
    </w:lvl>
    <w:lvl w:ilvl="8">
      <w:numFmt w:val="bullet"/>
      <w:lvlText w:val=""/>
      <w:lvlJc w:val="left"/>
      <w:pPr>
        <w:tabs>
          <w:tab w:val="num" w:pos="6262"/>
        </w:tabs>
      </w:pPr>
      <w:rPr>
        <w:rFonts w:ascii="Wingdings" w:hAnsi="Wingdings" w:cs="Times New Roman"/>
      </w:rPr>
    </w:lvl>
  </w:abstractNum>
  <w:abstractNum w:abstractNumId="3">
    <w:nsid w:val="00000004"/>
    <w:multiLevelType w:val="multilevel"/>
    <w:tmpl w:val="00000004"/>
    <w:name w:val="WW8Num27"/>
    <w:lvl w:ilvl="0">
      <w:numFmt w:val="bullet"/>
      <w:lvlText w:val="»"/>
      <w:lvlJc w:val="left"/>
      <w:pPr>
        <w:tabs>
          <w:tab w:val="num" w:pos="360"/>
        </w:tabs>
      </w:pPr>
      <w:rPr>
        <w:rFonts w:ascii="Arial" w:hAnsi="Arial" w:cs="Arial"/>
        <w:color w:val="000000"/>
      </w:rPr>
    </w:lvl>
    <w:lvl w:ilvl="1">
      <w:numFmt w:val="bullet"/>
      <w:lvlText w:val="o"/>
      <w:lvlJc w:val="left"/>
      <w:pPr>
        <w:tabs>
          <w:tab w:val="num" w:pos="8468"/>
        </w:tabs>
      </w:pPr>
      <w:rPr>
        <w:rFonts w:ascii="Courier New" w:hAnsi="Courier New"/>
      </w:rPr>
    </w:lvl>
    <w:lvl w:ilvl="2">
      <w:numFmt w:val="bullet"/>
      <w:lvlText w:val=""/>
      <w:lvlJc w:val="left"/>
      <w:pPr>
        <w:tabs>
          <w:tab w:val="num" w:pos="9188"/>
        </w:tabs>
      </w:pPr>
      <w:rPr>
        <w:rFonts w:ascii="Wingdings" w:hAnsi="Wingdings"/>
      </w:rPr>
    </w:lvl>
    <w:lvl w:ilvl="3">
      <w:numFmt w:val="bullet"/>
      <w:lvlText w:val=""/>
      <w:lvlJc w:val="left"/>
      <w:pPr>
        <w:tabs>
          <w:tab w:val="num" w:pos="9908"/>
        </w:tabs>
      </w:pPr>
      <w:rPr>
        <w:rFonts w:ascii="Symbol" w:hAnsi="Symbol" w:cs="Times New Roman"/>
      </w:rPr>
    </w:lvl>
    <w:lvl w:ilvl="4">
      <w:numFmt w:val="bullet"/>
      <w:lvlText w:val="o"/>
      <w:lvlJc w:val="left"/>
      <w:pPr>
        <w:tabs>
          <w:tab w:val="num" w:pos="10628"/>
        </w:tabs>
      </w:pPr>
      <w:rPr>
        <w:rFonts w:ascii="Courier New" w:hAnsi="Courier New"/>
      </w:rPr>
    </w:lvl>
    <w:lvl w:ilvl="5">
      <w:numFmt w:val="bullet"/>
      <w:lvlText w:val=""/>
      <w:lvlJc w:val="left"/>
      <w:pPr>
        <w:tabs>
          <w:tab w:val="num" w:pos="11348"/>
        </w:tabs>
      </w:pPr>
      <w:rPr>
        <w:rFonts w:ascii="Wingdings" w:hAnsi="Wingdings"/>
      </w:rPr>
    </w:lvl>
    <w:lvl w:ilvl="6">
      <w:numFmt w:val="bullet"/>
      <w:lvlText w:val=""/>
      <w:lvlJc w:val="left"/>
      <w:pPr>
        <w:tabs>
          <w:tab w:val="num" w:pos="12068"/>
        </w:tabs>
      </w:pPr>
      <w:rPr>
        <w:rFonts w:ascii="Symbol" w:hAnsi="Symbol" w:cs="Times New Roman"/>
      </w:rPr>
    </w:lvl>
    <w:lvl w:ilvl="7">
      <w:numFmt w:val="bullet"/>
      <w:lvlText w:val="o"/>
      <w:lvlJc w:val="left"/>
      <w:pPr>
        <w:tabs>
          <w:tab w:val="num" w:pos="12788"/>
        </w:tabs>
      </w:pPr>
      <w:rPr>
        <w:rFonts w:ascii="Courier New" w:hAnsi="Courier New"/>
      </w:rPr>
    </w:lvl>
    <w:lvl w:ilvl="8">
      <w:numFmt w:val="bullet"/>
      <w:lvlText w:val=""/>
      <w:lvlJc w:val="left"/>
      <w:pPr>
        <w:tabs>
          <w:tab w:val="num" w:pos="13508"/>
        </w:tabs>
      </w:pPr>
      <w:rPr>
        <w:rFonts w:ascii="Wingdings" w:hAnsi="Wingdings"/>
      </w:rPr>
    </w:lvl>
  </w:abstractNum>
  <w:abstractNum w:abstractNumId="4">
    <w:nsid w:val="00000005"/>
    <w:multiLevelType w:val="multilevel"/>
    <w:tmpl w:val="00000005"/>
    <w:name w:val="WW8Num28"/>
    <w:lvl w:ilvl="0">
      <w:numFmt w:val="bullet"/>
      <w:lvlText w:val=""/>
      <w:lvlJc w:val="left"/>
      <w:pPr>
        <w:tabs>
          <w:tab w:val="num" w:pos="720"/>
        </w:tabs>
      </w:pPr>
      <w:rPr>
        <w:rFonts w:ascii="Symbol" w:hAnsi="Symbol"/>
        <w:color w:val="000000"/>
      </w:rPr>
    </w:lvl>
    <w:lvl w:ilvl="1">
      <w:numFmt w:val="bullet"/>
      <w:lvlText w:val=""/>
      <w:lvlJc w:val="left"/>
      <w:pPr>
        <w:tabs>
          <w:tab w:val="num" w:pos="1440"/>
        </w:tabs>
      </w:pPr>
      <w:rPr>
        <w:rFonts w:ascii="Symbol" w:hAnsi="Symbol" w:cs="Courier New"/>
      </w:rPr>
    </w:lvl>
    <w:lvl w:ilvl="2">
      <w:start w:val="1"/>
      <w:numFmt w:val="lowerRoman"/>
      <w:lvlText w:val="%3."/>
      <w:lvlJc w:val="right"/>
      <w:pPr>
        <w:tabs>
          <w:tab w:val="num" w:pos="2160"/>
        </w:tabs>
      </w:pPr>
      <w:rPr>
        <w:rFonts w:ascii="Wingdings" w:hAnsi="Wingdings"/>
      </w:rPr>
    </w:lvl>
    <w:lvl w:ilvl="3">
      <w:start w:val="1"/>
      <w:numFmt w:val="decimal"/>
      <w:lvlText w:val="%4."/>
      <w:lvlJc w:val="left"/>
      <w:pPr>
        <w:tabs>
          <w:tab w:val="num" w:pos="2880"/>
        </w:tabs>
      </w:pPr>
      <w:rPr>
        <w:rFonts w:ascii="Wingdings" w:hAnsi="Wingdings"/>
      </w:rPr>
    </w:lvl>
    <w:lvl w:ilvl="4">
      <w:start w:val="1"/>
      <w:numFmt w:val="lowerLetter"/>
      <w:lvlText w:val="%5."/>
      <w:lvlJc w:val="left"/>
      <w:pPr>
        <w:tabs>
          <w:tab w:val="num" w:pos="3600"/>
        </w:tabs>
      </w:pPr>
      <w:rPr>
        <w:rFonts w:ascii="Wingdings" w:hAnsi="Wingdings"/>
      </w:rPr>
    </w:lvl>
    <w:lvl w:ilvl="5">
      <w:start w:val="1"/>
      <w:numFmt w:val="lowerRoman"/>
      <w:lvlText w:val="%6."/>
      <w:lvlJc w:val="right"/>
      <w:pPr>
        <w:tabs>
          <w:tab w:val="num" w:pos="4320"/>
        </w:tabs>
      </w:pPr>
      <w:rPr>
        <w:rFonts w:ascii="Wingdings" w:hAnsi="Wingdings"/>
      </w:rPr>
    </w:lvl>
    <w:lvl w:ilvl="6">
      <w:start w:val="1"/>
      <w:numFmt w:val="decimal"/>
      <w:lvlText w:val="%7."/>
      <w:lvlJc w:val="left"/>
      <w:pPr>
        <w:tabs>
          <w:tab w:val="num" w:pos="5040"/>
        </w:tabs>
      </w:pPr>
      <w:rPr>
        <w:rFonts w:ascii="Wingdings" w:hAnsi="Wingdings"/>
      </w:rPr>
    </w:lvl>
    <w:lvl w:ilvl="7">
      <w:start w:val="1"/>
      <w:numFmt w:val="lowerLetter"/>
      <w:lvlText w:val="%8."/>
      <w:lvlJc w:val="left"/>
      <w:pPr>
        <w:tabs>
          <w:tab w:val="num" w:pos="5760"/>
        </w:tabs>
      </w:pPr>
      <w:rPr>
        <w:rFonts w:ascii="Wingdings" w:hAnsi="Wingdings"/>
      </w:rPr>
    </w:lvl>
    <w:lvl w:ilvl="8">
      <w:start w:val="1"/>
      <w:numFmt w:val="lowerRoman"/>
      <w:lvlText w:val="%9."/>
      <w:lvlJc w:val="right"/>
      <w:pPr>
        <w:tabs>
          <w:tab w:val="num" w:pos="6480"/>
        </w:tabs>
      </w:pPr>
      <w:rPr>
        <w:rFonts w:ascii="Wingdings" w:hAnsi="Wingdings"/>
      </w:rPr>
    </w:lvl>
  </w:abstractNum>
  <w:abstractNum w:abstractNumId="5">
    <w:nsid w:val="00000006"/>
    <w:multiLevelType w:val="multilevel"/>
    <w:tmpl w:val="00000006"/>
    <w:lvl w:ilvl="0">
      <w:start w:val="1"/>
      <w:numFmt w:val="bullet"/>
      <w:lvlText w:val=""/>
      <w:lvlJc w:val="left"/>
      <w:pPr>
        <w:tabs>
          <w:tab w:val="num" w:pos="720"/>
        </w:tabs>
      </w:pPr>
      <w:rPr>
        <w:rFonts w:ascii="Symbol" w:hAnsi="Symbol"/>
      </w:rPr>
    </w:lvl>
    <w:lvl w:ilvl="1">
      <w:numFmt w:val="bullet"/>
      <w:lvlText w:val=""/>
      <w:lvlJc w:val="left"/>
      <w:pPr>
        <w:tabs>
          <w:tab w:val="num" w:pos="360"/>
        </w:tabs>
      </w:pPr>
      <w:rPr>
        <w:rFonts w:ascii="Symbol" w:hAnsi="Symbol"/>
      </w:rPr>
    </w:lvl>
    <w:lvl w:ilvl="2">
      <w:start w:val="1"/>
      <w:numFmt w:val="lowerRoman"/>
      <w:lvlText w:val="%3."/>
      <w:lvlJc w:val="right"/>
      <w:pPr>
        <w:tabs>
          <w:tab w:val="num" w:pos="2160"/>
        </w:tabs>
      </w:pPr>
      <w:rPr>
        <w:rFonts w:ascii="Times New Roman" w:hAnsi="Times New Roman" w:cs="Times New Roman"/>
      </w:rPr>
    </w:lvl>
    <w:lvl w:ilvl="3">
      <w:start w:val="1"/>
      <w:numFmt w:val="decimal"/>
      <w:lvlText w:val="%4."/>
      <w:lvlJc w:val="left"/>
      <w:pPr>
        <w:tabs>
          <w:tab w:val="num" w:pos="2880"/>
        </w:tabs>
      </w:pPr>
      <w:rPr>
        <w:rFonts w:ascii="Times New Roman" w:hAnsi="Times New Roman" w:cs="Times New Roman"/>
      </w:rPr>
    </w:lvl>
    <w:lvl w:ilvl="4">
      <w:start w:val="1"/>
      <w:numFmt w:val="lowerLetter"/>
      <w:lvlText w:val="%5."/>
      <w:lvlJc w:val="left"/>
      <w:pPr>
        <w:tabs>
          <w:tab w:val="num" w:pos="3600"/>
        </w:tabs>
      </w:pPr>
      <w:rPr>
        <w:rFonts w:ascii="Times New Roman" w:hAnsi="Times New Roman" w:cs="Times New Roman"/>
      </w:rPr>
    </w:lvl>
    <w:lvl w:ilvl="5">
      <w:start w:val="1"/>
      <w:numFmt w:val="lowerRoman"/>
      <w:lvlText w:val="%6."/>
      <w:lvlJc w:val="right"/>
      <w:pPr>
        <w:tabs>
          <w:tab w:val="num" w:pos="4320"/>
        </w:tabs>
      </w:pPr>
      <w:rPr>
        <w:rFonts w:ascii="Times New Roman" w:hAnsi="Times New Roman" w:cs="Times New Roman"/>
      </w:rPr>
    </w:lvl>
    <w:lvl w:ilvl="6">
      <w:start w:val="1"/>
      <w:numFmt w:val="decimal"/>
      <w:lvlText w:val="%7."/>
      <w:lvlJc w:val="left"/>
      <w:pPr>
        <w:tabs>
          <w:tab w:val="num" w:pos="5040"/>
        </w:tabs>
      </w:pPr>
      <w:rPr>
        <w:rFonts w:ascii="Times New Roman" w:hAnsi="Times New Roman" w:cs="Times New Roman"/>
      </w:rPr>
    </w:lvl>
    <w:lvl w:ilvl="7">
      <w:start w:val="1"/>
      <w:numFmt w:val="lowerLetter"/>
      <w:lvlText w:val="%8."/>
      <w:lvlJc w:val="left"/>
      <w:pPr>
        <w:tabs>
          <w:tab w:val="num" w:pos="5760"/>
        </w:tabs>
      </w:pPr>
      <w:rPr>
        <w:rFonts w:ascii="Times New Roman" w:hAnsi="Times New Roman" w:cs="Times New Roman"/>
      </w:rPr>
    </w:lvl>
    <w:lvl w:ilvl="8">
      <w:start w:val="1"/>
      <w:numFmt w:val="lowerRoman"/>
      <w:lvlText w:val="%9."/>
      <w:lvlJc w:val="right"/>
      <w:pPr>
        <w:tabs>
          <w:tab w:val="num" w:pos="6480"/>
        </w:tabs>
      </w:pPr>
      <w:rPr>
        <w:rFonts w:ascii="Times New Roman" w:hAnsi="Times New Roman" w:cs="Times New Roman"/>
      </w:rPr>
    </w:lvl>
  </w:abstractNum>
  <w:abstractNum w:abstractNumId="6">
    <w:nsid w:val="00000007"/>
    <w:multiLevelType w:val="multilevel"/>
    <w:tmpl w:val="00000007"/>
    <w:lvl w:ilvl="0">
      <w:start w:val="1"/>
      <w:numFmt w:val="bullet"/>
      <w:lvlText w:val=""/>
      <w:lvlJc w:val="left"/>
      <w:pPr>
        <w:tabs>
          <w:tab w:val="num" w:pos="720"/>
        </w:tabs>
      </w:pPr>
      <w:rPr>
        <w:rFonts w:ascii="Symbol" w:hAnsi="Symbol"/>
      </w:rPr>
    </w:lvl>
    <w:lvl w:ilvl="1">
      <w:numFmt w:val="bullet"/>
      <w:lvlText w:val=""/>
      <w:lvlJc w:val="left"/>
      <w:pPr>
        <w:tabs>
          <w:tab w:val="num" w:pos="360"/>
        </w:tabs>
      </w:pPr>
      <w:rPr>
        <w:rFonts w:ascii="Symbol" w:hAnsi="Symbol"/>
      </w:rPr>
    </w:lvl>
    <w:lvl w:ilvl="2">
      <w:start w:val="1"/>
      <w:numFmt w:val="lowerRoman"/>
      <w:lvlText w:val="%3."/>
      <w:lvlJc w:val="right"/>
      <w:pPr>
        <w:tabs>
          <w:tab w:val="num" w:pos="2160"/>
        </w:tabs>
      </w:pPr>
      <w:rPr>
        <w:rFonts w:ascii="Times New Roman" w:hAnsi="Times New Roman" w:cs="Times New Roman"/>
      </w:rPr>
    </w:lvl>
    <w:lvl w:ilvl="3">
      <w:start w:val="1"/>
      <w:numFmt w:val="decimal"/>
      <w:lvlText w:val="%4."/>
      <w:lvlJc w:val="left"/>
      <w:pPr>
        <w:tabs>
          <w:tab w:val="num" w:pos="2880"/>
        </w:tabs>
      </w:pPr>
      <w:rPr>
        <w:rFonts w:ascii="Times New Roman" w:hAnsi="Times New Roman" w:cs="Times New Roman"/>
      </w:rPr>
    </w:lvl>
    <w:lvl w:ilvl="4">
      <w:start w:val="1"/>
      <w:numFmt w:val="lowerLetter"/>
      <w:lvlText w:val="%5."/>
      <w:lvlJc w:val="left"/>
      <w:pPr>
        <w:tabs>
          <w:tab w:val="num" w:pos="3600"/>
        </w:tabs>
      </w:pPr>
      <w:rPr>
        <w:rFonts w:ascii="Times New Roman" w:hAnsi="Times New Roman" w:cs="Times New Roman"/>
      </w:rPr>
    </w:lvl>
    <w:lvl w:ilvl="5">
      <w:start w:val="1"/>
      <w:numFmt w:val="lowerRoman"/>
      <w:lvlText w:val="%6."/>
      <w:lvlJc w:val="right"/>
      <w:pPr>
        <w:tabs>
          <w:tab w:val="num" w:pos="4320"/>
        </w:tabs>
      </w:pPr>
      <w:rPr>
        <w:rFonts w:ascii="Times New Roman" w:hAnsi="Times New Roman" w:cs="Times New Roman"/>
      </w:rPr>
    </w:lvl>
    <w:lvl w:ilvl="6">
      <w:start w:val="1"/>
      <w:numFmt w:val="decimal"/>
      <w:lvlText w:val="%7."/>
      <w:lvlJc w:val="left"/>
      <w:pPr>
        <w:tabs>
          <w:tab w:val="num" w:pos="5040"/>
        </w:tabs>
      </w:pPr>
      <w:rPr>
        <w:rFonts w:ascii="Times New Roman" w:hAnsi="Times New Roman" w:cs="Times New Roman"/>
      </w:rPr>
    </w:lvl>
    <w:lvl w:ilvl="7">
      <w:start w:val="1"/>
      <w:numFmt w:val="lowerLetter"/>
      <w:lvlText w:val="%8."/>
      <w:lvlJc w:val="left"/>
      <w:pPr>
        <w:tabs>
          <w:tab w:val="num" w:pos="5760"/>
        </w:tabs>
      </w:pPr>
      <w:rPr>
        <w:rFonts w:ascii="Times New Roman" w:hAnsi="Times New Roman" w:cs="Times New Roman"/>
      </w:rPr>
    </w:lvl>
    <w:lvl w:ilvl="8">
      <w:start w:val="1"/>
      <w:numFmt w:val="lowerRoman"/>
      <w:lvlText w:val="%9."/>
      <w:lvlJc w:val="right"/>
      <w:pPr>
        <w:tabs>
          <w:tab w:val="num" w:pos="6480"/>
        </w:tabs>
      </w:pPr>
      <w:rPr>
        <w:rFonts w:ascii="Times New Roman" w:hAnsi="Times New Roman" w:cs="Times New Roman"/>
      </w:rPr>
    </w:lvl>
  </w:abstractNum>
  <w:abstractNum w:abstractNumId="7">
    <w:nsid w:val="00000008"/>
    <w:multiLevelType w:val="multilevel"/>
    <w:tmpl w:val="00000008"/>
    <w:lvl w:ilvl="0">
      <w:start w:val="1"/>
      <w:numFmt w:val="bullet"/>
      <w:lvlText w:val=""/>
      <w:lvlJc w:val="left"/>
      <w:pPr>
        <w:tabs>
          <w:tab w:val="num" w:pos="720"/>
        </w:tabs>
      </w:pPr>
      <w:rPr>
        <w:rFonts w:ascii="Symbol" w:hAnsi="Symbol"/>
      </w:rPr>
    </w:lvl>
    <w:lvl w:ilvl="1">
      <w:numFmt w:val="bullet"/>
      <w:lvlText w:val=""/>
      <w:lvlJc w:val="left"/>
      <w:pPr>
        <w:tabs>
          <w:tab w:val="num" w:pos="360"/>
        </w:tabs>
      </w:pPr>
      <w:rPr>
        <w:rFonts w:ascii="Symbol" w:hAnsi="Symbol"/>
      </w:rPr>
    </w:lvl>
    <w:lvl w:ilvl="2">
      <w:start w:val="1"/>
      <w:numFmt w:val="lowerRoman"/>
      <w:lvlText w:val="%3."/>
      <w:lvlJc w:val="right"/>
      <w:pPr>
        <w:tabs>
          <w:tab w:val="num" w:pos="2160"/>
        </w:tabs>
      </w:pPr>
      <w:rPr>
        <w:rFonts w:ascii="Times New Roman" w:hAnsi="Times New Roman" w:cs="Times New Roman"/>
      </w:rPr>
    </w:lvl>
    <w:lvl w:ilvl="3">
      <w:start w:val="1"/>
      <w:numFmt w:val="decimal"/>
      <w:lvlText w:val="%4."/>
      <w:lvlJc w:val="left"/>
      <w:pPr>
        <w:tabs>
          <w:tab w:val="num" w:pos="2880"/>
        </w:tabs>
      </w:pPr>
      <w:rPr>
        <w:rFonts w:ascii="Times New Roman" w:hAnsi="Times New Roman" w:cs="Times New Roman"/>
      </w:rPr>
    </w:lvl>
    <w:lvl w:ilvl="4">
      <w:start w:val="1"/>
      <w:numFmt w:val="lowerLetter"/>
      <w:lvlText w:val="%5."/>
      <w:lvlJc w:val="left"/>
      <w:pPr>
        <w:tabs>
          <w:tab w:val="num" w:pos="3600"/>
        </w:tabs>
      </w:pPr>
      <w:rPr>
        <w:rFonts w:ascii="Times New Roman" w:hAnsi="Times New Roman" w:cs="Times New Roman"/>
      </w:rPr>
    </w:lvl>
    <w:lvl w:ilvl="5">
      <w:start w:val="1"/>
      <w:numFmt w:val="lowerRoman"/>
      <w:lvlText w:val="%6."/>
      <w:lvlJc w:val="right"/>
      <w:pPr>
        <w:tabs>
          <w:tab w:val="num" w:pos="4320"/>
        </w:tabs>
      </w:pPr>
      <w:rPr>
        <w:rFonts w:ascii="Times New Roman" w:hAnsi="Times New Roman" w:cs="Times New Roman"/>
      </w:rPr>
    </w:lvl>
    <w:lvl w:ilvl="6">
      <w:start w:val="1"/>
      <w:numFmt w:val="decimal"/>
      <w:lvlText w:val="%7."/>
      <w:lvlJc w:val="left"/>
      <w:pPr>
        <w:tabs>
          <w:tab w:val="num" w:pos="5040"/>
        </w:tabs>
      </w:pPr>
      <w:rPr>
        <w:rFonts w:ascii="Times New Roman" w:hAnsi="Times New Roman" w:cs="Times New Roman"/>
      </w:rPr>
    </w:lvl>
    <w:lvl w:ilvl="7">
      <w:start w:val="1"/>
      <w:numFmt w:val="lowerLetter"/>
      <w:lvlText w:val="%8."/>
      <w:lvlJc w:val="left"/>
      <w:pPr>
        <w:tabs>
          <w:tab w:val="num" w:pos="5760"/>
        </w:tabs>
      </w:pPr>
      <w:rPr>
        <w:rFonts w:ascii="Times New Roman" w:hAnsi="Times New Roman" w:cs="Times New Roman"/>
      </w:rPr>
    </w:lvl>
    <w:lvl w:ilvl="8">
      <w:start w:val="1"/>
      <w:numFmt w:val="lowerRoman"/>
      <w:lvlText w:val="%9."/>
      <w:lvlJc w:val="right"/>
      <w:pPr>
        <w:tabs>
          <w:tab w:val="num" w:pos="6480"/>
        </w:tabs>
      </w:pPr>
      <w:rPr>
        <w:rFonts w:ascii="Times New Roman" w:hAnsi="Times New Roman" w:cs="Times New Roman"/>
      </w:rPr>
    </w:lvl>
  </w:abstractNum>
  <w:abstractNum w:abstractNumId="8">
    <w:nsid w:val="00000009"/>
    <w:multiLevelType w:val="multilevel"/>
    <w:tmpl w:val="00000009"/>
    <w:lvl w:ilvl="0">
      <w:start w:val="1"/>
      <w:numFmt w:val="bullet"/>
      <w:lvlText w:val=""/>
      <w:lvlJc w:val="left"/>
      <w:pPr>
        <w:tabs>
          <w:tab w:val="num" w:pos="720"/>
        </w:tabs>
      </w:pPr>
      <w:rPr>
        <w:rFonts w:ascii="Symbol" w:hAnsi="Symbol"/>
      </w:rPr>
    </w:lvl>
    <w:lvl w:ilvl="1">
      <w:numFmt w:val="bullet"/>
      <w:lvlText w:val=""/>
      <w:lvlJc w:val="left"/>
      <w:pPr>
        <w:tabs>
          <w:tab w:val="num" w:pos="360"/>
        </w:tabs>
      </w:pPr>
      <w:rPr>
        <w:rFonts w:ascii="Symbol" w:hAnsi="Symbol"/>
      </w:rPr>
    </w:lvl>
    <w:lvl w:ilvl="2">
      <w:start w:val="1"/>
      <w:numFmt w:val="lowerRoman"/>
      <w:lvlText w:val="%3."/>
      <w:lvlJc w:val="right"/>
      <w:pPr>
        <w:tabs>
          <w:tab w:val="num" w:pos="2160"/>
        </w:tabs>
      </w:pPr>
      <w:rPr>
        <w:rFonts w:ascii="Times New Roman" w:hAnsi="Times New Roman" w:cs="Times New Roman"/>
      </w:rPr>
    </w:lvl>
    <w:lvl w:ilvl="3">
      <w:start w:val="1"/>
      <w:numFmt w:val="decimal"/>
      <w:lvlText w:val="%4."/>
      <w:lvlJc w:val="left"/>
      <w:pPr>
        <w:tabs>
          <w:tab w:val="num" w:pos="2880"/>
        </w:tabs>
      </w:pPr>
      <w:rPr>
        <w:rFonts w:ascii="Times New Roman" w:hAnsi="Times New Roman" w:cs="Times New Roman"/>
      </w:rPr>
    </w:lvl>
    <w:lvl w:ilvl="4">
      <w:start w:val="1"/>
      <w:numFmt w:val="lowerLetter"/>
      <w:lvlText w:val="%5."/>
      <w:lvlJc w:val="left"/>
      <w:pPr>
        <w:tabs>
          <w:tab w:val="num" w:pos="3600"/>
        </w:tabs>
      </w:pPr>
      <w:rPr>
        <w:rFonts w:ascii="Times New Roman" w:hAnsi="Times New Roman" w:cs="Times New Roman"/>
      </w:rPr>
    </w:lvl>
    <w:lvl w:ilvl="5">
      <w:start w:val="1"/>
      <w:numFmt w:val="lowerRoman"/>
      <w:lvlText w:val="%6."/>
      <w:lvlJc w:val="right"/>
      <w:pPr>
        <w:tabs>
          <w:tab w:val="num" w:pos="4320"/>
        </w:tabs>
      </w:pPr>
      <w:rPr>
        <w:rFonts w:ascii="Times New Roman" w:hAnsi="Times New Roman" w:cs="Times New Roman"/>
      </w:rPr>
    </w:lvl>
    <w:lvl w:ilvl="6">
      <w:start w:val="1"/>
      <w:numFmt w:val="decimal"/>
      <w:lvlText w:val="%7."/>
      <w:lvlJc w:val="left"/>
      <w:pPr>
        <w:tabs>
          <w:tab w:val="num" w:pos="5040"/>
        </w:tabs>
      </w:pPr>
      <w:rPr>
        <w:rFonts w:ascii="Times New Roman" w:hAnsi="Times New Roman" w:cs="Times New Roman"/>
      </w:rPr>
    </w:lvl>
    <w:lvl w:ilvl="7">
      <w:start w:val="1"/>
      <w:numFmt w:val="lowerLetter"/>
      <w:lvlText w:val="%8."/>
      <w:lvlJc w:val="left"/>
      <w:pPr>
        <w:tabs>
          <w:tab w:val="num" w:pos="5760"/>
        </w:tabs>
      </w:pPr>
      <w:rPr>
        <w:rFonts w:ascii="Times New Roman" w:hAnsi="Times New Roman" w:cs="Times New Roman"/>
      </w:rPr>
    </w:lvl>
    <w:lvl w:ilvl="8">
      <w:start w:val="1"/>
      <w:numFmt w:val="lowerRoman"/>
      <w:lvlText w:val="%9."/>
      <w:lvlJc w:val="right"/>
      <w:pPr>
        <w:tabs>
          <w:tab w:val="num" w:pos="6480"/>
        </w:tabs>
      </w:pPr>
      <w:rPr>
        <w:rFonts w:ascii="Times New Roman" w:hAnsi="Times New Roman" w:cs="Times New Roman"/>
      </w:rPr>
    </w:lvl>
  </w:abstractNum>
  <w:abstractNum w:abstractNumId="9">
    <w:nsid w:val="0000000A"/>
    <w:multiLevelType w:val="multilevel"/>
    <w:tmpl w:val="0000000A"/>
    <w:lvl w:ilvl="0">
      <w:start w:val="1"/>
      <w:numFmt w:val="bullet"/>
      <w:lvlText w:val=""/>
      <w:lvlJc w:val="left"/>
      <w:pPr>
        <w:tabs>
          <w:tab w:val="num" w:pos="720"/>
        </w:tabs>
      </w:pPr>
      <w:rPr>
        <w:rFonts w:ascii="Symbol" w:hAnsi="Symbol"/>
      </w:rPr>
    </w:lvl>
    <w:lvl w:ilvl="1">
      <w:numFmt w:val="bullet"/>
      <w:lvlText w:val=""/>
      <w:lvlJc w:val="left"/>
      <w:pPr>
        <w:tabs>
          <w:tab w:val="num" w:pos="360"/>
        </w:tabs>
      </w:pPr>
      <w:rPr>
        <w:rFonts w:ascii="Symbol" w:hAnsi="Symbol"/>
      </w:rPr>
    </w:lvl>
    <w:lvl w:ilvl="2">
      <w:start w:val="1"/>
      <w:numFmt w:val="lowerRoman"/>
      <w:lvlText w:val="%3."/>
      <w:lvlJc w:val="right"/>
      <w:pPr>
        <w:tabs>
          <w:tab w:val="num" w:pos="2160"/>
        </w:tabs>
      </w:pPr>
      <w:rPr>
        <w:rFonts w:ascii="Times New Roman" w:hAnsi="Times New Roman" w:cs="Times New Roman"/>
      </w:rPr>
    </w:lvl>
    <w:lvl w:ilvl="3">
      <w:start w:val="1"/>
      <w:numFmt w:val="decimal"/>
      <w:lvlText w:val="%4."/>
      <w:lvlJc w:val="left"/>
      <w:pPr>
        <w:tabs>
          <w:tab w:val="num" w:pos="2880"/>
        </w:tabs>
      </w:pPr>
      <w:rPr>
        <w:rFonts w:ascii="Times New Roman" w:hAnsi="Times New Roman" w:cs="Times New Roman"/>
      </w:rPr>
    </w:lvl>
    <w:lvl w:ilvl="4">
      <w:start w:val="1"/>
      <w:numFmt w:val="lowerLetter"/>
      <w:lvlText w:val="%5."/>
      <w:lvlJc w:val="left"/>
      <w:pPr>
        <w:tabs>
          <w:tab w:val="num" w:pos="3600"/>
        </w:tabs>
      </w:pPr>
      <w:rPr>
        <w:rFonts w:ascii="Times New Roman" w:hAnsi="Times New Roman" w:cs="Times New Roman"/>
      </w:rPr>
    </w:lvl>
    <w:lvl w:ilvl="5">
      <w:start w:val="1"/>
      <w:numFmt w:val="lowerRoman"/>
      <w:lvlText w:val="%6."/>
      <w:lvlJc w:val="right"/>
      <w:pPr>
        <w:tabs>
          <w:tab w:val="num" w:pos="4320"/>
        </w:tabs>
      </w:pPr>
      <w:rPr>
        <w:rFonts w:ascii="Times New Roman" w:hAnsi="Times New Roman" w:cs="Times New Roman"/>
      </w:rPr>
    </w:lvl>
    <w:lvl w:ilvl="6">
      <w:start w:val="1"/>
      <w:numFmt w:val="decimal"/>
      <w:lvlText w:val="%7."/>
      <w:lvlJc w:val="left"/>
      <w:pPr>
        <w:tabs>
          <w:tab w:val="num" w:pos="5040"/>
        </w:tabs>
      </w:pPr>
      <w:rPr>
        <w:rFonts w:ascii="Times New Roman" w:hAnsi="Times New Roman" w:cs="Times New Roman"/>
      </w:rPr>
    </w:lvl>
    <w:lvl w:ilvl="7">
      <w:start w:val="1"/>
      <w:numFmt w:val="lowerLetter"/>
      <w:lvlText w:val="%8."/>
      <w:lvlJc w:val="left"/>
      <w:pPr>
        <w:tabs>
          <w:tab w:val="num" w:pos="5760"/>
        </w:tabs>
      </w:pPr>
      <w:rPr>
        <w:rFonts w:ascii="Times New Roman" w:hAnsi="Times New Roman" w:cs="Times New Roman"/>
      </w:rPr>
    </w:lvl>
    <w:lvl w:ilvl="8">
      <w:start w:val="1"/>
      <w:numFmt w:val="lowerRoman"/>
      <w:lvlText w:val="%9."/>
      <w:lvlJc w:val="right"/>
      <w:pPr>
        <w:tabs>
          <w:tab w:val="num" w:pos="6480"/>
        </w:tabs>
      </w:pPr>
      <w:rPr>
        <w:rFonts w:ascii="Times New Roman" w:hAnsi="Times New Roman" w:cs="Times New Roman"/>
      </w:rPr>
    </w:lvl>
  </w:abstractNum>
  <w:abstractNum w:abstractNumId="10">
    <w:nsid w:val="0000000B"/>
    <w:multiLevelType w:val="multilevel"/>
    <w:tmpl w:val="B53E7E5E"/>
    <w:lvl w:ilvl="0">
      <w:start w:val="1"/>
      <w:numFmt w:val="bullet"/>
      <w:lvlText w:val=""/>
      <w:lvlJc w:val="left"/>
      <w:pPr>
        <w:tabs>
          <w:tab w:val="num" w:pos="720"/>
        </w:tabs>
      </w:pPr>
      <w:rPr>
        <w:rFonts w:ascii="Symbol" w:hAnsi="Symbol" w:hint="default"/>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
    <w:nsid w:val="0000000C"/>
    <w:multiLevelType w:val="multilevel"/>
    <w:tmpl w:val="0000000C"/>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2">
    <w:nsid w:val="0000000D"/>
    <w:multiLevelType w:val="multilevel"/>
    <w:tmpl w:val="0000000D"/>
    <w:lvl w:ilvl="0">
      <w:start w:val="1"/>
      <w:numFmt w:val="decimal"/>
      <w:lvlText w:val="%1."/>
      <w:lvlJc w:val="left"/>
      <w:pPr>
        <w:tabs>
          <w:tab w:val="num" w:pos="786"/>
        </w:tabs>
      </w:pPr>
    </w:lvl>
    <w:lvl w:ilvl="1">
      <w:numFmt w:val="bullet"/>
      <w:lvlText w:val="»"/>
      <w:lvlJc w:val="left"/>
      <w:pPr>
        <w:tabs>
          <w:tab w:val="num" w:pos="1080"/>
        </w:tabs>
      </w:pPr>
      <w:rPr>
        <w:rFonts w:ascii="Arial" w:hAnsi="Arial"/>
      </w:rPr>
    </w:lvl>
    <w:lvl w:ilvl="2">
      <w:start w:val="1"/>
      <w:numFmt w:val="lowerRoman"/>
      <w:lvlText w:val="%3."/>
      <w:lvlJc w:val="right"/>
      <w:pPr>
        <w:tabs>
          <w:tab w:val="num" w:pos="1800"/>
        </w:tabs>
      </w:pPr>
      <w:rPr>
        <w:rFonts w:ascii="Times New Roman" w:hAnsi="Times New Roman" w:cs="Times New Roman"/>
      </w:rPr>
    </w:lvl>
    <w:lvl w:ilvl="3">
      <w:start w:val="1"/>
      <w:numFmt w:val="decimal"/>
      <w:lvlText w:val="%4."/>
      <w:lvlJc w:val="left"/>
      <w:pPr>
        <w:tabs>
          <w:tab w:val="num" w:pos="2520"/>
        </w:tabs>
      </w:pPr>
      <w:rPr>
        <w:rFonts w:ascii="Times New Roman" w:hAnsi="Times New Roman" w:cs="Times New Roman"/>
      </w:rPr>
    </w:lvl>
    <w:lvl w:ilvl="4">
      <w:start w:val="1"/>
      <w:numFmt w:val="lowerLetter"/>
      <w:lvlText w:val="%5."/>
      <w:lvlJc w:val="left"/>
      <w:pPr>
        <w:tabs>
          <w:tab w:val="num" w:pos="3240"/>
        </w:tabs>
      </w:pPr>
      <w:rPr>
        <w:rFonts w:ascii="Times New Roman" w:hAnsi="Times New Roman" w:cs="Times New Roman"/>
      </w:rPr>
    </w:lvl>
    <w:lvl w:ilvl="5">
      <w:start w:val="1"/>
      <w:numFmt w:val="lowerRoman"/>
      <w:lvlText w:val="%6."/>
      <w:lvlJc w:val="right"/>
      <w:pPr>
        <w:tabs>
          <w:tab w:val="num" w:pos="3960"/>
        </w:tabs>
      </w:pPr>
      <w:rPr>
        <w:rFonts w:ascii="Times New Roman" w:hAnsi="Times New Roman" w:cs="Times New Roman"/>
      </w:rPr>
    </w:lvl>
    <w:lvl w:ilvl="6">
      <w:start w:val="1"/>
      <w:numFmt w:val="decimal"/>
      <w:lvlText w:val="%7."/>
      <w:lvlJc w:val="left"/>
      <w:pPr>
        <w:tabs>
          <w:tab w:val="num" w:pos="4680"/>
        </w:tabs>
      </w:pPr>
      <w:rPr>
        <w:rFonts w:ascii="Times New Roman" w:hAnsi="Times New Roman" w:cs="Times New Roman"/>
      </w:rPr>
    </w:lvl>
    <w:lvl w:ilvl="7">
      <w:start w:val="1"/>
      <w:numFmt w:val="lowerLetter"/>
      <w:lvlText w:val="%8."/>
      <w:lvlJc w:val="left"/>
      <w:pPr>
        <w:tabs>
          <w:tab w:val="num" w:pos="5400"/>
        </w:tabs>
      </w:pPr>
      <w:rPr>
        <w:rFonts w:ascii="Times New Roman" w:hAnsi="Times New Roman" w:cs="Times New Roman"/>
      </w:rPr>
    </w:lvl>
    <w:lvl w:ilvl="8">
      <w:start w:val="1"/>
      <w:numFmt w:val="lowerRoman"/>
      <w:lvlText w:val="%9."/>
      <w:lvlJc w:val="right"/>
      <w:pPr>
        <w:tabs>
          <w:tab w:val="num" w:pos="6120"/>
        </w:tabs>
      </w:pPr>
      <w:rPr>
        <w:rFonts w:ascii="Times New Roman" w:hAnsi="Times New Roman" w:cs="Times New Roman"/>
      </w:rPr>
    </w:lvl>
  </w:abstractNum>
  <w:abstractNum w:abstractNumId="13">
    <w:nsid w:val="439E4466"/>
    <w:multiLevelType w:val="multilevel"/>
    <w:tmpl w:val="00000003"/>
    <w:lvl w:ilvl="0">
      <w:start w:val="1"/>
      <w:numFmt w:val="bullet"/>
      <w:lvlText w:val=""/>
      <w:lvlJc w:val="left"/>
      <w:pPr>
        <w:tabs>
          <w:tab w:val="num" w:pos="360"/>
        </w:tabs>
        <w:ind w:left="360" w:hanging="360"/>
      </w:pPr>
      <w:rPr>
        <w:rFonts w:ascii="Symbol" w:hAnsi="Symbol" w:hint="default"/>
      </w:rPr>
    </w:lvl>
    <w:lvl w:ilvl="1">
      <w:numFmt w:val="bullet"/>
      <w:lvlText w:val="o"/>
      <w:lvlJc w:val="left"/>
      <w:pPr>
        <w:tabs>
          <w:tab w:val="num" w:pos="1222"/>
        </w:tabs>
      </w:pPr>
      <w:rPr>
        <w:rFonts w:ascii="Courier New" w:hAnsi="Courier New" w:cs="Courier New"/>
      </w:rPr>
    </w:lvl>
    <w:lvl w:ilvl="2">
      <w:numFmt w:val="bullet"/>
      <w:lvlText w:val=""/>
      <w:lvlJc w:val="left"/>
      <w:pPr>
        <w:tabs>
          <w:tab w:val="num" w:pos="1942"/>
        </w:tabs>
      </w:pPr>
      <w:rPr>
        <w:rFonts w:ascii="Wingdings" w:hAnsi="Wingdings" w:cs="Times New Roman"/>
      </w:rPr>
    </w:lvl>
    <w:lvl w:ilvl="3">
      <w:numFmt w:val="bullet"/>
      <w:lvlText w:val=""/>
      <w:lvlJc w:val="left"/>
      <w:pPr>
        <w:tabs>
          <w:tab w:val="num" w:pos="2662"/>
        </w:tabs>
      </w:pPr>
      <w:rPr>
        <w:rFonts w:ascii="Symbol" w:hAnsi="Symbol" w:cs="Times New Roman"/>
      </w:rPr>
    </w:lvl>
    <w:lvl w:ilvl="4">
      <w:numFmt w:val="bullet"/>
      <w:lvlText w:val="o"/>
      <w:lvlJc w:val="left"/>
      <w:pPr>
        <w:tabs>
          <w:tab w:val="num" w:pos="3382"/>
        </w:tabs>
      </w:pPr>
      <w:rPr>
        <w:rFonts w:ascii="Courier New" w:hAnsi="Courier New" w:cs="Courier New"/>
      </w:rPr>
    </w:lvl>
    <w:lvl w:ilvl="5">
      <w:numFmt w:val="bullet"/>
      <w:lvlText w:val=""/>
      <w:lvlJc w:val="left"/>
      <w:pPr>
        <w:tabs>
          <w:tab w:val="num" w:pos="4102"/>
        </w:tabs>
      </w:pPr>
      <w:rPr>
        <w:rFonts w:ascii="Wingdings" w:hAnsi="Wingdings" w:cs="Times New Roman"/>
      </w:rPr>
    </w:lvl>
    <w:lvl w:ilvl="6">
      <w:numFmt w:val="bullet"/>
      <w:lvlText w:val=""/>
      <w:lvlJc w:val="left"/>
      <w:pPr>
        <w:tabs>
          <w:tab w:val="num" w:pos="4822"/>
        </w:tabs>
      </w:pPr>
      <w:rPr>
        <w:rFonts w:ascii="Symbol" w:hAnsi="Symbol" w:cs="Times New Roman"/>
      </w:rPr>
    </w:lvl>
    <w:lvl w:ilvl="7">
      <w:numFmt w:val="bullet"/>
      <w:lvlText w:val="o"/>
      <w:lvlJc w:val="left"/>
      <w:pPr>
        <w:tabs>
          <w:tab w:val="num" w:pos="5542"/>
        </w:tabs>
      </w:pPr>
      <w:rPr>
        <w:rFonts w:ascii="Courier New" w:hAnsi="Courier New" w:cs="Courier New"/>
      </w:rPr>
    </w:lvl>
    <w:lvl w:ilvl="8">
      <w:numFmt w:val="bullet"/>
      <w:lvlText w:val=""/>
      <w:lvlJc w:val="left"/>
      <w:pPr>
        <w:tabs>
          <w:tab w:val="num" w:pos="6262"/>
        </w:tabs>
      </w:pPr>
      <w:rPr>
        <w:rFonts w:ascii="Wingdings" w:hAnsi="Wingdings" w:cs="Times New Roman"/>
      </w:rPr>
    </w:lvl>
  </w:abstractNum>
  <w:abstractNum w:abstractNumId="14">
    <w:nsid w:val="48C563CF"/>
    <w:multiLevelType w:val="multilevel"/>
    <w:tmpl w:val="00000003"/>
    <w:lvl w:ilvl="0">
      <w:start w:val="1"/>
      <w:numFmt w:val="bullet"/>
      <w:lvlText w:val=""/>
      <w:lvlJc w:val="left"/>
      <w:pPr>
        <w:tabs>
          <w:tab w:val="num" w:pos="360"/>
        </w:tabs>
        <w:ind w:left="360" w:hanging="360"/>
      </w:pPr>
      <w:rPr>
        <w:rFonts w:ascii="Symbol" w:hAnsi="Symbol" w:hint="default"/>
      </w:rPr>
    </w:lvl>
    <w:lvl w:ilvl="1">
      <w:numFmt w:val="bullet"/>
      <w:lvlText w:val="o"/>
      <w:lvlJc w:val="left"/>
      <w:pPr>
        <w:tabs>
          <w:tab w:val="num" w:pos="1222"/>
        </w:tabs>
      </w:pPr>
      <w:rPr>
        <w:rFonts w:ascii="Courier New" w:hAnsi="Courier New" w:cs="Courier New"/>
      </w:rPr>
    </w:lvl>
    <w:lvl w:ilvl="2">
      <w:numFmt w:val="bullet"/>
      <w:lvlText w:val=""/>
      <w:lvlJc w:val="left"/>
      <w:pPr>
        <w:tabs>
          <w:tab w:val="num" w:pos="1942"/>
        </w:tabs>
      </w:pPr>
      <w:rPr>
        <w:rFonts w:ascii="Wingdings" w:hAnsi="Wingdings" w:cs="Times New Roman"/>
      </w:rPr>
    </w:lvl>
    <w:lvl w:ilvl="3">
      <w:numFmt w:val="bullet"/>
      <w:lvlText w:val=""/>
      <w:lvlJc w:val="left"/>
      <w:pPr>
        <w:tabs>
          <w:tab w:val="num" w:pos="2662"/>
        </w:tabs>
      </w:pPr>
      <w:rPr>
        <w:rFonts w:ascii="Symbol" w:hAnsi="Symbol" w:cs="Times New Roman"/>
      </w:rPr>
    </w:lvl>
    <w:lvl w:ilvl="4">
      <w:numFmt w:val="bullet"/>
      <w:lvlText w:val="o"/>
      <w:lvlJc w:val="left"/>
      <w:pPr>
        <w:tabs>
          <w:tab w:val="num" w:pos="3382"/>
        </w:tabs>
      </w:pPr>
      <w:rPr>
        <w:rFonts w:ascii="Courier New" w:hAnsi="Courier New" w:cs="Courier New"/>
      </w:rPr>
    </w:lvl>
    <w:lvl w:ilvl="5">
      <w:numFmt w:val="bullet"/>
      <w:lvlText w:val=""/>
      <w:lvlJc w:val="left"/>
      <w:pPr>
        <w:tabs>
          <w:tab w:val="num" w:pos="4102"/>
        </w:tabs>
      </w:pPr>
      <w:rPr>
        <w:rFonts w:ascii="Wingdings" w:hAnsi="Wingdings" w:cs="Times New Roman"/>
      </w:rPr>
    </w:lvl>
    <w:lvl w:ilvl="6">
      <w:numFmt w:val="bullet"/>
      <w:lvlText w:val=""/>
      <w:lvlJc w:val="left"/>
      <w:pPr>
        <w:tabs>
          <w:tab w:val="num" w:pos="4822"/>
        </w:tabs>
      </w:pPr>
      <w:rPr>
        <w:rFonts w:ascii="Symbol" w:hAnsi="Symbol" w:cs="Times New Roman"/>
      </w:rPr>
    </w:lvl>
    <w:lvl w:ilvl="7">
      <w:numFmt w:val="bullet"/>
      <w:lvlText w:val="o"/>
      <w:lvlJc w:val="left"/>
      <w:pPr>
        <w:tabs>
          <w:tab w:val="num" w:pos="5542"/>
        </w:tabs>
      </w:pPr>
      <w:rPr>
        <w:rFonts w:ascii="Courier New" w:hAnsi="Courier New" w:cs="Courier New"/>
      </w:rPr>
    </w:lvl>
    <w:lvl w:ilvl="8">
      <w:numFmt w:val="bullet"/>
      <w:lvlText w:val=""/>
      <w:lvlJc w:val="left"/>
      <w:pPr>
        <w:tabs>
          <w:tab w:val="num" w:pos="6262"/>
        </w:tabs>
      </w:pPr>
      <w:rPr>
        <w:rFonts w:ascii="Wingdings" w:hAnsi="Wingding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AE"/>
    <w:rsid w:val="00043D37"/>
    <w:rsid w:val="00082166"/>
    <w:rsid w:val="000D0E56"/>
    <w:rsid w:val="00114FA3"/>
    <w:rsid w:val="00144C31"/>
    <w:rsid w:val="00176200"/>
    <w:rsid w:val="00222EEF"/>
    <w:rsid w:val="00237075"/>
    <w:rsid w:val="00267D64"/>
    <w:rsid w:val="00293408"/>
    <w:rsid w:val="002B7F0F"/>
    <w:rsid w:val="0032300F"/>
    <w:rsid w:val="003506E1"/>
    <w:rsid w:val="0039090C"/>
    <w:rsid w:val="003D251A"/>
    <w:rsid w:val="003F2EA1"/>
    <w:rsid w:val="00434A51"/>
    <w:rsid w:val="004649A6"/>
    <w:rsid w:val="004E67CD"/>
    <w:rsid w:val="00510D47"/>
    <w:rsid w:val="005319EB"/>
    <w:rsid w:val="005925F4"/>
    <w:rsid w:val="005A49AD"/>
    <w:rsid w:val="005D5B1C"/>
    <w:rsid w:val="00606BBE"/>
    <w:rsid w:val="0061696F"/>
    <w:rsid w:val="006200C3"/>
    <w:rsid w:val="00621682"/>
    <w:rsid w:val="006401C0"/>
    <w:rsid w:val="006659AE"/>
    <w:rsid w:val="006C354E"/>
    <w:rsid w:val="006C4EEF"/>
    <w:rsid w:val="006E0098"/>
    <w:rsid w:val="006F214B"/>
    <w:rsid w:val="006F4A8E"/>
    <w:rsid w:val="007059D6"/>
    <w:rsid w:val="007073D6"/>
    <w:rsid w:val="00721567"/>
    <w:rsid w:val="00732DD3"/>
    <w:rsid w:val="007C5878"/>
    <w:rsid w:val="007D2E45"/>
    <w:rsid w:val="00800F8A"/>
    <w:rsid w:val="0084288F"/>
    <w:rsid w:val="0084394F"/>
    <w:rsid w:val="00845276"/>
    <w:rsid w:val="0094216D"/>
    <w:rsid w:val="00952D0A"/>
    <w:rsid w:val="00986EDD"/>
    <w:rsid w:val="009B355A"/>
    <w:rsid w:val="009E27C3"/>
    <w:rsid w:val="009F4F61"/>
    <w:rsid w:val="00A51A9D"/>
    <w:rsid w:val="00A71C99"/>
    <w:rsid w:val="00A8227F"/>
    <w:rsid w:val="00A96DCD"/>
    <w:rsid w:val="00A96F8D"/>
    <w:rsid w:val="00AC412E"/>
    <w:rsid w:val="00AE2876"/>
    <w:rsid w:val="00B141C0"/>
    <w:rsid w:val="00B2480D"/>
    <w:rsid w:val="00BB3151"/>
    <w:rsid w:val="00BC4319"/>
    <w:rsid w:val="00C961D6"/>
    <w:rsid w:val="00D07BC0"/>
    <w:rsid w:val="00D65682"/>
    <w:rsid w:val="00D72641"/>
    <w:rsid w:val="00DE0F4E"/>
    <w:rsid w:val="00DE1183"/>
    <w:rsid w:val="00E17B15"/>
    <w:rsid w:val="00E2796D"/>
    <w:rsid w:val="00E67EEA"/>
    <w:rsid w:val="00EE4020"/>
    <w:rsid w:val="00EF1DF4"/>
    <w:rsid w:val="00EF2451"/>
    <w:rsid w:val="00EF7708"/>
    <w:rsid w:val="00F1488B"/>
    <w:rsid w:val="00F205A5"/>
    <w:rsid w:val="00F2752E"/>
    <w:rsid w:val="00F45FA0"/>
    <w:rsid w:val="00F9414B"/>
    <w:rsid w:val="00F96FE5"/>
    <w:rsid w:val="00FA0A8A"/>
    <w:rsid w:val="00FD5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9AE"/>
    <w:pPr>
      <w:widowControl w:val="0"/>
      <w:suppressAutoHyphens/>
      <w:textAlignment w:val="baseline"/>
    </w:pPr>
    <w:rPr>
      <w:rFonts w:ascii="Arial" w:hAnsi="Arial" w:cs="Tahoma"/>
      <w:kern w:val="1"/>
      <w:sz w:val="24"/>
      <w:szCs w:val="24"/>
      <w:lang w:eastAsia="ar-SA"/>
    </w:rPr>
  </w:style>
  <w:style w:type="paragraph" w:styleId="Heading1">
    <w:name w:val="heading 1"/>
    <w:basedOn w:val="Standard"/>
    <w:next w:val="Standard"/>
    <w:qFormat/>
    <w:pPr>
      <w:keepNext/>
      <w:keepLines/>
      <w:spacing w:before="480" w:after="0"/>
      <w:outlineLvl w:val="0"/>
    </w:pPr>
    <w:rPr>
      <w:rFonts w:ascii="Cambria" w:hAnsi="Cambria"/>
      <w:b/>
      <w:bCs/>
      <w:color w:val="365F91"/>
      <w:sz w:val="28"/>
      <w:szCs w:val="28"/>
    </w:rPr>
  </w:style>
  <w:style w:type="paragraph" w:styleId="Heading2">
    <w:name w:val="heading 2"/>
    <w:basedOn w:val="Standard"/>
    <w:next w:val="Standard"/>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qFormat/>
    <w:pPr>
      <w:keepNext/>
      <w:outlineLvl w:val="2"/>
    </w:pPr>
    <w:rPr>
      <w:b/>
      <w:bCs/>
      <w:sz w:val="18"/>
    </w:rPr>
  </w:style>
  <w:style w:type="paragraph" w:styleId="Heading4">
    <w:name w:val="heading 4"/>
    <w:basedOn w:val="Normal"/>
    <w:next w:val="Normal"/>
    <w:qFormat/>
    <w:pPr>
      <w:keepNext/>
      <w:framePr w:hSpace="180" w:wrap="around" w:vAnchor="page" w:hAnchor="margin" w:y="2041"/>
      <w:jc w:val="center"/>
      <w:outlineLvl w:val="3"/>
    </w:pPr>
    <w:rPr>
      <w:rFonts w:ascii="Calibri" w:hAnsi="Calibr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olor w:val="000000"/>
    </w:rPr>
  </w:style>
  <w:style w:type="character" w:customStyle="1" w:styleId="WW8Num1z1">
    <w:name w:val="WW8Num1z1"/>
    <w:rPr>
      <w:rFonts w:ascii="Courier New" w:hAnsi="Courier New" w:cs="Courier New"/>
    </w:rPr>
  </w:style>
  <w:style w:type="character" w:customStyle="1" w:styleId="WW8Num1z2">
    <w:name w:val="WW8Num1z2"/>
  </w:style>
  <w:style w:type="character" w:customStyle="1" w:styleId="WW8Num2z0">
    <w:name w:val="WW8Num2z0"/>
    <w:rPr>
      <w:color w:val="000000"/>
    </w:rPr>
  </w:style>
  <w:style w:type="character" w:customStyle="1" w:styleId="WW8Num3z0">
    <w:name w:val="WW8Num3z0"/>
  </w:style>
  <w:style w:type="character" w:customStyle="1" w:styleId="WW8Num3z1">
    <w:name w:val="WW8Num3z1"/>
    <w:rPr>
      <w:rFonts w:ascii="Symbol" w:hAnsi="Symbol"/>
    </w:rPr>
  </w:style>
  <w:style w:type="character" w:customStyle="1" w:styleId="WW8Num3z2">
    <w:name w:val="WW8Num3z2"/>
    <w:rPr>
      <w:rFonts w:ascii="Times New Roman" w:hAnsi="Times New Roman" w:cs="Times New Roman"/>
    </w:rPr>
  </w:style>
  <w:style w:type="character" w:customStyle="1" w:styleId="WW8Num4z0">
    <w:name w:val="WW8Num4z0"/>
  </w:style>
  <w:style w:type="character" w:customStyle="1" w:styleId="WW8Num5z0">
    <w:name w:val="WW8Num5z0"/>
    <w:rPr>
      <w:rFonts w:ascii="Symbol" w:hAnsi="Symbol"/>
      <w:color w:val="000000"/>
    </w:rPr>
  </w:style>
  <w:style w:type="character" w:customStyle="1" w:styleId="WW8Num5z1">
    <w:name w:val="WW8Num5z1"/>
    <w:rPr>
      <w:rFonts w:ascii="Courier New" w:hAnsi="Courier New" w:cs="Courier New"/>
    </w:rPr>
  </w:style>
  <w:style w:type="character" w:customStyle="1" w:styleId="WW8Num6z0">
    <w:name w:val="WW8Num6z0"/>
  </w:style>
  <w:style w:type="character" w:customStyle="1" w:styleId="WW8Num6z1">
    <w:name w:val="WW8Num6z1"/>
    <w:rPr>
      <w:rFonts w:ascii="Symbol" w:hAnsi="Symbol"/>
    </w:rPr>
  </w:style>
  <w:style w:type="character" w:customStyle="1" w:styleId="WW8Num6z2">
    <w:name w:val="WW8Num6z2"/>
    <w:rPr>
      <w:rFonts w:ascii="Wingdings" w:hAnsi="Wingdings" w:cs="Times New Roman"/>
    </w:rPr>
  </w:style>
  <w:style w:type="character" w:customStyle="1" w:styleId="WW8Num7z0">
    <w:name w:val="WW8Num7z0"/>
    <w:rPr>
      <w:rFonts w:ascii="Arial"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style>
  <w:style w:type="character" w:customStyle="1" w:styleId="WW8Num8z2">
    <w:name w:val="WW8Num8z2"/>
    <w:rPr>
      <w:rFonts w:ascii="Times New Roman" w:hAnsi="Times New Roman" w:cs="Times New Roman"/>
    </w:rPr>
  </w:style>
  <w:style w:type="character" w:customStyle="1" w:styleId="WW8Num9z0">
    <w:name w:val="WW8Num9z0"/>
  </w:style>
  <w:style w:type="character" w:customStyle="1" w:styleId="WW8Num9z1">
    <w:name w:val="WW8Num9z1"/>
    <w:rPr>
      <w:rFonts w:ascii="Symbol" w:hAnsi="Symbol" w:cs="Times New Roman"/>
    </w:rPr>
  </w:style>
  <w:style w:type="character" w:customStyle="1" w:styleId="WW8Num10z0">
    <w:name w:val="WW8Num10z0"/>
  </w:style>
  <w:style w:type="character" w:customStyle="1" w:styleId="WW8Num10z1">
    <w:name w:val="WW8Num10z1"/>
    <w:rPr>
      <w:rFonts w:ascii="Arial" w:hAnsi="Arial" w:cs="Arial"/>
    </w:rPr>
  </w:style>
  <w:style w:type="character" w:customStyle="1" w:styleId="WW8Num10z2">
    <w:name w:val="WW8Num10z2"/>
    <w:rPr>
      <w:rFonts w:ascii="Times New Roman" w:hAnsi="Times New Roman" w:cs="Times New Roman"/>
    </w:rPr>
  </w:style>
  <w:style w:type="character" w:customStyle="1" w:styleId="WW8Num11z0">
    <w:name w:val="WW8Num11z0"/>
  </w:style>
  <w:style w:type="character" w:customStyle="1" w:styleId="WW8Num11z1">
    <w:name w:val="WW8Num11z1"/>
    <w:rPr>
      <w:rFonts w:ascii="Symbol" w:hAnsi="Symbol"/>
    </w:rPr>
  </w:style>
  <w:style w:type="character" w:customStyle="1" w:styleId="WW8Num12z0">
    <w:name w:val="WW8Num12z0"/>
  </w:style>
  <w:style w:type="character" w:customStyle="1" w:styleId="WW8Num12z1">
    <w:name w:val="WW8Num12z1"/>
    <w:rPr>
      <w:rFonts w:ascii="Symbol" w:hAnsi="Symbol"/>
    </w:rPr>
  </w:style>
  <w:style w:type="character" w:customStyle="1" w:styleId="WW8Num12z2">
    <w:name w:val="WW8Num12z2"/>
    <w:rPr>
      <w:rFonts w:ascii="Times New Roman" w:hAnsi="Times New Roman" w:cs="Times New Roman"/>
    </w:rPr>
  </w:style>
  <w:style w:type="character" w:customStyle="1" w:styleId="WW8Num13z0">
    <w:name w:val="WW8Num13z0"/>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Times New Roman"/>
    </w:rPr>
  </w:style>
  <w:style w:type="character" w:customStyle="1" w:styleId="WW8Num13z3">
    <w:name w:val="WW8Num13z3"/>
    <w:rPr>
      <w:rFonts w:ascii="Symbol" w:hAnsi="Symbol" w:cs="Times New Roman"/>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cs="Times New Roman"/>
    </w:rPr>
  </w:style>
  <w:style w:type="character" w:customStyle="1" w:styleId="WW8Num15z0">
    <w:name w:val="WW8Num15z0"/>
  </w:style>
  <w:style w:type="character" w:customStyle="1" w:styleId="WW8Num15z1">
    <w:name w:val="WW8Num15z1"/>
    <w:rPr>
      <w:rFonts w:ascii="Symbol" w:hAnsi="Symbol"/>
    </w:rPr>
  </w:style>
  <w:style w:type="character" w:customStyle="1" w:styleId="WW8Num16z0">
    <w:name w:val="WW8Num16z0"/>
  </w:style>
  <w:style w:type="character" w:customStyle="1" w:styleId="WW8Num16z1">
    <w:name w:val="WW8Num16z1"/>
    <w:rPr>
      <w:rFonts w:ascii="Symbol" w:hAnsi="Symbol"/>
    </w:rPr>
  </w:style>
  <w:style w:type="character" w:customStyle="1" w:styleId="WW8Num17z0">
    <w:name w:val="WW8Num17z0"/>
    <w:rPr>
      <w:rFonts w:ascii="Symbol" w:hAnsi="Symbol"/>
      <w:color w:val="000000"/>
    </w:rPr>
  </w:style>
  <w:style w:type="character" w:customStyle="1" w:styleId="WW8Num17z1">
    <w:name w:val="WW8Num17z1"/>
    <w:rPr>
      <w:rFonts w:ascii="Symbol" w:hAnsi="Symbol"/>
    </w:rPr>
  </w:style>
  <w:style w:type="character" w:customStyle="1" w:styleId="WW8Num18z0">
    <w:name w:val="WW8Num18z0"/>
  </w:style>
  <w:style w:type="character" w:customStyle="1" w:styleId="WW8Num19z0">
    <w:name w:val="WW8Num19z0"/>
    <w:rPr>
      <w:color w:val="000000"/>
    </w:rPr>
  </w:style>
  <w:style w:type="character" w:customStyle="1" w:styleId="WW8Num20z0">
    <w:name w:val="WW8Num20z0"/>
    <w:rPr>
      <w:color w:val="000000"/>
    </w:rPr>
  </w:style>
  <w:style w:type="character" w:customStyle="1" w:styleId="WW8Num20z1">
    <w:name w:val="WW8Num20z1"/>
    <w:rPr>
      <w:rFonts w:ascii="Symbol" w:hAnsi="Symbol"/>
    </w:rPr>
  </w:style>
  <w:style w:type="character" w:customStyle="1" w:styleId="WW8Num21z0">
    <w:name w:val="WW8Num21z0"/>
  </w:style>
  <w:style w:type="character" w:customStyle="1" w:styleId="WW8Num22z0">
    <w:name w:val="WW8Num22z0"/>
  </w:style>
  <w:style w:type="character" w:customStyle="1" w:styleId="WW8Num22z1">
    <w:name w:val="WW8Num22z1"/>
    <w:rPr>
      <w:rFonts w:ascii="Symbol" w:hAnsi="Symbol" w:cs="Times New Roman"/>
    </w:rPr>
  </w:style>
  <w:style w:type="character" w:customStyle="1" w:styleId="WW8Num23z0">
    <w:name w:val="WW8Num23z0"/>
  </w:style>
  <w:style w:type="character" w:customStyle="1" w:styleId="WW8Num24z0">
    <w:name w:val="WW8Num24z0"/>
    <w:rPr>
      <w:rFonts w:ascii="Symbol" w:hAnsi="Symbol"/>
    </w:rPr>
  </w:style>
  <w:style w:type="character" w:customStyle="1" w:styleId="WW8Num24z1">
    <w:name w:val="WW8Num24z1"/>
  </w:style>
  <w:style w:type="character" w:customStyle="1" w:styleId="WW8Num25z0">
    <w:name w:val="WW8Num25z0"/>
  </w:style>
  <w:style w:type="character" w:customStyle="1" w:styleId="WW8Num25z1">
    <w:name w:val="WW8Num25z1"/>
    <w:rPr>
      <w:rFonts w:ascii="Symbol" w:hAnsi="Symbol" w:cs="Times New Roman"/>
    </w:rPr>
  </w:style>
  <w:style w:type="character" w:customStyle="1" w:styleId="WW8Num25z2">
    <w:name w:val="WW8Num25z2"/>
    <w:rPr>
      <w:rFonts w:ascii="Times New Roman" w:hAnsi="Times New Roman" w:cs="Times New Roman"/>
    </w:rPr>
  </w:style>
  <w:style w:type="character" w:customStyle="1" w:styleId="WW8Num26z0">
    <w:name w:val="WW8Num26z0"/>
  </w:style>
  <w:style w:type="character" w:customStyle="1" w:styleId="WW8Num26z1">
    <w:name w:val="WW8Num26z1"/>
    <w:rPr>
      <w:rFonts w:ascii="Symbol" w:hAnsi="Symbol" w:cs="Times New Roman"/>
    </w:rPr>
  </w:style>
  <w:style w:type="character" w:customStyle="1" w:styleId="WW8Num26z2">
    <w:name w:val="WW8Num26z2"/>
    <w:rPr>
      <w:rFonts w:ascii="Times New Roman" w:hAnsi="Times New Roman" w:cs="Times New Roman"/>
    </w:rPr>
  </w:style>
  <w:style w:type="character" w:customStyle="1" w:styleId="WW8Num27z0">
    <w:name w:val="WW8Num27z0"/>
    <w:rPr>
      <w:rFonts w:ascii="Arial" w:hAnsi="Arial" w:cs="Arial"/>
      <w:color w:val="000000"/>
    </w:rPr>
  </w:style>
  <w:style w:type="character" w:customStyle="1" w:styleId="WW8Num27z1">
    <w:name w:val="WW8Num27z1"/>
    <w:rPr>
      <w:rFonts w:ascii="Symbol" w:hAnsi="Symbol"/>
    </w:rPr>
  </w:style>
  <w:style w:type="character" w:customStyle="1" w:styleId="WW8Num27z2">
    <w:name w:val="WW8Num27z2"/>
  </w:style>
  <w:style w:type="character" w:customStyle="1" w:styleId="WW8Num27z3">
    <w:name w:val="WW8Num27z3"/>
    <w:rPr>
      <w:rFonts w:ascii="Symbol" w:hAnsi="Symbol" w:cs="Times New Roman"/>
    </w:rPr>
  </w:style>
  <w:style w:type="character" w:customStyle="1" w:styleId="WW8Num28z0">
    <w:name w:val="WW8Num28z0"/>
    <w:rPr>
      <w:rFonts w:ascii="Symbol" w:hAnsi="Symbol"/>
      <w:color w:val="00000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Times New Roman" w:hAnsi="Times New Roman" w:cs="Times New Roman"/>
    </w:rPr>
  </w:style>
  <w:style w:type="character" w:customStyle="1" w:styleId="WW8Num30z0">
    <w:name w:val="WW8Num30z0"/>
    <w:rPr>
      <w:rFonts w:ascii="Times New Roman" w:hAnsi="Times New Roman" w:cs="Times New Roman"/>
    </w:rPr>
  </w:style>
  <w:style w:type="character" w:customStyle="1" w:styleId="WW8Num30z1">
    <w:name w:val="WW8Num30z1"/>
    <w:rPr>
      <w:rFonts w:ascii="Symbol" w:hAnsi="Symbol" w:cs="Times New Roman"/>
    </w:rPr>
  </w:style>
  <w:style w:type="character" w:customStyle="1" w:styleId="WW8Num31z0">
    <w:name w:val="WW8Num31z0"/>
    <w:rPr>
      <w:rFonts w:ascii="Times New Roman" w:hAnsi="Times New Roman" w:cs="Times New Roman"/>
    </w:rPr>
  </w:style>
  <w:style w:type="character" w:customStyle="1" w:styleId="Internetlink">
    <w:name w:val="Internet link"/>
    <w:rPr>
      <w:rFonts w:ascii="Times New Roman" w:hAnsi="Times New Roman" w:cs="Times New Roman"/>
      <w:color w:val="0000FF"/>
      <w:u w:val="single"/>
    </w:rPr>
  </w:style>
  <w:style w:type="character" w:customStyle="1" w:styleId="WW8Num2z1">
    <w:name w:val="WW8Num2z1"/>
    <w:rPr>
      <w:rFonts w:ascii="Symbol" w:hAnsi="Symbol"/>
    </w:rPr>
  </w:style>
  <w:style w:type="character" w:customStyle="1" w:styleId="WW8Num2z2">
    <w:name w:val="WW8Num2z2"/>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3">
    <w:name w:val="WW8Num7z3"/>
    <w:rPr>
      <w:rFonts w:ascii="Symbol" w:hAnsi="Symbol"/>
    </w:rPr>
  </w:style>
  <w:style w:type="character" w:customStyle="1" w:styleId="WW8Num17z2">
    <w:name w:val="WW8Num17z2"/>
  </w:style>
  <w:style w:type="character" w:customStyle="1" w:styleId="WW8Num18z1">
    <w:name w:val="WW8Num18z1"/>
    <w:rPr>
      <w:rFonts w:ascii="Symbol" w:hAnsi="Symbol"/>
    </w:rPr>
  </w:style>
  <w:style w:type="character" w:customStyle="1" w:styleId="WW8Num19z1">
    <w:name w:val="WW8Num19z1"/>
    <w:rPr>
      <w:rFonts w:ascii="Arial" w:hAnsi="Arial" w:cs="Arial"/>
    </w:rPr>
  </w:style>
  <w:style w:type="character" w:customStyle="1" w:styleId="WW8Num19z2">
    <w:name w:val="WW8Num19z2"/>
  </w:style>
  <w:style w:type="character" w:customStyle="1" w:styleId="WW8Num20z2">
    <w:name w:val="WW8Num20z2"/>
  </w:style>
  <w:style w:type="character" w:customStyle="1" w:styleId="WW8Num21z1">
    <w:name w:val="WW8Num21z1"/>
    <w:rPr>
      <w:rFonts w:ascii="Symbol" w:hAnsi="Symbol"/>
    </w:rPr>
  </w:style>
  <w:style w:type="character" w:customStyle="1" w:styleId="WW8Num23z1">
    <w:name w:val="WW8Num23z1"/>
    <w:rPr>
      <w:rFonts w:ascii="Symbol" w:hAnsi="Symbol"/>
    </w:rPr>
  </w:style>
  <w:style w:type="character" w:customStyle="1" w:styleId="WW8Num28z3">
    <w:name w:val="WW8Num28z3"/>
    <w:rPr>
      <w:rFonts w:ascii="Symbol" w:hAnsi="Symbol"/>
    </w:rPr>
  </w:style>
  <w:style w:type="character" w:customStyle="1" w:styleId="Heading1Char">
    <w:name w:val="Heading 1 Char"/>
    <w:rPr>
      <w:rFonts w:ascii="Cambria" w:hAnsi="Cambria" w:cs="Times New Roman"/>
      <w:b/>
      <w:bCs/>
      <w:color w:val="365F91"/>
      <w:sz w:val="28"/>
      <w:szCs w:val="28"/>
    </w:rPr>
  </w:style>
  <w:style w:type="character" w:customStyle="1" w:styleId="Heading2Char">
    <w:name w:val="Heading 2 Char"/>
    <w:rPr>
      <w:rFonts w:ascii="Cambria" w:hAnsi="Cambria" w:cs="Times New Roman"/>
      <w:b/>
      <w:bCs/>
      <w:color w:val="4F81BD"/>
      <w:sz w:val="26"/>
      <w:szCs w:val="26"/>
    </w:rPr>
  </w:style>
  <w:style w:type="character" w:customStyle="1" w:styleId="HeaderChar">
    <w:name w:val="Header Char"/>
    <w:uiPriority w:val="99"/>
    <w:rPr>
      <w:rFonts w:ascii="Times New Roman" w:hAnsi="Times New Roman" w:cs="Times New Roman"/>
    </w:rPr>
  </w:style>
  <w:style w:type="character" w:customStyle="1" w:styleId="FooterChar">
    <w:name w:val="Footer Char"/>
    <w:uiPriority w:val="99"/>
    <w:rPr>
      <w:rFonts w:ascii="Times New Roman" w:hAnsi="Times New Roman" w:cs="Times New Roman"/>
    </w:rPr>
  </w:style>
  <w:style w:type="character" w:customStyle="1" w:styleId="PlainTextChar">
    <w:name w:val="Plain Text Char"/>
    <w:rPr>
      <w:rFonts w:ascii="Calibri" w:hAnsi="Calibri" w:cs="Times New Roman"/>
      <w:sz w:val="21"/>
      <w:szCs w:val="21"/>
    </w:rPr>
  </w:style>
  <w:style w:type="character" w:customStyle="1" w:styleId="BalloonTextChar">
    <w:name w:val="Balloon Text Char"/>
    <w:rPr>
      <w:rFonts w:ascii="Tahoma" w:hAnsi="Tahoma" w:cs="Tahoma"/>
      <w:sz w:val="16"/>
      <w:szCs w:val="16"/>
    </w:rPr>
  </w:style>
  <w:style w:type="character" w:customStyle="1" w:styleId="NoSpacingChar">
    <w:name w:val="No Spacing Char"/>
    <w:rPr>
      <w:rFonts w:ascii="Times New Roman" w:hAnsi="Times New Roman" w:cs="Times New Roman"/>
      <w:sz w:val="22"/>
      <w:szCs w:val="22"/>
      <w:lang w:val="en-US" w:eastAsia="ar-SA" w:bidi="ar-SA"/>
    </w:rPr>
  </w:style>
  <w:style w:type="character" w:customStyle="1" w:styleId="CommentTextChar">
    <w:name w:val="Comment Text Char"/>
    <w:rPr>
      <w:rFonts w:ascii="Times New Roman" w:hAnsi="Times New Roman" w:cs="Times New Roman"/>
      <w:sz w:val="20"/>
      <w:szCs w:val="20"/>
    </w:rPr>
  </w:style>
  <w:style w:type="character" w:styleId="CommentReference">
    <w:name w:val="annotation reference"/>
    <w:semiHidden/>
    <w:rPr>
      <w:rFonts w:ascii="Times New Roman" w:hAnsi="Times New Roman" w:cs="Times New Roman"/>
      <w:sz w:val="16"/>
      <w:szCs w:val="16"/>
    </w:rPr>
  </w:style>
  <w:style w:type="character" w:styleId="Hyperlink">
    <w:name w:val="Hyperlink"/>
    <w:semiHidden/>
    <w:rPr>
      <w:color w:val="000080"/>
      <w:u w:val="single"/>
    </w:rPr>
  </w:style>
  <w:style w:type="character" w:customStyle="1" w:styleId="Bullets">
    <w:name w:val="Bullets"/>
    <w:rPr>
      <w:rFonts w:ascii="StarSymbol" w:eastAsia="StarSymbol" w:hAnsi="StarSymbol" w:cs="StarSymbol"/>
      <w:sz w:val="18"/>
      <w:szCs w:val="18"/>
    </w:rPr>
  </w:style>
  <w:style w:type="paragraph" w:customStyle="1" w:styleId="Heading">
    <w:name w:val="Heading"/>
    <w:basedOn w:val="Standard"/>
    <w:next w:val="BodyText"/>
    <w:pPr>
      <w:keepNext/>
      <w:spacing w:before="240" w:after="120"/>
    </w:pPr>
    <w:rPr>
      <w:rFonts w:ascii="Arial" w:hAnsi="Arial" w:cs="Tahoma"/>
      <w:sz w:val="28"/>
      <w:szCs w:val="28"/>
    </w:rPr>
  </w:style>
  <w:style w:type="paragraph" w:styleId="BodyText">
    <w:name w:val="Body Text"/>
    <w:basedOn w:val="Standard"/>
    <w:semiHidden/>
    <w:pPr>
      <w:spacing w:after="120"/>
    </w:pPr>
  </w:style>
  <w:style w:type="paragraph" w:styleId="List">
    <w:name w:val="List"/>
    <w:basedOn w:val="BodyText"/>
    <w:semiHidden/>
    <w:rPr>
      <w:rFonts w:ascii="Arial" w:hAnsi="Arial" w:cs="Arial"/>
    </w:rPr>
  </w:style>
  <w:style w:type="paragraph" w:styleId="Caption">
    <w:name w:val="caption"/>
    <w:basedOn w:val="Standard"/>
    <w:qFormat/>
    <w:pPr>
      <w:suppressLineNumbers/>
      <w:spacing w:before="120" w:after="120"/>
    </w:pPr>
    <w:rPr>
      <w:rFonts w:ascii="Arial" w:hAnsi="Arial" w:cs="Arial"/>
      <w:i/>
      <w:iCs/>
      <w:sz w:val="24"/>
      <w:szCs w:val="24"/>
    </w:rPr>
  </w:style>
  <w:style w:type="paragraph" w:customStyle="1" w:styleId="Index">
    <w:name w:val="Index"/>
    <w:basedOn w:val="Standard"/>
    <w:pPr>
      <w:suppressLineNumbers/>
    </w:pPr>
    <w:rPr>
      <w:rFonts w:ascii="Arial" w:hAnsi="Arial" w:cs="Arial"/>
    </w:rPr>
  </w:style>
  <w:style w:type="paragraph" w:customStyle="1" w:styleId="Standard">
    <w:name w:val="Standard"/>
    <w:pPr>
      <w:suppressAutoHyphens/>
      <w:spacing w:after="200" w:line="276" w:lineRule="auto"/>
      <w:textAlignment w:val="baseline"/>
    </w:pPr>
    <w:rPr>
      <w:rFonts w:ascii="Calibri" w:hAnsi="Calibri"/>
      <w:kern w:val="1"/>
      <w:sz w:val="22"/>
      <w:szCs w:val="22"/>
      <w:lang w:eastAsia="ar-SA"/>
    </w:rPr>
  </w:style>
  <w:style w:type="paragraph" w:styleId="Header">
    <w:name w:val="header"/>
    <w:basedOn w:val="Standard"/>
    <w:uiPriority w:val="99"/>
    <w:pPr>
      <w:tabs>
        <w:tab w:val="center" w:pos="4513"/>
        <w:tab w:val="right" w:pos="9026"/>
      </w:tabs>
      <w:spacing w:after="0" w:line="240" w:lineRule="auto"/>
    </w:pPr>
  </w:style>
  <w:style w:type="paragraph" w:styleId="Footer">
    <w:name w:val="footer"/>
    <w:basedOn w:val="Standard"/>
    <w:uiPriority w:val="99"/>
    <w:pPr>
      <w:tabs>
        <w:tab w:val="center" w:pos="4513"/>
        <w:tab w:val="right" w:pos="9026"/>
      </w:tabs>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Standard"/>
    <w:uiPriority w:val="99"/>
    <w:qFormat/>
    <w:pPr>
      <w:ind w:left="720"/>
    </w:pPr>
  </w:style>
  <w:style w:type="paragraph" w:styleId="PlainText">
    <w:name w:val="Plain Text"/>
    <w:basedOn w:val="Standard"/>
    <w:semiHidden/>
    <w:pPr>
      <w:spacing w:after="0" w:line="240" w:lineRule="auto"/>
    </w:pPr>
    <w:rPr>
      <w:szCs w:val="21"/>
    </w:rPr>
  </w:style>
  <w:style w:type="paragraph" w:styleId="BalloonText">
    <w:name w:val="Balloon Text"/>
    <w:basedOn w:val="Standard"/>
    <w:pPr>
      <w:spacing w:after="0" w:line="240" w:lineRule="auto"/>
    </w:pPr>
    <w:rPr>
      <w:rFonts w:ascii="Tahoma" w:hAnsi="Tahoma" w:cs="Tahoma"/>
      <w:sz w:val="16"/>
      <w:szCs w:val="16"/>
    </w:rPr>
  </w:style>
  <w:style w:type="paragraph" w:styleId="NoSpacing">
    <w:name w:val="No Spacing"/>
    <w:qFormat/>
    <w:pPr>
      <w:suppressAutoHyphens/>
      <w:textAlignment w:val="baseline"/>
    </w:pPr>
    <w:rPr>
      <w:rFonts w:ascii="Calibri" w:hAnsi="Calibri"/>
      <w:kern w:val="1"/>
      <w:sz w:val="22"/>
      <w:szCs w:val="22"/>
      <w:lang w:val="en-US" w:eastAsia="ar-SA"/>
    </w:rPr>
  </w:style>
  <w:style w:type="paragraph" w:styleId="NormalWeb">
    <w:name w:val="Normal (Web)"/>
    <w:basedOn w:val="Standard"/>
    <w:semiHidden/>
    <w:pPr>
      <w:spacing w:before="280" w:after="150" w:line="240" w:lineRule="auto"/>
    </w:pPr>
    <w:rPr>
      <w:sz w:val="24"/>
      <w:szCs w:val="24"/>
    </w:rPr>
  </w:style>
  <w:style w:type="paragraph" w:styleId="CommentText">
    <w:name w:val="annotation text"/>
    <w:basedOn w:val="Normal"/>
    <w:link w:val="CommentTextChar1"/>
    <w:semiHidden/>
    <w:rPr>
      <w:sz w:val="20"/>
      <w:szCs w:val="20"/>
    </w:rPr>
  </w:style>
  <w:style w:type="paragraph" w:styleId="BlockText">
    <w:name w:val="Block Text"/>
    <w:basedOn w:val="Normal"/>
    <w:semiHidden/>
    <w:pPr>
      <w:widowControl/>
      <w:suppressAutoHyphens w:val="0"/>
      <w:autoSpaceDE w:val="0"/>
      <w:autoSpaceDN w:val="0"/>
      <w:adjustRightInd w:val="0"/>
      <w:spacing w:before="480" w:after="120"/>
      <w:ind w:left="567" w:right="646"/>
      <w:jc w:val="both"/>
      <w:textAlignment w:val="auto"/>
    </w:pPr>
    <w:rPr>
      <w:rFonts w:ascii="Cambria" w:hAnsi="Cambria" w:cs="Times New Roman"/>
      <w:color w:val="58595B"/>
      <w:kern w:val="0"/>
      <w:szCs w:val="20"/>
      <w:lang w:val="en-US" w:eastAsia="en-US"/>
    </w:rPr>
  </w:style>
  <w:style w:type="table" w:styleId="TableGrid">
    <w:name w:val="Table Grid"/>
    <w:basedOn w:val="TableNormal"/>
    <w:uiPriority w:val="59"/>
    <w:rsid w:val="00EF1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200C3"/>
    <w:rPr>
      <w:sz w:val="20"/>
      <w:szCs w:val="20"/>
    </w:rPr>
  </w:style>
  <w:style w:type="character" w:customStyle="1" w:styleId="FootnoteTextChar">
    <w:name w:val="Footnote Text Char"/>
    <w:basedOn w:val="DefaultParagraphFont"/>
    <w:link w:val="FootnoteText"/>
    <w:uiPriority w:val="99"/>
    <w:semiHidden/>
    <w:rsid w:val="006200C3"/>
    <w:rPr>
      <w:rFonts w:ascii="Arial" w:hAnsi="Arial" w:cs="Tahoma"/>
      <w:kern w:val="1"/>
      <w:lang w:eastAsia="ar-SA"/>
    </w:rPr>
  </w:style>
  <w:style w:type="character" w:styleId="FootnoteReference">
    <w:name w:val="footnote reference"/>
    <w:basedOn w:val="DefaultParagraphFont"/>
    <w:uiPriority w:val="99"/>
    <w:semiHidden/>
    <w:unhideWhenUsed/>
    <w:rsid w:val="006200C3"/>
    <w:rPr>
      <w:vertAlign w:val="superscript"/>
    </w:rPr>
  </w:style>
  <w:style w:type="paragraph" w:styleId="CommentSubject">
    <w:name w:val="annotation subject"/>
    <w:basedOn w:val="CommentText"/>
    <w:next w:val="CommentText"/>
    <w:link w:val="CommentSubjectChar"/>
    <w:uiPriority w:val="99"/>
    <w:semiHidden/>
    <w:unhideWhenUsed/>
    <w:rsid w:val="00EE4020"/>
    <w:rPr>
      <w:b/>
      <w:bCs/>
    </w:rPr>
  </w:style>
  <w:style w:type="character" w:customStyle="1" w:styleId="CommentTextChar1">
    <w:name w:val="Comment Text Char1"/>
    <w:basedOn w:val="DefaultParagraphFont"/>
    <w:link w:val="CommentText"/>
    <w:semiHidden/>
    <w:rsid w:val="00EE4020"/>
    <w:rPr>
      <w:rFonts w:ascii="Arial" w:hAnsi="Arial" w:cs="Tahoma"/>
      <w:kern w:val="1"/>
      <w:lang w:eastAsia="ar-SA"/>
    </w:rPr>
  </w:style>
  <w:style w:type="character" w:customStyle="1" w:styleId="CommentSubjectChar">
    <w:name w:val="Comment Subject Char"/>
    <w:basedOn w:val="CommentTextChar1"/>
    <w:link w:val="CommentSubject"/>
    <w:uiPriority w:val="99"/>
    <w:semiHidden/>
    <w:rsid w:val="00EE4020"/>
    <w:rPr>
      <w:rFonts w:ascii="Arial" w:hAnsi="Arial" w:cs="Tahoma"/>
      <w:b/>
      <w:bCs/>
      <w:kern w:val="1"/>
      <w:lang w:eastAsia="ar-SA"/>
    </w:rPr>
  </w:style>
  <w:style w:type="paragraph" w:styleId="EndnoteText">
    <w:name w:val="endnote text"/>
    <w:basedOn w:val="Normal"/>
    <w:link w:val="EndnoteTextChar"/>
    <w:uiPriority w:val="99"/>
    <w:semiHidden/>
    <w:unhideWhenUsed/>
    <w:rsid w:val="003506E1"/>
    <w:rPr>
      <w:sz w:val="20"/>
      <w:szCs w:val="20"/>
    </w:rPr>
  </w:style>
  <w:style w:type="character" w:customStyle="1" w:styleId="EndnoteTextChar">
    <w:name w:val="Endnote Text Char"/>
    <w:basedOn w:val="DefaultParagraphFont"/>
    <w:link w:val="EndnoteText"/>
    <w:uiPriority w:val="99"/>
    <w:semiHidden/>
    <w:rsid w:val="003506E1"/>
    <w:rPr>
      <w:rFonts w:ascii="Arial" w:hAnsi="Arial" w:cs="Tahoma"/>
      <w:kern w:val="1"/>
      <w:lang w:eastAsia="ar-SA"/>
    </w:rPr>
  </w:style>
  <w:style w:type="character" w:styleId="EndnoteReference">
    <w:name w:val="endnote reference"/>
    <w:basedOn w:val="DefaultParagraphFont"/>
    <w:uiPriority w:val="99"/>
    <w:semiHidden/>
    <w:unhideWhenUsed/>
    <w:rsid w:val="003506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9AE"/>
    <w:pPr>
      <w:widowControl w:val="0"/>
      <w:suppressAutoHyphens/>
      <w:textAlignment w:val="baseline"/>
    </w:pPr>
    <w:rPr>
      <w:rFonts w:ascii="Arial" w:hAnsi="Arial" w:cs="Tahoma"/>
      <w:kern w:val="1"/>
      <w:sz w:val="24"/>
      <w:szCs w:val="24"/>
      <w:lang w:eastAsia="ar-SA"/>
    </w:rPr>
  </w:style>
  <w:style w:type="paragraph" w:styleId="Heading1">
    <w:name w:val="heading 1"/>
    <w:basedOn w:val="Standard"/>
    <w:next w:val="Standard"/>
    <w:qFormat/>
    <w:pPr>
      <w:keepNext/>
      <w:keepLines/>
      <w:spacing w:before="480" w:after="0"/>
      <w:outlineLvl w:val="0"/>
    </w:pPr>
    <w:rPr>
      <w:rFonts w:ascii="Cambria" w:hAnsi="Cambria"/>
      <w:b/>
      <w:bCs/>
      <w:color w:val="365F91"/>
      <w:sz w:val="28"/>
      <w:szCs w:val="28"/>
    </w:rPr>
  </w:style>
  <w:style w:type="paragraph" w:styleId="Heading2">
    <w:name w:val="heading 2"/>
    <w:basedOn w:val="Standard"/>
    <w:next w:val="Standard"/>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qFormat/>
    <w:pPr>
      <w:keepNext/>
      <w:outlineLvl w:val="2"/>
    </w:pPr>
    <w:rPr>
      <w:b/>
      <w:bCs/>
      <w:sz w:val="18"/>
    </w:rPr>
  </w:style>
  <w:style w:type="paragraph" w:styleId="Heading4">
    <w:name w:val="heading 4"/>
    <w:basedOn w:val="Normal"/>
    <w:next w:val="Normal"/>
    <w:qFormat/>
    <w:pPr>
      <w:keepNext/>
      <w:framePr w:hSpace="180" w:wrap="around" w:vAnchor="page" w:hAnchor="margin" w:y="2041"/>
      <w:jc w:val="center"/>
      <w:outlineLvl w:val="3"/>
    </w:pPr>
    <w:rPr>
      <w:rFonts w:ascii="Calibri" w:hAnsi="Calibr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olor w:val="000000"/>
    </w:rPr>
  </w:style>
  <w:style w:type="character" w:customStyle="1" w:styleId="WW8Num1z1">
    <w:name w:val="WW8Num1z1"/>
    <w:rPr>
      <w:rFonts w:ascii="Courier New" w:hAnsi="Courier New" w:cs="Courier New"/>
    </w:rPr>
  </w:style>
  <w:style w:type="character" w:customStyle="1" w:styleId="WW8Num1z2">
    <w:name w:val="WW8Num1z2"/>
  </w:style>
  <w:style w:type="character" w:customStyle="1" w:styleId="WW8Num2z0">
    <w:name w:val="WW8Num2z0"/>
    <w:rPr>
      <w:color w:val="000000"/>
    </w:rPr>
  </w:style>
  <w:style w:type="character" w:customStyle="1" w:styleId="WW8Num3z0">
    <w:name w:val="WW8Num3z0"/>
  </w:style>
  <w:style w:type="character" w:customStyle="1" w:styleId="WW8Num3z1">
    <w:name w:val="WW8Num3z1"/>
    <w:rPr>
      <w:rFonts w:ascii="Symbol" w:hAnsi="Symbol"/>
    </w:rPr>
  </w:style>
  <w:style w:type="character" w:customStyle="1" w:styleId="WW8Num3z2">
    <w:name w:val="WW8Num3z2"/>
    <w:rPr>
      <w:rFonts w:ascii="Times New Roman" w:hAnsi="Times New Roman" w:cs="Times New Roman"/>
    </w:rPr>
  </w:style>
  <w:style w:type="character" w:customStyle="1" w:styleId="WW8Num4z0">
    <w:name w:val="WW8Num4z0"/>
  </w:style>
  <w:style w:type="character" w:customStyle="1" w:styleId="WW8Num5z0">
    <w:name w:val="WW8Num5z0"/>
    <w:rPr>
      <w:rFonts w:ascii="Symbol" w:hAnsi="Symbol"/>
      <w:color w:val="000000"/>
    </w:rPr>
  </w:style>
  <w:style w:type="character" w:customStyle="1" w:styleId="WW8Num5z1">
    <w:name w:val="WW8Num5z1"/>
    <w:rPr>
      <w:rFonts w:ascii="Courier New" w:hAnsi="Courier New" w:cs="Courier New"/>
    </w:rPr>
  </w:style>
  <w:style w:type="character" w:customStyle="1" w:styleId="WW8Num6z0">
    <w:name w:val="WW8Num6z0"/>
  </w:style>
  <w:style w:type="character" w:customStyle="1" w:styleId="WW8Num6z1">
    <w:name w:val="WW8Num6z1"/>
    <w:rPr>
      <w:rFonts w:ascii="Symbol" w:hAnsi="Symbol"/>
    </w:rPr>
  </w:style>
  <w:style w:type="character" w:customStyle="1" w:styleId="WW8Num6z2">
    <w:name w:val="WW8Num6z2"/>
    <w:rPr>
      <w:rFonts w:ascii="Wingdings" w:hAnsi="Wingdings" w:cs="Times New Roman"/>
    </w:rPr>
  </w:style>
  <w:style w:type="character" w:customStyle="1" w:styleId="WW8Num7z0">
    <w:name w:val="WW8Num7z0"/>
    <w:rPr>
      <w:rFonts w:ascii="Arial"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style>
  <w:style w:type="character" w:customStyle="1" w:styleId="WW8Num8z2">
    <w:name w:val="WW8Num8z2"/>
    <w:rPr>
      <w:rFonts w:ascii="Times New Roman" w:hAnsi="Times New Roman" w:cs="Times New Roman"/>
    </w:rPr>
  </w:style>
  <w:style w:type="character" w:customStyle="1" w:styleId="WW8Num9z0">
    <w:name w:val="WW8Num9z0"/>
  </w:style>
  <w:style w:type="character" w:customStyle="1" w:styleId="WW8Num9z1">
    <w:name w:val="WW8Num9z1"/>
    <w:rPr>
      <w:rFonts w:ascii="Symbol" w:hAnsi="Symbol" w:cs="Times New Roman"/>
    </w:rPr>
  </w:style>
  <w:style w:type="character" w:customStyle="1" w:styleId="WW8Num10z0">
    <w:name w:val="WW8Num10z0"/>
  </w:style>
  <w:style w:type="character" w:customStyle="1" w:styleId="WW8Num10z1">
    <w:name w:val="WW8Num10z1"/>
    <w:rPr>
      <w:rFonts w:ascii="Arial" w:hAnsi="Arial" w:cs="Arial"/>
    </w:rPr>
  </w:style>
  <w:style w:type="character" w:customStyle="1" w:styleId="WW8Num10z2">
    <w:name w:val="WW8Num10z2"/>
    <w:rPr>
      <w:rFonts w:ascii="Times New Roman" w:hAnsi="Times New Roman" w:cs="Times New Roman"/>
    </w:rPr>
  </w:style>
  <w:style w:type="character" w:customStyle="1" w:styleId="WW8Num11z0">
    <w:name w:val="WW8Num11z0"/>
  </w:style>
  <w:style w:type="character" w:customStyle="1" w:styleId="WW8Num11z1">
    <w:name w:val="WW8Num11z1"/>
    <w:rPr>
      <w:rFonts w:ascii="Symbol" w:hAnsi="Symbol"/>
    </w:rPr>
  </w:style>
  <w:style w:type="character" w:customStyle="1" w:styleId="WW8Num12z0">
    <w:name w:val="WW8Num12z0"/>
  </w:style>
  <w:style w:type="character" w:customStyle="1" w:styleId="WW8Num12z1">
    <w:name w:val="WW8Num12z1"/>
    <w:rPr>
      <w:rFonts w:ascii="Symbol" w:hAnsi="Symbol"/>
    </w:rPr>
  </w:style>
  <w:style w:type="character" w:customStyle="1" w:styleId="WW8Num12z2">
    <w:name w:val="WW8Num12z2"/>
    <w:rPr>
      <w:rFonts w:ascii="Times New Roman" w:hAnsi="Times New Roman" w:cs="Times New Roman"/>
    </w:rPr>
  </w:style>
  <w:style w:type="character" w:customStyle="1" w:styleId="WW8Num13z0">
    <w:name w:val="WW8Num13z0"/>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Times New Roman"/>
    </w:rPr>
  </w:style>
  <w:style w:type="character" w:customStyle="1" w:styleId="WW8Num13z3">
    <w:name w:val="WW8Num13z3"/>
    <w:rPr>
      <w:rFonts w:ascii="Symbol" w:hAnsi="Symbol" w:cs="Times New Roman"/>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cs="Times New Roman"/>
    </w:rPr>
  </w:style>
  <w:style w:type="character" w:customStyle="1" w:styleId="WW8Num15z0">
    <w:name w:val="WW8Num15z0"/>
  </w:style>
  <w:style w:type="character" w:customStyle="1" w:styleId="WW8Num15z1">
    <w:name w:val="WW8Num15z1"/>
    <w:rPr>
      <w:rFonts w:ascii="Symbol" w:hAnsi="Symbol"/>
    </w:rPr>
  </w:style>
  <w:style w:type="character" w:customStyle="1" w:styleId="WW8Num16z0">
    <w:name w:val="WW8Num16z0"/>
  </w:style>
  <w:style w:type="character" w:customStyle="1" w:styleId="WW8Num16z1">
    <w:name w:val="WW8Num16z1"/>
    <w:rPr>
      <w:rFonts w:ascii="Symbol" w:hAnsi="Symbol"/>
    </w:rPr>
  </w:style>
  <w:style w:type="character" w:customStyle="1" w:styleId="WW8Num17z0">
    <w:name w:val="WW8Num17z0"/>
    <w:rPr>
      <w:rFonts w:ascii="Symbol" w:hAnsi="Symbol"/>
      <w:color w:val="000000"/>
    </w:rPr>
  </w:style>
  <w:style w:type="character" w:customStyle="1" w:styleId="WW8Num17z1">
    <w:name w:val="WW8Num17z1"/>
    <w:rPr>
      <w:rFonts w:ascii="Symbol" w:hAnsi="Symbol"/>
    </w:rPr>
  </w:style>
  <w:style w:type="character" w:customStyle="1" w:styleId="WW8Num18z0">
    <w:name w:val="WW8Num18z0"/>
  </w:style>
  <w:style w:type="character" w:customStyle="1" w:styleId="WW8Num19z0">
    <w:name w:val="WW8Num19z0"/>
    <w:rPr>
      <w:color w:val="000000"/>
    </w:rPr>
  </w:style>
  <w:style w:type="character" w:customStyle="1" w:styleId="WW8Num20z0">
    <w:name w:val="WW8Num20z0"/>
    <w:rPr>
      <w:color w:val="000000"/>
    </w:rPr>
  </w:style>
  <w:style w:type="character" w:customStyle="1" w:styleId="WW8Num20z1">
    <w:name w:val="WW8Num20z1"/>
    <w:rPr>
      <w:rFonts w:ascii="Symbol" w:hAnsi="Symbol"/>
    </w:rPr>
  </w:style>
  <w:style w:type="character" w:customStyle="1" w:styleId="WW8Num21z0">
    <w:name w:val="WW8Num21z0"/>
  </w:style>
  <w:style w:type="character" w:customStyle="1" w:styleId="WW8Num22z0">
    <w:name w:val="WW8Num22z0"/>
  </w:style>
  <w:style w:type="character" w:customStyle="1" w:styleId="WW8Num22z1">
    <w:name w:val="WW8Num22z1"/>
    <w:rPr>
      <w:rFonts w:ascii="Symbol" w:hAnsi="Symbol" w:cs="Times New Roman"/>
    </w:rPr>
  </w:style>
  <w:style w:type="character" w:customStyle="1" w:styleId="WW8Num23z0">
    <w:name w:val="WW8Num23z0"/>
  </w:style>
  <w:style w:type="character" w:customStyle="1" w:styleId="WW8Num24z0">
    <w:name w:val="WW8Num24z0"/>
    <w:rPr>
      <w:rFonts w:ascii="Symbol" w:hAnsi="Symbol"/>
    </w:rPr>
  </w:style>
  <w:style w:type="character" w:customStyle="1" w:styleId="WW8Num24z1">
    <w:name w:val="WW8Num24z1"/>
  </w:style>
  <w:style w:type="character" w:customStyle="1" w:styleId="WW8Num25z0">
    <w:name w:val="WW8Num25z0"/>
  </w:style>
  <w:style w:type="character" w:customStyle="1" w:styleId="WW8Num25z1">
    <w:name w:val="WW8Num25z1"/>
    <w:rPr>
      <w:rFonts w:ascii="Symbol" w:hAnsi="Symbol" w:cs="Times New Roman"/>
    </w:rPr>
  </w:style>
  <w:style w:type="character" w:customStyle="1" w:styleId="WW8Num25z2">
    <w:name w:val="WW8Num25z2"/>
    <w:rPr>
      <w:rFonts w:ascii="Times New Roman" w:hAnsi="Times New Roman" w:cs="Times New Roman"/>
    </w:rPr>
  </w:style>
  <w:style w:type="character" w:customStyle="1" w:styleId="WW8Num26z0">
    <w:name w:val="WW8Num26z0"/>
  </w:style>
  <w:style w:type="character" w:customStyle="1" w:styleId="WW8Num26z1">
    <w:name w:val="WW8Num26z1"/>
    <w:rPr>
      <w:rFonts w:ascii="Symbol" w:hAnsi="Symbol" w:cs="Times New Roman"/>
    </w:rPr>
  </w:style>
  <w:style w:type="character" w:customStyle="1" w:styleId="WW8Num26z2">
    <w:name w:val="WW8Num26z2"/>
    <w:rPr>
      <w:rFonts w:ascii="Times New Roman" w:hAnsi="Times New Roman" w:cs="Times New Roman"/>
    </w:rPr>
  </w:style>
  <w:style w:type="character" w:customStyle="1" w:styleId="WW8Num27z0">
    <w:name w:val="WW8Num27z0"/>
    <w:rPr>
      <w:rFonts w:ascii="Arial" w:hAnsi="Arial" w:cs="Arial"/>
      <w:color w:val="000000"/>
    </w:rPr>
  </w:style>
  <w:style w:type="character" w:customStyle="1" w:styleId="WW8Num27z1">
    <w:name w:val="WW8Num27z1"/>
    <w:rPr>
      <w:rFonts w:ascii="Symbol" w:hAnsi="Symbol"/>
    </w:rPr>
  </w:style>
  <w:style w:type="character" w:customStyle="1" w:styleId="WW8Num27z2">
    <w:name w:val="WW8Num27z2"/>
  </w:style>
  <w:style w:type="character" w:customStyle="1" w:styleId="WW8Num27z3">
    <w:name w:val="WW8Num27z3"/>
    <w:rPr>
      <w:rFonts w:ascii="Symbol" w:hAnsi="Symbol" w:cs="Times New Roman"/>
    </w:rPr>
  </w:style>
  <w:style w:type="character" w:customStyle="1" w:styleId="WW8Num28z0">
    <w:name w:val="WW8Num28z0"/>
    <w:rPr>
      <w:rFonts w:ascii="Symbol" w:hAnsi="Symbol"/>
      <w:color w:val="00000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Times New Roman" w:hAnsi="Times New Roman" w:cs="Times New Roman"/>
    </w:rPr>
  </w:style>
  <w:style w:type="character" w:customStyle="1" w:styleId="WW8Num30z0">
    <w:name w:val="WW8Num30z0"/>
    <w:rPr>
      <w:rFonts w:ascii="Times New Roman" w:hAnsi="Times New Roman" w:cs="Times New Roman"/>
    </w:rPr>
  </w:style>
  <w:style w:type="character" w:customStyle="1" w:styleId="WW8Num30z1">
    <w:name w:val="WW8Num30z1"/>
    <w:rPr>
      <w:rFonts w:ascii="Symbol" w:hAnsi="Symbol" w:cs="Times New Roman"/>
    </w:rPr>
  </w:style>
  <w:style w:type="character" w:customStyle="1" w:styleId="WW8Num31z0">
    <w:name w:val="WW8Num31z0"/>
    <w:rPr>
      <w:rFonts w:ascii="Times New Roman" w:hAnsi="Times New Roman" w:cs="Times New Roman"/>
    </w:rPr>
  </w:style>
  <w:style w:type="character" w:customStyle="1" w:styleId="Internetlink">
    <w:name w:val="Internet link"/>
    <w:rPr>
      <w:rFonts w:ascii="Times New Roman" w:hAnsi="Times New Roman" w:cs="Times New Roman"/>
      <w:color w:val="0000FF"/>
      <w:u w:val="single"/>
    </w:rPr>
  </w:style>
  <w:style w:type="character" w:customStyle="1" w:styleId="WW8Num2z1">
    <w:name w:val="WW8Num2z1"/>
    <w:rPr>
      <w:rFonts w:ascii="Symbol" w:hAnsi="Symbol"/>
    </w:rPr>
  </w:style>
  <w:style w:type="character" w:customStyle="1" w:styleId="WW8Num2z2">
    <w:name w:val="WW8Num2z2"/>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3">
    <w:name w:val="WW8Num7z3"/>
    <w:rPr>
      <w:rFonts w:ascii="Symbol" w:hAnsi="Symbol"/>
    </w:rPr>
  </w:style>
  <w:style w:type="character" w:customStyle="1" w:styleId="WW8Num17z2">
    <w:name w:val="WW8Num17z2"/>
  </w:style>
  <w:style w:type="character" w:customStyle="1" w:styleId="WW8Num18z1">
    <w:name w:val="WW8Num18z1"/>
    <w:rPr>
      <w:rFonts w:ascii="Symbol" w:hAnsi="Symbol"/>
    </w:rPr>
  </w:style>
  <w:style w:type="character" w:customStyle="1" w:styleId="WW8Num19z1">
    <w:name w:val="WW8Num19z1"/>
    <w:rPr>
      <w:rFonts w:ascii="Arial" w:hAnsi="Arial" w:cs="Arial"/>
    </w:rPr>
  </w:style>
  <w:style w:type="character" w:customStyle="1" w:styleId="WW8Num19z2">
    <w:name w:val="WW8Num19z2"/>
  </w:style>
  <w:style w:type="character" w:customStyle="1" w:styleId="WW8Num20z2">
    <w:name w:val="WW8Num20z2"/>
  </w:style>
  <w:style w:type="character" w:customStyle="1" w:styleId="WW8Num21z1">
    <w:name w:val="WW8Num21z1"/>
    <w:rPr>
      <w:rFonts w:ascii="Symbol" w:hAnsi="Symbol"/>
    </w:rPr>
  </w:style>
  <w:style w:type="character" w:customStyle="1" w:styleId="WW8Num23z1">
    <w:name w:val="WW8Num23z1"/>
    <w:rPr>
      <w:rFonts w:ascii="Symbol" w:hAnsi="Symbol"/>
    </w:rPr>
  </w:style>
  <w:style w:type="character" w:customStyle="1" w:styleId="WW8Num28z3">
    <w:name w:val="WW8Num28z3"/>
    <w:rPr>
      <w:rFonts w:ascii="Symbol" w:hAnsi="Symbol"/>
    </w:rPr>
  </w:style>
  <w:style w:type="character" w:customStyle="1" w:styleId="Heading1Char">
    <w:name w:val="Heading 1 Char"/>
    <w:rPr>
      <w:rFonts w:ascii="Cambria" w:hAnsi="Cambria" w:cs="Times New Roman"/>
      <w:b/>
      <w:bCs/>
      <w:color w:val="365F91"/>
      <w:sz w:val="28"/>
      <w:szCs w:val="28"/>
    </w:rPr>
  </w:style>
  <w:style w:type="character" w:customStyle="1" w:styleId="Heading2Char">
    <w:name w:val="Heading 2 Char"/>
    <w:rPr>
      <w:rFonts w:ascii="Cambria" w:hAnsi="Cambria" w:cs="Times New Roman"/>
      <w:b/>
      <w:bCs/>
      <w:color w:val="4F81BD"/>
      <w:sz w:val="26"/>
      <w:szCs w:val="26"/>
    </w:rPr>
  </w:style>
  <w:style w:type="character" w:customStyle="1" w:styleId="HeaderChar">
    <w:name w:val="Header Char"/>
    <w:uiPriority w:val="99"/>
    <w:rPr>
      <w:rFonts w:ascii="Times New Roman" w:hAnsi="Times New Roman" w:cs="Times New Roman"/>
    </w:rPr>
  </w:style>
  <w:style w:type="character" w:customStyle="1" w:styleId="FooterChar">
    <w:name w:val="Footer Char"/>
    <w:uiPriority w:val="99"/>
    <w:rPr>
      <w:rFonts w:ascii="Times New Roman" w:hAnsi="Times New Roman" w:cs="Times New Roman"/>
    </w:rPr>
  </w:style>
  <w:style w:type="character" w:customStyle="1" w:styleId="PlainTextChar">
    <w:name w:val="Plain Text Char"/>
    <w:rPr>
      <w:rFonts w:ascii="Calibri" w:hAnsi="Calibri" w:cs="Times New Roman"/>
      <w:sz w:val="21"/>
      <w:szCs w:val="21"/>
    </w:rPr>
  </w:style>
  <w:style w:type="character" w:customStyle="1" w:styleId="BalloonTextChar">
    <w:name w:val="Balloon Text Char"/>
    <w:rPr>
      <w:rFonts w:ascii="Tahoma" w:hAnsi="Tahoma" w:cs="Tahoma"/>
      <w:sz w:val="16"/>
      <w:szCs w:val="16"/>
    </w:rPr>
  </w:style>
  <w:style w:type="character" w:customStyle="1" w:styleId="NoSpacingChar">
    <w:name w:val="No Spacing Char"/>
    <w:rPr>
      <w:rFonts w:ascii="Times New Roman" w:hAnsi="Times New Roman" w:cs="Times New Roman"/>
      <w:sz w:val="22"/>
      <w:szCs w:val="22"/>
      <w:lang w:val="en-US" w:eastAsia="ar-SA" w:bidi="ar-SA"/>
    </w:rPr>
  </w:style>
  <w:style w:type="character" w:customStyle="1" w:styleId="CommentTextChar">
    <w:name w:val="Comment Text Char"/>
    <w:rPr>
      <w:rFonts w:ascii="Times New Roman" w:hAnsi="Times New Roman" w:cs="Times New Roman"/>
      <w:sz w:val="20"/>
      <w:szCs w:val="20"/>
    </w:rPr>
  </w:style>
  <w:style w:type="character" w:styleId="CommentReference">
    <w:name w:val="annotation reference"/>
    <w:semiHidden/>
    <w:rPr>
      <w:rFonts w:ascii="Times New Roman" w:hAnsi="Times New Roman" w:cs="Times New Roman"/>
      <w:sz w:val="16"/>
      <w:szCs w:val="16"/>
    </w:rPr>
  </w:style>
  <w:style w:type="character" w:styleId="Hyperlink">
    <w:name w:val="Hyperlink"/>
    <w:semiHidden/>
    <w:rPr>
      <w:color w:val="000080"/>
      <w:u w:val="single"/>
    </w:rPr>
  </w:style>
  <w:style w:type="character" w:customStyle="1" w:styleId="Bullets">
    <w:name w:val="Bullets"/>
    <w:rPr>
      <w:rFonts w:ascii="StarSymbol" w:eastAsia="StarSymbol" w:hAnsi="StarSymbol" w:cs="StarSymbol"/>
      <w:sz w:val="18"/>
      <w:szCs w:val="18"/>
    </w:rPr>
  </w:style>
  <w:style w:type="paragraph" w:customStyle="1" w:styleId="Heading">
    <w:name w:val="Heading"/>
    <w:basedOn w:val="Standard"/>
    <w:next w:val="BodyText"/>
    <w:pPr>
      <w:keepNext/>
      <w:spacing w:before="240" w:after="120"/>
    </w:pPr>
    <w:rPr>
      <w:rFonts w:ascii="Arial" w:hAnsi="Arial" w:cs="Tahoma"/>
      <w:sz w:val="28"/>
      <w:szCs w:val="28"/>
    </w:rPr>
  </w:style>
  <w:style w:type="paragraph" w:styleId="BodyText">
    <w:name w:val="Body Text"/>
    <w:basedOn w:val="Standard"/>
    <w:semiHidden/>
    <w:pPr>
      <w:spacing w:after="120"/>
    </w:pPr>
  </w:style>
  <w:style w:type="paragraph" w:styleId="List">
    <w:name w:val="List"/>
    <w:basedOn w:val="BodyText"/>
    <w:semiHidden/>
    <w:rPr>
      <w:rFonts w:ascii="Arial" w:hAnsi="Arial" w:cs="Arial"/>
    </w:rPr>
  </w:style>
  <w:style w:type="paragraph" w:styleId="Caption">
    <w:name w:val="caption"/>
    <w:basedOn w:val="Standard"/>
    <w:qFormat/>
    <w:pPr>
      <w:suppressLineNumbers/>
      <w:spacing w:before="120" w:after="120"/>
    </w:pPr>
    <w:rPr>
      <w:rFonts w:ascii="Arial" w:hAnsi="Arial" w:cs="Arial"/>
      <w:i/>
      <w:iCs/>
      <w:sz w:val="24"/>
      <w:szCs w:val="24"/>
    </w:rPr>
  </w:style>
  <w:style w:type="paragraph" w:customStyle="1" w:styleId="Index">
    <w:name w:val="Index"/>
    <w:basedOn w:val="Standard"/>
    <w:pPr>
      <w:suppressLineNumbers/>
    </w:pPr>
    <w:rPr>
      <w:rFonts w:ascii="Arial" w:hAnsi="Arial" w:cs="Arial"/>
    </w:rPr>
  </w:style>
  <w:style w:type="paragraph" w:customStyle="1" w:styleId="Standard">
    <w:name w:val="Standard"/>
    <w:pPr>
      <w:suppressAutoHyphens/>
      <w:spacing w:after="200" w:line="276" w:lineRule="auto"/>
      <w:textAlignment w:val="baseline"/>
    </w:pPr>
    <w:rPr>
      <w:rFonts w:ascii="Calibri" w:hAnsi="Calibri"/>
      <w:kern w:val="1"/>
      <w:sz w:val="22"/>
      <w:szCs w:val="22"/>
      <w:lang w:eastAsia="ar-SA"/>
    </w:rPr>
  </w:style>
  <w:style w:type="paragraph" w:styleId="Header">
    <w:name w:val="header"/>
    <w:basedOn w:val="Standard"/>
    <w:uiPriority w:val="99"/>
    <w:pPr>
      <w:tabs>
        <w:tab w:val="center" w:pos="4513"/>
        <w:tab w:val="right" w:pos="9026"/>
      </w:tabs>
      <w:spacing w:after="0" w:line="240" w:lineRule="auto"/>
    </w:pPr>
  </w:style>
  <w:style w:type="paragraph" w:styleId="Footer">
    <w:name w:val="footer"/>
    <w:basedOn w:val="Standard"/>
    <w:uiPriority w:val="99"/>
    <w:pPr>
      <w:tabs>
        <w:tab w:val="center" w:pos="4513"/>
        <w:tab w:val="right" w:pos="9026"/>
      </w:tabs>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Standard"/>
    <w:uiPriority w:val="99"/>
    <w:qFormat/>
    <w:pPr>
      <w:ind w:left="720"/>
    </w:pPr>
  </w:style>
  <w:style w:type="paragraph" w:styleId="PlainText">
    <w:name w:val="Plain Text"/>
    <w:basedOn w:val="Standard"/>
    <w:semiHidden/>
    <w:pPr>
      <w:spacing w:after="0" w:line="240" w:lineRule="auto"/>
    </w:pPr>
    <w:rPr>
      <w:szCs w:val="21"/>
    </w:rPr>
  </w:style>
  <w:style w:type="paragraph" w:styleId="BalloonText">
    <w:name w:val="Balloon Text"/>
    <w:basedOn w:val="Standard"/>
    <w:pPr>
      <w:spacing w:after="0" w:line="240" w:lineRule="auto"/>
    </w:pPr>
    <w:rPr>
      <w:rFonts w:ascii="Tahoma" w:hAnsi="Tahoma" w:cs="Tahoma"/>
      <w:sz w:val="16"/>
      <w:szCs w:val="16"/>
    </w:rPr>
  </w:style>
  <w:style w:type="paragraph" w:styleId="NoSpacing">
    <w:name w:val="No Spacing"/>
    <w:qFormat/>
    <w:pPr>
      <w:suppressAutoHyphens/>
      <w:textAlignment w:val="baseline"/>
    </w:pPr>
    <w:rPr>
      <w:rFonts w:ascii="Calibri" w:hAnsi="Calibri"/>
      <w:kern w:val="1"/>
      <w:sz w:val="22"/>
      <w:szCs w:val="22"/>
      <w:lang w:val="en-US" w:eastAsia="ar-SA"/>
    </w:rPr>
  </w:style>
  <w:style w:type="paragraph" w:styleId="NormalWeb">
    <w:name w:val="Normal (Web)"/>
    <w:basedOn w:val="Standard"/>
    <w:semiHidden/>
    <w:pPr>
      <w:spacing w:before="280" w:after="150" w:line="240" w:lineRule="auto"/>
    </w:pPr>
    <w:rPr>
      <w:sz w:val="24"/>
      <w:szCs w:val="24"/>
    </w:rPr>
  </w:style>
  <w:style w:type="paragraph" w:styleId="CommentText">
    <w:name w:val="annotation text"/>
    <w:basedOn w:val="Normal"/>
    <w:link w:val="CommentTextChar1"/>
    <w:semiHidden/>
    <w:rPr>
      <w:sz w:val="20"/>
      <w:szCs w:val="20"/>
    </w:rPr>
  </w:style>
  <w:style w:type="paragraph" w:styleId="BlockText">
    <w:name w:val="Block Text"/>
    <w:basedOn w:val="Normal"/>
    <w:semiHidden/>
    <w:pPr>
      <w:widowControl/>
      <w:suppressAutoHyphens w:val="0"/>
      <w:autoSpaceDE w:val="0"/>
      <w:autoSpaceDN w:val="0"/>
      <w:adjustRightInd w:val="0"/>
      <w:spacing w:before="480" w:after="120"/>
      <w:ind w:left="567" w:right="646"/>
      <w:jc w:val="both"/>
      <w:textAlignment w:val="auto"/>
    </w:pPr>
    <w:rPr>
      <w:rFonts w:ascii="Cambria" w:hAnsi="Cambria" w:cs="Times New Roman"/>
      <w:color w:val="58595B"/>
      <w:kern w:val="0"/>
      <w:szCs w:val="20"/>
      <w:lang w:val="en-US" w:eastAsia="en-US"/>
    </w:rPr>
  </w:style>
  <w:style w:type="table" w:styleId="TableGrid">
    <w:name w:val="Table Grid"/>
    <w:basedOn w:val="TableNormal"/>
    <w:uiPriority w:val="59"/>
    <w:rsid w:val="00EF1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200C3"/>
    <w:rPr>
      <w:sz w:val="20"/>
      <w:szCs w:val="20"/>
    </w:rPr>
  </w:style>
  <w:style w:type="character" w:customStyle="1" w:styleId="FootnoteTextChar">
    <w:name w:val="Footnote Text Char"/>
    <w:basedOn w:val="DefaultParagraphFont"/>
    <w:link w:val="FootnoteText"/>
    <w:uiPriority w:val="99"/>
    <w:semiHidden/>
    <w:rsid w:val="006200C3"/>
    <w:rPr>
      <w:rFonts w:ascii="Arial" w:hAnsi="Arial" w:cs="Tahoma"/>
      <w:kern w:val="1"/>
      <w:lang w:eastAsia="ar-SA"/>
    </w:rPr>
  </w:style>
  <w:style w:type="character" w:styleId="FootnoteReference">
    <w:name w:val="footnote reference"/>
    <w:basedOn w:val="DefaultParagraphFont"/>
    <w:uiPriority w:val="99"/>
    <w:semiHidden/>
    <w:unhideWhenUsed/>
    <w:rsid w:val="006200C3"/>
    <w:rPr>
      <w:vertAlign w:val="superscript"/>
    </w:rPr>
  </w:style>
  <w:style w:type="paragraph" w:styleId="CommentSubject">
    <w:name w:val="annotation subject"/>
    <w:basedOn w:val="CommentText"/>
    <w:next w:val="CommentText"/>
    <w:link w:val="CommentSubjectChar"/>
    <w:uiPriority w:val="99"/>
    <w:semiHidden/>
    <w:unhideWhenUsed/>
    <w:rsid w:val="00EE4020"/>
    <w:rPr>
      <w:b/>
      <w:bCs/>
    </w:rPr>
  </w:style>
  <w:style w:type="character" w:customStyle="1" w:styleId="CommentTextChar1">
    <w:name w:val="Comment Text Char1"/>
    <w:basedOn w:val="DefaultParagraphFont"/>
    <w:link w:val="CommentText"/>
    <w:semiHidden/>
    <w:rsid w:val="00EE4020"/>
    <w:rPr>
      <w:rFonts w:ascii="Arial" w:hAnsi="Arial" w:cs="Tahoma"/>
      <w:kern w:val="1"/>
      <w:lang w:eastAsia="ar-SA"/>
    </w:rPr>
  </w:style>
  <w:style w:type="character" w:customStyle="1" w:styleId="CommentSubjectChar">
    <w:name w:val="Comment Subject Char"/>
    <w:basedOn w:val="CommentTextChar1"/>
    <w:link w:val="CommentSubject"/>
    <w:uiPriority w:val="99"/>
    <w:semiHidden/>
    <w:rsid w:val="00EE4020"/>
    <w:rPr>
      <w:rFonts w:ascii="Arial" w:hAnsi="Arial" w:cs="Tahoma"/>
      <w:b/>
      <w:bCs/>
      <w:kern w:val="1"/>
      <w:lang w:eastAsia="ar-SA"/>
    </w:rPr>
  </w:style>
  <w:style w:type="paragraph" w:styleId="EndnoteText">
    <w:name w:val="endnote text"/>
    <w:basedOn w:val="Normal"/>
    <w:link w:val="EndnoteTextChar"/>
    <w:uiPriority w:val="99"/>
    <w:semiHidden/>
    <w:unhideWhenUsed/>
    <w:rsid w:val="003506E1"/>
    <w:rPr>
      <w:sz w:val="20"/>
      <w:szCs w:val="20"/>
    </w:rPr>
  </w:style>
  <w:style w:type="character" w:customStyle="1" w:styleId="EndnoteTextChar">
    <w:name w:val="Endnote Text Char"/>
    <w:basedOn w:val="DefaultParagraphFont"/>
    <w:link w:val="EndnoteText"/>
    <w:uiPriority w:val="99"/>
    <w:semiHidden/>
    <w:rsid w:val="003506E1"/>
    <w:rPr>
      <w:rFonts w:ascii="Arial" w:hAnsi="Arial" w:cs="Tahoma"/>
      <w:kern w:val="1"/>
      <w:lang w:eastAsia="ar-SA"/>
    </w:rPr>
  </w:style>
  <w:style w:type="character" w:styleId="EndnoteReference">
    <w:name w:val="endnote reference"/>
    <w:basedOn w:val="DefaultParagraphFont"/>
    <w:uiPriority w:val="99"/>
    <w:semiHidden/>
    <w:unhideWhenUsed/>
    <w:rsid w:val="003506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02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ntranet/need_to_know/Procurement/Pages/SME%20Concordat.aspx"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4CCDF-7083-4DF6-87F6-78C57146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A887E135.dotm</Template>
  <TotalTime>16</TotalTime>
  <Pages>9</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Sustainable Procurement Strategy</vt:lpstr>
    </vt:vector>
  </TitlesOfParts>
  <Company>Bristol City Council</Company>
  <LinksUpToDate>false</LinksUpToDate>
  <CharactersWithSpaces>14957</CharactersWithSpaces>
  <SharedDoc>false</SharedDoc>
  <HLinks>
    <vt:vector size="6" baseType="variant">
      <vt:variant>
        <vt:i4>1245249</vt:i4>
      </vt:variant>
      <vt:variant>
        <vt:i4>0</vt:i4>
      </vt:variant>
      <vt:variant>
        <vt:i4>0</vt:i4>
      </vt:variant>
      <vt:variant>
        <vt:i4>5</vt:i4>
      </vt:variant>
      <vt:variant>
        <vt:lpwstr>http://intranet/need_to_know/Procurement/Pages/SME%20Concordat.aspx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Procurement Strategy</dc:title>
  <dc:subject>Bath &amp; North East Somerset and Bristol City Council Procurement</dc:subject>
  <dc:creator>July 2012</dc:creator>
  <cp:lastModifiedBy>Christine Storry</cp:lastModifiedBy>
  <cp:revision>10</cp:revision>
  <cp:lastPrinted>2013-10-11T09:41:00Z</cp:lastPrinted>
  <dcterms:created xsi:type="dcterms:W3CDTF">2013-10-11T09:15:00Z</dcterms:created>
  <dcterms:modified xsi:type="dcterms:W3CDTF">2013-10-11T09:46:00Z</dcterms:modified>
</cp:coreProperties>
</file>