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0"/>
        <w:gridCol w:w="992"/>
        <w:gridCol w:w="1559"/>
      </w:tblGrid>
      <w:tr w:rsidR="00F44FDB" w:rsidRPr="008B4F87" w14:paraId="57E5740E" w14:textId="7777777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5ADB1FE4" w14:textId="77777777" w:rsidR="00F44FDB" w:rsidRPr="008B4F87" w:rsidRDefault="00F44FDB">
            <w:pPr>
              <w:jc w:val="center"/>
              <w:rPr>
                <w:sz w:val="24"/>
                <w:szCs w:val="24"/>
              </w:rPr>
            </w:pPr>
          </w:p>
          <w:p w14:paraId="2363444C" w14:textId="77777777" w:rsidR="00F44FDB" w:rsidRPr="008B4F87" w:rsidRDefault="00F44FDB">
            <w:pPr>
              <w:jc w:val="center"/>
              <w:rPr>
                <w:sz w:val="24"/>
                <w:szCs w:val="24"/>
              </w:rPr>
            </w:pPr>
            <w:r w:rsidRPr="008B4F87">
              <w:rPr>
                <w:b/>
                <w:bCs/>
                <w:sz w:val="24"/>
                <w:szCs w:val="24"/>
              </w:rPr>
              <w:t>Bath &amp; North East Somerset Council</w:t>
            </w:r>
          </w:p>
          <w:p w14:paraId="323FE29D" w14:textId="77777777" w:rsidR="00F44FDB" w:rsidRPr="008B4F87" w:rsidRDefault="00F44FDB">
            <w:pPr>
              <w:jc w:val="center"/>
              <w:rPr>
                <w:sz w:val="24"/>
                <w:szCs w:val="24"/>
              </w:rPr>
            </w:pPr>
          </w:p>
        </w:tc>
      </w:tr>
      <w:tr w:rsidR="00F44FDB" w:rsidRPr="008B4F87" w14:paraId="70271F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20D1" w14:textId="77777777" w:rsidR="00F44FDB" w:rsidRPr="008B4F87" w:rsidRDefault="000B0A78" w:rsidP="002061E8">
            <w:pPr>
              <w:spacing w:before="120" w:after="120"/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>DECISION MAKER</w:t>
            </w:r>
            <w:r w:rsidR="008D0891" w:rsidRPr="008B4F87">
              <w:rPr>
                <w:sz w:val="24"/>
                <w:szCs w:val="24"/>
              </w:rPr>
              <w:t>:</w:t>
            </w:r>
            <w:r w:rsidRPr="008B4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1C2B3" w14:textId="44F56761" w:rsidR="00CF393E" w:rsidRPr="008B4F87" w:rsidRDefault="002061E8" w:rsidP="00EF32D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B4F87">
              <w:rPr>
                <w:b/>
                <w:bCs/>
                <w:sz w:val="24"/>
                <w:szCs w:val="24"/>
              </w:rPr>
              <w:t xml:space="preserve">Cllr </w:t>
            </w:r>
            <w:r w:rsidR="00C11A83">
              <w:rPr>
                <w:b/>
                <w:bCs/>
                <w:sz w:val="24"/>
                <w:szCs w:val="24"/>
              </w:rPr>
              <w:t>Kevin Guy</w:t>
            </w:r>
            <w:r w:rsidR="00EF32D6" w:rsidRPr="008B4F87">
              <w:rPr>
                <w:b/>
                <w:bCs/>
                <w:sz w:val="24"/>
                <w:szCs w:val="24"/>
              </w:rPr>
              <w:t xml:space="preserve">, Council Leader </w:t>
            </w:r>
          </w:p>
        </w:tc>
      </w:tr>
      <w:tr w:rsidR="004010F0" w:rsidRPr="008B4F87" w14:paraId="03EA1B71" w14:textId="77777777" w:rsidTr="00216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130FF" w14:textId="77777777" w:rsidR="004010F0" w:rsidRPr="008B4F87" w:rsidRDefault="004010F0" w:rsidP="002061E8">
            <w:pPr>
              <w:spacing w:before="120" w:after="12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 xml:space="preserve">DECISION DATE: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16DE4" w14:textId="3BDF9ACC" w:rsidR="004010F0" w:rsidRPr="008B4F87" w:rsidRDefault="004010F0" w:rsidP="00805F1B">
            <w:pPr>
              <w:pStyle w:val="Meeting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8B4F87">
              <w:rPr>
                <w:b/>
                <w:bCs/>
                <w:sz w:val="24"/>
                <w:szCs w:val="24"/>
              </w:rPr>
              <w:t>O</w:t>
            </w:r>
            <w:r w:rsidR="00EF32D6" w:rsidRPr="008B4F87">
              <w:rPr>
                <w:b/>
                <w:bCs/>
                <w:sz w:val="24"/>
                <w:szCs w:val="24"/>
              </w:rPr>
              <w:t xml:space="preserve">n or after </w:t>
            </w:r>
            <w:r w:rsidR="00945ECE">
              <w:rPr>
                <w:b/>
                <w:bCs/>
                <w:sz w:val="24"/>
                <w:szCs w:val="24"/>
              </w:rPr>
              <w:t>3</w:t>
            </w:r>
            <w:r w:rsidR="002E4C3B">
              <w:rPr>
                <w:b/>
                <w:bCs/>
                <w:sz w:val="24"/>
                <w:szCs w:val="24"/>
              </w:rPr>
              <w:t>0</w:t>
            </w:r>
            <w:r w:rsidR="00945ECE" w:rsidRPr="00945ECE">
              <w:rPr>
                <w:b/>
                <w:bCs/>
                <w:sz w:val="24"/>
                <w:szCs w:val="24"/>
                <w:vertAlign w:val="superscript"/>
              </w:rPr>
              <w:t>t</w:t>
            </w:r>
            <w:r w:rsidR="002E4C3B">
              <w:rPr>
                <w:b/>
                <w:bCs/>
                <w:sz w:val="24"/>
                <w:szCs w:val="24"/>
                <w:vertAlign w:val="superscript"/>
              </w:rPr>
              <w:t>h</w:t>
            </w:r>
            <w:r w:rsidR="00945ECE">
              <w:rPr>
                <w:b/>
                <w:bCs/>
                <w:sz w:val="24"/>
                <w:szCs w:val="24"/>
              </w:rPr>
              <w:t xml:space="preserve"> November</w:t>
            </w:r>
            <w:r w:rsidR="00805F1B" w:rsidRPr="008B4F87">
              <w:rPr>
                <w:b/>
                <w:bCs/>
                <w:sz w:val="24"/>
                <w:szCs w:val="24"/>
              </w:rPr>
              <w:t xml:space="preserve"> </w:t>
            </w:r>
            <w:r w:rsidR="002061E8" w:rsidRPr="008B4F87">
              <w:rPr>
                <w:b/>
                <w:bCs/>
                <w:sz w:val="24"/>
                <w:szCs w:val="24"/>
              </w:rPr>
              <w:t>2</w:t>
            </w:r>
            <w:r w:rsidRPr="008B4F87">
              <w:rPr>
                <w:b/>
                <w:bCs/>
                <w:sz w:val="24"/>
                <w:szCs w:val="24"/>
              </w:rPr>
              <w:t>0</w:t>
            </w:r>
            <w:r w:rsidR="00805F1B" w:rsidRPr="008B4F87">
              <w:rPr>
                <w:b/>
                <w:bCs/>
                <w:sz w:val="24"/>
                <w:szCs w:val="24"/>
              </w:rPr>
              <w:t>2</w:t>
            </w:r>
            <w:r w:rsidR="00C11A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A11" w14:textId="77777777" w:rsidR="004010F0" w:rsidRPr="008B4F87" w:rsidRDefault="004010F0" w:rsidP="004010F0">
            <w:pPr>
              <w:pStyle w:val="ReportTitle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B4F87">
              <w:rPr>
                <w:b w:val="0"/>
                <w:bCs w:val="0"/>
                <w:sz w:val="24"/>
                <w:szCs w:val="24"/>
              </w:rPr>
              <w:t>EXECUTIVE FORWARD PLAN REFERENCE:</w:t>
            </w:r>
          </w:p>
          <w:p w14:paraId="021BE9EF" w14:textId="77777777" w:rsidR="004010F0" w:rsidRPr="008B4F87" w:rsidRDefault="004010F0" w:rsidP="002061E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10F0" w:rsidRPr="008B4F87" w14:paraId="3BA8A01D" w14:textId="77777777" w:rsidTr="00216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892" w14:textId="77777777" w:rsidR="004010F0" w:rsidRPr="008B4F87" w:rsidRDefault="004010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D648D" w14:textId="77777777" w:rsidR="004010F0" w:rsidRPr="008B4F87" w:rsidRDefault="004010F0">
            <w:pPr>
              <w:pStyle w:val="Meeting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758E1" w14:textId="7C533479" w:rsidR="004010F0" w:rsidRPr="008B4F87" w:rsidRDefault="0021650D" w:rsidP="0021650D">
            <w:pPr>
              <w:spacing w:before="120" w:after="120"/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>E</w:t>
            </w:r>
            <w:r w:rsidR="00C73C79" w:rsidRPr="00C73C79">
              <w:rPr>
                <w:sz w:val="24"/>
                <w:szCs w:val="24"/>
              </w:rPr>
              <w:t xml:space="preserve"> 3327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98A" w14:textId="77777777" w:rsidR="004010F0" w:rsidRPr="008B4F87" w:rsidRDefault="004010F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10F0" w:rsidRPr="008B4F87" w14:paraId="3775150B" w14:textId="77777777" w:rsidTr="00755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35179" w14:textId="77777777" w:rsidR="004010F0" w:rsidRPr="008B4F87" w:rsidRDefault="004010F0">
            <w:pPr>
              <w:pStyle w:val="titleandward"/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>TITLE: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4ABA1" w14:textId="77777777" w:rsidR="00C73C79" w:rsidRDefault="00C73C79" w:rsidP="00C73C79">
            <w:pPr>
              <w:pStyle w:val="ReportTitle"/>
              <w:rPr>
                <w:sz w:val="24"/>
                <w:szCs w:val="24"/>
              </w:rPr>
            </w:pPr>
          </w:p>
          <w:p w14:paraId="2D3739DF" w14:textId="67B3AC44" w:rsidR="00C73C79" w:rsidRPr="00C73C79" w:rsidRDefault="00945ECE" w:rsidP="00C73C79">
            <w:pPr>
              <w:pStyle w:val="Repor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Advisory Panel for </w:t>
            </w:r>
            <w:r w:rsidR="00F00D22" w:rsidRPr="008B4F87">
              <w:rPr>
                <w:sz w:val="24"/>
                <w:szCs w:val="24"/>
              </w:rPr>
              <w:t>Neighbourhood CIL for Bath</w:t>
            </w:r>
          </w:p>
          <w:p w14:paraId="5A24238F" w14:textId="1F10EF29" w:rsidR="004010F0" w:rsidRPr="008B4F87" w:rsidRDefault="004010F0" w:rsidP="00C73C79">
            <w:pPr>
              <w:pStyle w:val="Report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44FDB" w:rsidRPr="008B4F87" w14:paraId="1E8B11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516A6" w14:textId="77777777" w:rsidR="00F44FDB" w:rsidRPr="008B4F87" w:rsidRDefault="00F44FDB">
            <w:pPr>
              <w:pStyle w:val="titleandward"/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>WARD: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29501" w14:textId="77777777" w:rsidR="00F44FDB" w:rsidRPr="008B4F87" w:rsidRDefault="00B6365D" w:rsidP="002061E8">
            <w:pPr>
              <w:pStyle w:val="titleandward"/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>All</w:t>
            </w:r>
            <w:r w:rsidR="00F448A8" w:rsidRPr="008B4F87">
              <w:rPr>
                <w:sz w:val="24"/>
                <w:szCs w:val="24"/>
              </w:rPr>
              <w:t xml:space="preserve"> </w:t>
            </w:r>
          </w:p>
        </w:tc>
      </w:tr>
      <w:tr w:rsidR="00F44FDB" w:rsidRPr="008B4F87" w14:paraId="15B7CD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434" w14:textId="77777777" w:rsidR="00C1510E" w:rsidRPr="008B4F87" w:rsidRDefault="00B6365D" w:rsidP="002061E8">
            <w:pPr>
              <w:pStyle w:val="Heading1"/>
              <w:rPr>
                <w:i/>
                <w:iCs/>
                <w:color w:val="FF0000"/>
              </w:rPr>
            </w:pPr>
            <w:r w:rsidRPr="008B4F87">
              <w:t>AN OPEN PUBLIC ITEM</w:t>
            </w:r>
          </w:p>
        </w:tc>
      </w:tr>
      <w:tr w:rsidR="00F44FDB" w:rsidRPr="008B4F87" w14:paraId="43E19B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7D9" w14:textId="77777777" w:rsidR="002061E8" w:rsidRPr="008B4F87" w:rsidRDefault="00F44FDB">
            <w:pPr>
              <w:spacing w:before="120" w:after="120"/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>List of attachments to this report:</w:t>
            </w:r>
          </w:p>
          <w:p w14:paraId="51FBCC83" w14:textId="1CB23B1B" w:rsidR="00E862E0" w:rsidRPr="00E862E0" w:rsidRDefault="008128B2" w:rsidP="00F8544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Terms of reference for the </w:t>
            </w:r>
            <w:r w:rsidRPr="008128B2">
              <w:rPr>
                <w:color w:val="000000"/>
                <w:sz w:val="24"/>
                <w:szCs w:val="24"/>
              </w:rPr>
              <w:t>Advisory Panel for Neighbourhood CIL for Bath</w:t>
            </w:r>
          </w:p>
        </w:tc>
      </w:tr>
    </w:tbl>
    <w:p w14:paraId="4121E122" w14:textId="77777777" w:rsidR="00F44FDB" w:rsidRPr="008B4F87" w:rsidRDefault="00F44FDB">
      <w:pPr>
        <w:jc w:val="both"/>
        <w:rPr>
          <w:sz w:val="24"/>
          <w:szCs w:val="24"/>
        </w:rPr>
      </w:pPr>
    </w:p>
    <w:p w14:paraId="4BC6A5E6" w14:textId="77777777" w:rsidR="002D0CFA" w:rsidRPr="008B4F87" w:rsidRDefault="002D0CFA" w:rsidP="009012AF">
      <w:pPr>
        <w:jc w:val="both"/>
        <w:rPr>
          <w:sz w:val="24"/>
          <w:szCs w:val="24"/>
        </w:rPr>
      </w:pPr>
    </w:p>
    <w:p w14:paraId="1ED74C83" w14:textId="77777777" w:rsidR="00F44FDB" w:rsidRPr="008B4F87" w:rsidRDefault="00F44FDB" w:rsidP="00485A4F">
      <w:pPr>
        <w:pStyle w:val="ReportHeading"/>
        <w:jc w:val="both"/>
        <w:rPr>
          <w:sz w:val="24"/>
          <w:szCs w:val="24"/>
        </w:rPr>
      </w:pPr>
      <w:r w:rsidRPr="008B4F87">
        <w:rPr>
          <w:sz w:val="24"/>
          <w:szCs w:val="24"/>
        </w:rPr>
        <w:t>THE ISSUE</w:t>
      </w:r>
    </w:p>
    <w:p w14:paraId="369261E0" w14:textId="5E59E1D0" w:rsidR="001922DD" w:rsidRDefault="00485A4F" w:rsidP="00456ED4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t xml:space="preserve">This report </w:t>
      </w:r>
      <w:r w:rsidR="00D25FC4" w:rsidRPr="008B4F87">
        <w:rPr>
          <w:sz w:val="24"/>
          <w:szCs w:val="24"/>
        </w:rPr>
        <w:t>sets out</w:t>
      </w:r>
      <w:r w:rsidRPr="008B4F87">
        <w:rPr>
          <w:color w:val="000000"/>
          <w:sz w:val="24"/>
          <w:szCs w:val="24"/>
        </w:rPr>
        <w:t xml:space="preserve"> </w:t>
      </w:r>
      <w:r w:rsidR="00C75EE8" w:rsidRPr="008B4F87">
        <w:rPr>
          <w:color w:val="000000"/>
          <w:sz w:val="24"/>
          <w:szCs w:val="24"/>
        </w:rPr>
        <w:t>the</w:t>
      </w:r>
      <w:r w:rsidR="00C75EE8" w:rsidRPr="008B4F87">
        <w:rPr>
          <w:color w:val="FF0000"/>
          <w:sz w:val="24"/>
          <w:szCs w:val="24"/>
        </w:rPr>
        <w:t xml:space="preserve"> </w:t>
      </w:r>
      <w:r w:rsidRPr="008B4F87">
        <w:rPr>
          <w:sz w:val="24"/>
          <w:szCs w:val="24"/>
        </w:rPr>
        <w:t>recommendations</w:t>
      </w:r>
      <w:r w:rsidR="005C5039">
        <w:rPr>
          <w:sz w:val="24"/>
          <w:szCs w:val="24"/>
        </w:rPr>
        <w:t xml:space="preserve"> for the changes to</w:t>
      </w:r>
      <w:r w:rsidRPr="008B4F87">
        <w:rPr>
          <w:sz w:val="24"/>
          <w:szCs w:val="24"/>
        </w:rPr>
        <w:t xml:space="preserve"> </w:t>
      </w:r>
      <w:r w:rsidR="00F00D22" w:rsidRPr="008B4F87">
        <w:rPr>
          <w:sz w:val="24"/>
          <w:szCs w:val="24"/>
        </w:rPr>
        <w:t>the</w:t>
      </w:r>
      <w:r w:rsidR="00F00D22" w:rsidRPr="00C11A83">
        <w:rPr>
          <w:sz w:val="24"/>
          <w:szCs w:val="24"/>
        </w:rPr>
        <w:t xml:space="preserve"> </w:t>
      </w:r>
      <w:r w:rsidR="005A7A64" w:rsidRPr="005A7A64">
        <w:rPr>
          <w:sz w:val="24"/>
          <w:szCs w:val="24"/>
        </w:rPr>
        <w:t xml:space="preserve">Advisory Panel for Neighbourhood CIL for Bath </w:t>
      </w:r>
      <w:r w:rsidRPr="008B4F87">
        <w:rPr>
          <w:sz w:val="24"/>
          <w:szCs w:val="24"/>
        </w:rPr>
        <w:t>Community Infrastructure Levy.</w:t>
      </w:r>
    </w:p>
    <w:p w14:paraId="3938D4D6" w14:textId="77777777" w:rsidR="00456ED4" w:rsidRPr="00456ED4" w:rsidRDefault="00456ED4" w:rsidP="00456ED4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2259166B" w14:textId="77777777" w:rsidR="00F44FDB" w:rsidRPr="008B4F87" w:rsidRDefault="00F44FDB" w:rsidP="009012AF">
      <w:pPr>
        <w:pStyle w:val="ReportHeading"/>
        <w:jc w:val="both"/>
        <w:rPr>
          <w:sz w:val="24"/>
          <w:szCs w:val="24"/>
        </w:rPr>
      </w:pPr>
      <w:r w:rsidRPr="008B4F87">
        <w:rPr>
          <w:sz w:val="24"/>
          <w:szCs w:val="24"/>
        </w:rPr>
        <w:t>RECOMMENDATION</w:t>
      </w:r>
    </w:p>
    <w:p w14:paraId="4EBDBAF2" w14:textId="044F865D" w:rsidR="00057684" w:rsidRPr="008B4F87" w:rsidRDefault="00057684" w:rsidP="00057684">
      <w:pPr>
        <w:pStyle w:val="Para-1stLevel"/>
        <w:numPr>
          <w:ilvl w:val="0"/>
          <w:numId w:val="0"/>
        </w:numPr>
        <w:ind w:left="858" w:hanging="432"/>
        <w:jc w:val="both"/>
        <w:rPr>
          <w:sz w:val="24"/>
          <w:szCs w:val="24"/>
        </w:rPr>
      </w:pPr>
      <w:r w:rsidRPr="008B4F87">
        <w:rPr>
          <w:sz w:val="24"/>
          <w:szCs w:val="24"/>
        </w:rPr>
        <w:t>The Council Leader</w:t>
      </w:r>
      <w:r w:rsidRPr="008B4F87">
        <w:rPr>
          <w:bCs/>
          <w:iCs/>
          <w:sz w:val="24"/>
          <w:szCs w:val="24"/>
        </w:rPr>
        <w:t xml:space="preserve"> </w:t>
      </w:r>
      <w:r w:rsidRPr="008B4F87">
        <w:rPr>
          <w:sz w:val="24"/>
          <w:szCs w:val="24"/>
        </w:rPr>
        <w:t xml:space="preserve">is asked to </w:t>
      </w:r>
      <w:r w:rsidR="008C588C" w:rsidRPr="008B4F87">
        <w:rPr>
          <w:sz w:val="24"/>
          <w:szCs w:val="24"/>
        </w:rPr>
        <w:t>agree</w:t>
      </w:r>
      <w:r w:rsidR="008C588C">
        <w:rPr>
          <w:sz w:val="24"/>
          <w:szCs w:val="24"/>
        </w:rPr>
        <w:t>:</w:t>
      </w:r>
      <w:r w:rsidR="001B7B27" w:rsidRPr="008B4F87">
        <w:rPr>
          <w:sz w:val="24"/>
          <w:szCs w:val="24"/>
        </w:rPr>
        <w:t xml:space="preserve"> -</w:t>
      </w:r>
    </w:p>
    <w:p w14:paraId="461E306B" w14:textId="2657FCFB" w:rsidR="008128B2" w:rsidRDefault="00D745D9" w:rsidP="00057684">
      <w:pPr>
        <w:pStyle w:val="Para-1stLevel"/>
        <w:rPr>
          <w:sz w:val="24"/>
          <w:szCs w:val="24"/>
        </w:rPr>
      </w:pPr>
      <w:bookmarkStart w:id="0" w:name="_Hlk70675416"/>
      <w:r>
        <w:rPr>
          <w:sz w:val="24"/>
          <w:szCs w:val="24"/>
        </w:rPr>
        <w:t>The C</w:t>
      </w:r>
      <w:r w:rsidR="00CD5375">
        <w:rPr>
          <w:sz w:val="24"/>
          <w:szCs w:val="24"/>
        </w:rPr>
        <w:t xml:space="preserve">hange </w:t>
      </w:r>
      <w:r>
        <w:rPr>
          <w:sz w:val="24"/>
          <w:szCs w:val="24"/>
        </w:rPr>
        <w:t xml:space="preserve">to </w:t>
      </w:r>
      <w:r w:rsidR="00CD5375">
        <w:rPr>
          <w:sz w:val="24"/>
          <w:szCs w:val="24"/>
        </w:rPr>
        <w:t>the process</w:t>
      </w:r>
      <w:r>
        <w:rPr>
          <w:sz w:val="24"/>
          <w:szCs w:val="24"/>
        </w:rPr>
        <w:t xml:space="preserve"> for the agreement of recommendations for Neighbourhood</w:t>
      </w:r>
      <w:r w:rsidRPr="00D745D9">
        <w:rPr>
          <w:sz w:val="24"/>
          <w:szCs w:val="24"/>
        </w:rPr>
        <w:t xml:space="preserve"> CIL for Bath Community Infrastructure Levy.</w:t>
      </w:r>
    </w:p>
    <w:p w14:paraId="709A9DC9" w14:textId="250CB949" w:rsidR="00E850EE" w:rsidRDefault="00D745D9" w:rsidP="00057684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>The Change to the</w:t>
      </w:r>
      <w:r w:rsidR="0049148D">
        <w:rPr>
          <w:sz w:val="24"/>
          <w:szCs w:val="24"/>
        </w:rPr>
        <w:t xml:space="preserve"> membership make-up for the </w:t>
      </w:r>
      <w:r w:rsidRPr="00D745D9">
        <w:rPr>
          <w:sz w:val="24"/>
          <w:szCs w:val="24"/>
        </w:rPr>
        <w:t>Advisory Panel for Neighbourhood CIL for Bath.</w:t>
      </w:r>
    </w:p>
    <w:bookmarkEnd w:id="0"/>
    <w:p w14:paraId="7BF94096" w14:textId="5360FE75" w:rsidR="00CB4A1B" w:rsidRDefault="0049148D" w:rsidP="005C5039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 xml:space="preserve">Agreement </w:t>
      </w:r>
      <w:r w:rsidR="00361041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</w:t>
      </w:r>
      <w:r w:rsidRPr="0049148D">
        <w:rPr>
          <w:sz w:val="24"/>
          <w:szCs w:val="24"/>
        </w:rPr>
        <w:t xml:space="preserve">Advisory Panel for </w:t>
      </w:r>
      <w:bookmarkStart w:id="1" w:name="_Hlk88830132"/>
      <w:r w:rsidRPr="0049148D">
        <w:rPr>
          <w:sz w:val="24"/>
          <w:szCs w:val="24"/>
        </w:rPr>
        <w:t>Neighbourhood CIL for Bath</w:t>
      </w:r>
      <w:r w:rsidR="00361041">
        <w:rPr>
          <w:sz w:val="24"/>
          <w:szCs w:val="24"/>
        </w:rPr>
        <w:t xml:space="preserve"> </w:t>
      </w:r>
      <w:bookmarkEnd w:id="1"/>
      <w:r w:rsidR="00361041">
        <w:rPr>
          <w:sz w:val="24"/>
          <w:szCs w:val="24"/>
        </w:rPr>
        <w:t>to agree new Terms of Reference</w:t>
      </w:r>
      <w:r w:rsidRPr="0049148D">
        <w:rPr>
          <w:sz w:val="24"/>
          <w:szCs w:val="24"/>
        </w:rPr>
        <w:t>.</w:t>
      </w:r>
    </w:p>
    <w:p w14:paraId="4B0EA51F" w14:textId="77777777" w:rsidR="00F12414" w:rsidRPr="005C5039" w:rsidRDefault="00F12414" w:rsidP="00F12414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43D9FB4F" w14:textId="77777777" w:rsidR="00F44FDB" w:rsidRPr="008B4F87" w:rsidRDefault="00BE47EB" w:rsidP="009012AF">
      <w:pPr>
        <w:pStyle w:val="ReportHeading"/>
        <w:jc w:val="both"/>
        <w:rPr>
          <w:sz w:val="24"/>
          <w:szCs w:val="24"/>
        </w:rPr>
      </w:pPr>
      <w:r w:rsidRPr="008B4F87">
        <w:rPr>
          <w:sz w:val="24"/>
          <w:szCs w:val="24"/>
        </w:rPr>
        <w:t>RESOURCE</w:t>
      </w:r>
      <w:r w:rsidR="00F44FDB" w:rsidRPr="008B4F87">
        <w:rPr>
          <w:sz w:val="24"/>
          <w:szCs w:val="24"/>
        </w:rPr>
        <w:t xml:space="preserve"> IMPLICATIONS</w:t>
      </w:r>
      <w:r w:rsidR="003B6105" w:rsidRPr="008B4F87">
        <w:rPr>
          <w:sz w:val="24"/>
          <w:szCs w:val="24"/>
        </w:rPr>
        <w:t xml:space="preserve"> (FINANCE, PROPERTY, PEOPLE)</w:t>
      </w:r>
    </w:p>
    <w:p w14:paraId="0279654F" w14:textId="4F57B152" w:rsidR="00FE43CA" w:rsidRDefault="00FE43CA" w:rsidP="008E7C3B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t>There are no other financial implications for the Council.</w:t>
      </w:r>
    </w:p>
    <w:p w14:paraId="723A7220" w14:textId="77777777" w:rsidR="009C32E2" w:rsidRDefault="009C32E2" w:rsidP="009C32E2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3ABB076D" w14:textId="334BCA20" w:rsidR="00DA09EA" w:rsidRPr="00DA09EA" w:rsidRDefault="008E7C3B" w:rsidP="00DA09EA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lastRenderedPageBreak/>
        <w:t xml:space="preserve">An agreed process has been set up for financial payments for </w:t>
      </w:r>
      <w:bookmarkStart w:id="2" w:name="_Hlk89947817"/>
      <w:r w:rsidR="00F12414" w:rsidRPr="00F12414">
        <w:rPr>
          <w:sz w:val="24"/>
          <w:szCs w:val="24"/>
        </w:rPr>
        <w:t>Neighbourhood CIL for Bath</w:t>
      </w:r>
      <w:bookmarkEnd w:id="2"/>
      <w:r w:rsidR="00F12414" w:rsidRPr="00F12414">
        <w:rPr>
          <w:sz w:val="24"/>
          <w:szCs w:val="24"/>
        </w:rPr>
        <w:t xml:space="preserve"> </w:t>
      </w:r>
      <w:r w:rsidRPr="008B4F87">
        <w:rPr>
          <w:sz w:val="24"/>
          <w:szCs w:val="24"/>
        </w:rPr>
        <w:t>external capital projects.</w:t>
      </w:r>
    </w:p>
    <w:p w14:paraId="6BA52CF8" w14:textId="08030B78" w:rsidR="00DA09EA" w:rsidRPr="00BB39AB" w:rsidRDefault="00DA09EA" w:rsidP="00BB39AB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>S</w:t>
      </w:r>
      <w:r w:rsidRPr="00DA09EA">
        <w:rPr>
          <w:sz w:val="24"/>
          <w:szCs w:val="24"/>
        </w:rPr>
        <w:t>ince it</w:t>
      </w:r>
      <w:r>
        <w:rPr>
          <w:sz w:val="24"/>
          <w:szCs w:val="24"/>
        </w:rPr>
        <w:t>s</w:t>
      </w:r>
      <w:r w:rsidRPr="00DA09EA">
        <w:rPr>
          <w:sz w:val="24"/>
          <w:szCs w:val="24"/>
        </w:rPr>
        <w:t xml:space="preserve"> introd</w:t>
      </w:r>
      <w:r>
        <w:rPr>
          <w:sz w:val="24"/>
          <w:szCs w:val="24"/>
        </w:rPr>
        <w:t>uction</w:t>
      </w:r>
      <w:r w:rsidRPr="00DA09EA">
        <w:rPr>
          <w:sz w:val="24"/>
          <w:szCs w:val="24"/>
        </w:rPr>
        <w:t xml:space="preserve"> in 2015/2016</w:t>
      </w:r>
      <w:r>
        <w:rPr>
          <w:sz w:val="24"/>
          <w:szCs w:val="24"/>
        </w:rPr>
        <w:t xml:space="preserve"> </w:t>
      </w:r>
      <w:r w:rsidRPr="00DA09EA">
        <w:rPr>
          <w:sz w:val="24"/>
          <w:szCs w:val="24"/>
        </w:rPr>
        <w:t>Neighbourhood CIL for Bath</w:t>
      </w:r>
      <w:r>
        <w:rPr>
          <w:sz w:val="24"/>
          <w:szCs w:val="24"/>
        </w:rPr>
        <w:t xml:space="preserve"> has allocated £1,227,618.45 to thirty-nine different</w:t>
      </w:r>
      <w:r w:rsidRPr="00DA09EA">
        <w:rPr>
          <w:sz w:val="24"/>
          <w:szCs w:val="24"/>
        </w:rPr>
        <w:t xml:space="preserve"> projects</w:t>
      </w:r>
      <w:r>
        <w:rPr>
          <w:sz w:val="24"/>
          <w:szCs w:val="24"/>
        </w:rPr>
        <w:t>.</w:t>
      </w:r>
    </w:p>
    <w:p w14:paraId="424D7AF1" w14:textId="33E43AB1" w:rsidR="00BB39AB" w:rsidRDefault="00BB39AB" w:rsidP="00307B68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 xml:space="preserve">Set out below are </w:t>
      </w:r>
      <w:r w:rsidR="00DA09EA">
        <w:rPr>
          <w:sz w:val="24"/>
          <w:szCs w:val="24"/>
        </w:rPr>
        <w:t xml:space="preserve">funding bandings that each of the agreed </w:t>
      </w:r>
      <w:r w:rsidRPr="00BB39AB">
        <w:rPr>
          <w:sz w:val="24"/>
          <w:szCs w:val="24"/>
        </w:rPr>
        <w:t>Neighbourhood CIL for Bath</w:t>
      </w:r>
      <w:r>
        <w:rPr>
          <w:sz w:val="24"/>
          <w:szCs w:val="24"/>
        </w:rPr>
        <w:t xml:space="preserve"> projects </w:t>
      </w:r>
      <w:r w:rsidR="00DA09EA">
        <w:rPr>
          <w:sz w:val="24"/>
          <w:szCs w:val="24"/>
        </w:rPr>
        <w:t xml:space="preserve">fall into. 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858" w:type="dxa"/>
        <w:tblLook w:val="04A0" w:firstRow="1" w:lastRow="0" w:firstColumn="1" w:lastColumn="0" w:noHBand="0" w:noVBand="1"/>
      </w:tblPr>
      <w:tblGrid>
        <w:gridCol w:w="3058"/>
        <w:gridCol w:w="2969"/>
      </w:tblGrid>
      <w:tr w:rsidR="00DA09EA" w14:paraId="6B23C7EB" w14:textId="77777777" w:rsidTr="00BB39AB">
        <w:tc>
          <w:tcPr>
            <w:tcW w:w="3058" w:type="dxa"/>
          </w:tcPr>
          <w:p w14:paraId="3FC6BD80" w14:textId="7032466F" w:rsidR="00DA09EA" w:rsidRDefault="00DA09EA" w:rsidP="00BB39AB">
            <w:pPr>
              <w:pStyle w:val="Para-1stLeve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£0-£10K</w:t>
            </w:r>
          </w:p>
        </w:tc>
        <w:tc>
          <w:tcPr>
            <w:tcW w:w="2969" w:type="dxa"/>
          </w:tcPr>
          <w:p w14:paraId="4660BAA2" w14:textId="779C89F1" w:rsidR="00DA09EA" w:rsidRDefault="00DA09EA" w:rsidP="00DA09EA">
            <w:pPr>
              <w:pStyle w:val="Para-1stLevel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09EA" w14:paraId="7083C30F" w14:textId="77777777" w:rsidTr="00BB39AB">
        <w:tc>
          <w:tcPr>
            <w:tcW w:w="3058" w:type="dxa"/>
          </w:tcPr>
          <w:p w14:paraId="56B97FE0" w14:textId="6E932655" w:rsidR="00DA09EA" w:rsidRDefault="00DA09EA" w:rsidP="00BB39AB">
            <w:pPr>
              <w:pStyle w:val="Para-1stLeve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£10K - £25K</w:t>
            </w:r>
          </w:p>
        </w:tc>
        <w:tc>
          <w:tcPr>
            <w:tcW w:w="2969" w:type="dxa"/>
          </w:tcPr>
          <w:p w14:paraId="256B97CF" w14:textId="75455B59" w:rsidR="00DA09EA" w:rsidRDefault="00DA09EA" w:rsidP="00DA09EA">
            <w:pPr>
              <w:pStyle w:val="Para-1stLevel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A09EA" w14:paraId="13E7FE45" w14:textId="77777777" w:rsidTr="00BB39AB">
        <w:tc>
          <w:tcPr>
            <w:tcW w:w="3058" w:type="dxa"/>
          </w:tcPr>
          <w:p w14:paraId="481E5643" w14:textId="3687EF87" w:rsidR="00DA09EA" w:rsidRDefault="00DA09EA" w:rsidP="00BB39AB">
            <w:pPr>
              <w:pStyle w:val="Para-1stLeve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£25K - £50K</w:t>
            </w:r>
          </w:p>
        </w:tc>
        <w:tc>
          <w:tcPr>
            <w:tcW w:w="2969" w:type="dxa"/>
          </w:tcPr>
          <w:p w14:paraId="4EE01657" w14:textId="066549C3" w:rsidR="00DA09EA" w:rsidRDefault="00DA09EA" w:rsidP="00DA09EA">
            <w:pPr>
              <w:pStyle w:val="Para-1stLevel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09EA" w14:paraId="77D3AF62" w14:textId="77777777" w:rsidTr="00BB39AB">
        <w:tc>
          <w:tcPr>
            <w:tcW w:w="3058" w:type="dxa"/>
          </w:tcPr>
          <w:p w14:paraId="09DF14A2" w14:textId="01F392A8" w:rsidR="00DA09EA" w:rsidRDefault="00DA09EA" w:rsidP="00BB39AB">
            <w:pPr>
              <w:pStyle w:val="Para-1stLeve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£50K - £100K</w:t>
            </w:r>
          </w:p>
        </w:tc>
        <w:tc>
          <w:tcPr>
            <w:tcW w:w="2969" w:type="dxa"/>
          </w:tcPr>
          <w:p w14:paraId="4E2739D5" w14:textId="17FCE616" w:rsidR="00DA09EA" w:rsidRDefault="00DA09EA" w:rsidP="00DA09EA">
            <w:pPr>
              <w:pStyle w:val="Para-1stLevel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EA" w14:paraId="29135555" w14:textId="77777777" w:rsidTr="00BB39AB">
        <w:tc>
          <w:tcPr>
            <w:tcW w:w="3058" w:type="dxa"/>
          </w:tcPr>
          <w:p w14:paraId="0EFC4714" w14:textId="294222F4" w:rsidR="00DA09EA" w:rsidRDefault="00DA09EA" w:rsidP="00BB39AB">
            <w:pPr>
              <w:pStyle w:val="Para-1stLeve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£100K – £200K</w:t>
            </w:r>
          </w:p>
        </w:tc>
        <w:tc>
          <w:tcPr>
            <w:tcW w:w="2969" w:type="dxa"/>
          </w:tcPr>
          <w:p w14:paraId="7F3F8322" w14:textId="5C139DE0" w:rsidR="00DA09EA" w:rsidRDefault="00DA09EA" w:rsidP="00DA09EA">
            <w:pPr>
              <w:pStyle w:val="Para-1stLevel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6A4049FE" w14:textId="77777777" w:rsidR="00BB39AB" w:rsidRDefault="00BB39AB" w:rsidP="00BB39AB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03F917EA" w14:textId="77777777" w:rsidR="00083403" w:rsidRPr="008B4F87" w:rsidRDefault="00083403" w:rsidP="009012AF">
      <w:pPr>
        <w:pStyle w:val="ReportHeading"/>
        <w:jc w:val="both"/>
        <w:rPr>
          <w:sz w:val="24"/>
          <w:szCs w:val="24"/>
        </w:rPr>
      </w:pPr>
      <w:r w:rsidRPr="008B4F87">
        <w:rPr>
          <w:sz w:val="24"/>
          <w:szCs w:val="24"/>
        </w:rPr>
        <w:t xml:space="preserve">statutory </w:t>
      </w:r>
      <w:r w:rsidR="003B6105" w:rsidRPr="008B4F87">
        <w:rPr>
          <w:sz w:val="24"/>
          <w:szCs w:val="24"/>
        </w:rPr>
        <w:t>CONSIDERATIONS</w:t>
      </w:r>
      <w:r w:rsidR="00421732" w:rsidRPr="008B4F87">
        <w:rPr>
          <w:sz w:val="24"/>
          <w:szCs w:val="24"/>
        </w:rPr>
        <w:t xml:space="preserve"> and basis for proposal</w:t>
      </w:r>
    </w:p>
    <w:p w14:paraId="06171331" w14:textId="77777777" w:rsidR="001B4C49" w:rsidRPr="008B4F87" w:rsidRDefault="001B4C49" w:rsidP="001B4C49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t>Regulation 59</w:t>
      </w:r>
      <w:r w:rsidR="00750B90" w:rsidRPr="008B4F87">
        <w:rPr>
          <w:sz w:val="24"/>
          <w:szCs w:val="24"/>
        </w:rPr>
        <w:t>F</w:t>
      </w:r>
      <w:r w:rsidRPr="008B4F87">
        <w:rPr>
          <w:sz w:val="24"/>
          <w:szCs w:val="24"/>
        </w:rPr>
        <w:t xml:space="preserve"> of the 2010 </w:t>
      </w:r>
      <w:r w:rsidR="00E536DF" w:rsidRPr="008B4F87">
        <w:rPr>
          <w:sz w:val="24"/>
          <w:szCs w:val="24"/>
        </w:rPr>
        <w:t xml:space="preserve">CIL </w:t>
      </w:r>
      <w:r w:rsidRPr="008B4F87">
        <w:rPr>
          <w:sz w:val="24"/>
          <w:szCs w:val="24"/>
        </w:rPr>
        <w:t xml:space="preserve">Regulations provides that </w:t>
      </w:r>
      <w:r w:rsidR="003342ED" w:rsidRPr="008B4F87">
        <w:rPr>
          <w:sz w:val="24"/>
          <w:szCs w:val="24"/>
        </w:rPr>
        <w:t xml:space="preserve">charging authorities </w:t>
      </w:r>
      <w:r w:rsidRPr="008B4F87">
        <w:rPr>
          <w:sz w:val="24"/>
          <w:szCs w:val="24"/>
        </w:rPr>
        <w:t>who spend the neighbourhood portion of CIL can spend these funds</w:t>
      </w:r>
      <w:r w:rsidR="00750B90" w:rsidRPr="008B4F87">
        <w:rPr>
          <w:sz w:val="24"/>
          <w:szCs w:val="24"/>
        </w:rPr>
        <w:t>:</w:t>
      </w:r>
    </w:p>
    <w:p w14:paraId="3E47E2F2" w14:textId="77777777" w:rsidR="00750B90" w:rsidRPr="008B4F87" w:rsidRDefault="00750B90" w:rsidP="00057684">
      <w:pPr>
        <w:pStyle w:val="Para-2ndlevel"/>
        <w:numPr>
          <w:ilvl w:val="0"/>
          <w:numId w:val="0"/>
        </w:numPr>
        <w:ind w:left="1134"/>
        <w:rPr>
          <w:sz w:val="24"/>
          <w:szCs w:val="24"/>
        </w:rPr>
      </w:pPr>
      <w:r w:rsidRPr="008B4F87">
        <w:rPr>
          <w:sz w:val="24"/>
          <w:szCs w:val="24"/>
        </w:rPr>
        <w:t>“to support the development of the relevant area by funding—</w:t>
      </w:r>
    </w:p>
    <w:p w14:paraId="66DA2DED" w14:textId="77777777" w:rsidR="00750B90" w:rsidRPr="008B4F87" w:rsidRDefault="00750B90" w:rsidP="00057684">
      <w:pPr>
        <w:pStyle w:val="Para-2ndlevel"/>
        <w:numPr>
          <w:ilvl w:val="0"/>
          <w:numId w:val="0"/>
        </w:numPr>
        <w:ind w:left="1134" w:hanging="414"/>
        <w:rPr>
          <w:sz w:val="24"/>
          <w:szCs w:val="24"/>
        </w:rPr>
      </w:pPr>
      <w:r w:rsidRPr="008B4F87">
        <w:rPr>
          <w:sz w:val="24"/>
          <w:szCs w:val="24"/>
        </w:rPr>
        <w:t>(a)  the provision, improvement, replacement, operation or maintenance of infrastructure; or</w:t>
      </w:r>
    </w:p>
    <w:p w14:paraId="5B20CDB7" w14:textId="77777777" w:rsidR="00750B90" w:rsidRPr="008B4F87" w:rsidRDefault="00750B90" w:rsidP="00057684">
      <w:pPr>
        <w:pStyle w:val="Para-2ndlevel"/>
        <w:numPr>
          <w:ilvl w:val="0"/>
          <w:numId w:val="0"/>
        </w:numPr>
        <w:ind w:left="1134" w:hanging="414"/>
        <w:rPr>
          <w:sz w:val="24"/>
          <w:szCs w:val="24"/>
        </w:rPr>
      </w:pPr>
      <w:r w:rsidRPr="008B4F87">
        <w:rPr>
          <w:sz w:val="24"/>
          <w:szCs w:val="24"/>
        </w:rPr>
        <w:t>(b)  anything else that is concerned with addressing the demands that development places on an area.</w:t>
      </w:r>
    </w:p>
    <w:p w14:paraId="1480BF8C" w14:textId="4F11854D" w:rsidR="00750B90" w:rsidRPr="008B4F87" w:rsidRDefault="00750B90" w:rsidP="00057684">
      <w:pPr>
        <w:pStyle w:val="Para-2ndlevel"/>
        <w:numPr>
          <w:ilvl w:val="0"/>
          <w:numId w:val="0"/>
        </w:numPr>
        <w:ind w:left="1134" w:hanging="420"/>
        <w:rPr>
          <w:sz w:val="24"/>
          <w:szCs w:val="24"/>
        </w:rPr>
      </w:pPr>
      <w:r w:rsidRPr="008B4F87">
        <w:rPr>
          <w:sz w:val="24"/>
          <w:szCs w:val="24"/>
        </w:rPr>
        <w:t xml:space="preserve">“relevant </w:t>
      </w:r>
      <w:r w:rsidR="001B7B27" w:rsidRPr="008B4F87">
        <w:rPr>
          <w:sz w:val="24"/>
          <w:szCs w:val="24"/>
        </w:rPr>
        <w:t>area” means</w:t>
      </w:r>
      <w:r w:rsidRPr="008B4F87">
        <w:rPr>
          <w:sz w:val="24"/>
          <w:szCs w:val="24"/>
        </w:rPr>
        <w:t xml:space="preserve"> that part of the charging authority’s area that is not with the</w:t>
      </w:r>
      <w:r w:rsidR="00F12414">
        <w:rPr>
          <w:sz w:val="24"/>
          <w:szCs w:val="24"/>
        </w:rPr>
        <w:t xml:space="preserve"> </w:t>
      </w:r>
      <w:r w:rsidR="001B7B27" w:rsidRPr="008B4F87">
        <w:rPr>
          <w:sz w:val="24"/>
          <w:szCs w:val="24"/>
        </w:rPr>
        <w:t>a</w:t>
      </w:r>
      <w:r w:rsidRPr="008B4F87">
        <w:rPr>
          <w:sz w:val="24"/>
          <w:szCs w:val="24"/>
        </w:rPr>
        <w:t>rea of a Parish council.</w:t>
      </w:r>
    </w:p>
    <w:p w14:paraId="2A411E13" w14:textId="2EB121C2" w:rsidR="001B4C49" w:rsidRPr="008B4F87" w:rsidRDefault="00E76B3A" w:rsidP="001B4C49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t>Guidance</w:t>
      </w:r>
      <w:r w:rsidR="002A5AF1" w:rsidRPr="008B4F87">
        <w:rPr>
          <w:sz w:val="24"/>
          <w:szCs w:val="24"/>
        </w:rPr>
        <w:t xml:space="preserve"> </w:t>
      </w:r>
      <w:r w:rsidR="001A1DEF" w:rsidRPr="008B4F87">
        <w:rPr>
          <w:sz w:val="24"/>
          <w:szCs w:val="24"/>
        </w:rPr>
        <w:t>require</w:t>
      </w:r>
      <w:r w:rsidRPr="008B4F87">
        <w:rPr>
          <w:sz w:val="24"/>
          <w:szCs w:val="24"/>
        </w:rPr>
        <w:t>s</w:t>
      </w:r>
      <w:r w:rsidR="002A5AF1" w:rsidRPr="008B4F87">
        <w:rPr>
          <w:sz w:val="24"/>
          <w:szCs w:val="24"/>
        </w:rPr>
        <w:t xml:space="preserve"> that </w:t>
      </w:r>
      <w:r w:rsidR="001A1DEF" w:rsidRPr="008B4F87">
        <w:rPr>
          <w:sz w:val="24"/>
          <w:szCs w:val="24"/>
        </w:rPr>
        <w:t>in</w:t>
      </w:r>
      <w:r w:rsidR="00D25FC4" w:rsidRPr="008B4F87">
        <w:rPr>
          <w:sz w:val="24"/>
          <w:szCs w:val="24"/>
        </w:rPr>
        <w:t xml:space="preserve"> the absence of any parish or t</w:t>
      </w:r>
      <w:r w:rsidR="00F97FC4" w:rsidRPr="008B4F87">
        <w:rPr>
          <w:sz w:val="24"/>
          <w:szCs w:val="24"/>
        </w:rPr>
        <w:t xml:space="preserve">own Council for Bath, </w:t>
      </w:r>
      <w:r w:rsidR="00F97FC4" w:rsidRPr="008B4F87">
        <w:rPr>
          <w:sz w:val="24"/>
          <w:szCs w:val="24"/>
          <w:lang w:val="en"/>
        </w:rPr>
        <w:t xml:space="preserve">Bath and North East Somerset Council </w:t>
      </w:r>
      <w:r w:rsidR="002A5AF1" w:rsidRPr="008B4F87">
        <w:rPr>
          <w:sz w:val="24"/>
          <w:szCs w:val="24"/>
          <w:lang w:val="en"/>
        </w:rPr>
        <w:t xml:space="preserve">hold the </w:t>
      </w:r>
      <w:r w:rsidR="00FE7BB8" w:rsidRPr="008B4F87">
        <w:rPr>
          <w:sz w:val="24"/>
          <w:szCs w:val="24"/>
          <w:lang w:val="en"/>
        </w:rPr>
        <w:t>Neighbourhood</w:t>
      </w:r>
      <w:r w:rsidR="001A1DEF" w:rsidRPr="008B4F87">
        <w:rPr>
          <w:sz w:val="24"/>
          <w:szCs w:val="24"/>
          <w:lang w:val="en"/>
        </w:rPr>
        <w:t xml:space="preserve"> portion of CIL </w:t>
      </w:r>
      <w:r w:rsidR="002A5AF1" w:rsidRPr="008B4F87">
        <w:rPr>
          <w:sz w:val="24"/>
          <w:szCs w:val="24"/>
          <w:lang w:val="en"/>
        </w:rPr>
        <w:t>funding</w:t>
      </w:r>
      <w:r w:rsidR="001A1DEF" w:rsidRPr="008B4F87">
        <w:rPr>
          <w:sz w:val="24"/>
          <w:szCs w:val="24"/>
          <w:lang w:val="en"/>
        </w:rPr>
        <w:t xml:space="preserve"> </w:t>
      </w:r>
      <w:r w:rsidR="001550D1" w:rsidRPr="008B4F87">
        <w:rPr>
          <w:sz w:val="24"/>
          <w:szCs w:val="24"/>
          <w:lang w:val="en"/>
        </w:rPr>
        <w:t xml:space="preserve">for Bath </w:t>
      </w:r>
      <w:r w:rsidR="001A1DEF" w:rsidRPr="008B4F87">
        <w:rPr>
          <w:sz w:val="24"/>
          <w:szCs w:val="24"/>
          <w:lang w:val="en"/>
        </w:rPr>
        <w:t xml:space="preserve">pending allocation. </w:t>
      </w:r>
      <w:r w:rsidR="001550D1" w:rsidRPr="008B4F87">
        <w:rPr>
          <w:sz w:val="24"/>
          <w:szCs w:val="24"/>
          <w:lang w:val="en"/>
        </w:rPr>
        <w:t>In allocating funding, the</w:t>
      </w:r>
      <w:r w:rsidR="001A1DEF" w:rsidRPr="008B4F87">
        <w:rPr>
          <w:sz w:val="24"/>
          <w:szCs w:val="24"/>
          <w:lang w:val="en"/>
        </w:rPr>
        <w:t xml:space="preserve"> Council </w:t>
      </w:r>
      <w:r w:rsidR="00485A4F" w:rsidRPr="008B4F87">
        <w:rPr>
          <w:sz w:val="24"/>
          <w:szCs w:val="24"/>
          <w:lang w:val="en"/>
        </w:rPr>
        <w:t xml:space="preserve">should engage with </w:t>
      </w:r>
      <w:r w:rsidR="00F34A19" w:rsidRPr="008B4F87">
        <w:rPr>
          <w:sz w:val="24"/>
          <w:szCs w:val="24"/>
          <w:lang w:val="en"/>
        </w:rPr>
        <w:t xml:space="preserve">communities where development has taken place and </w:t>
      </w:r>
      <w:r w:rsidR="00AF3D7D" w:rsidRPr="008B4F87">
        <w:rPr>
          <w:sz w:val="24"/>
          <w:szCs w:val="24"/>
          <w:lang w:val="en"/>
        </w:rPr>
        <w:t>seek their views</w:t>
      </w:r>
      <w:r w:rsidR="001B7B27" w:rsidRPr="008B4F87">
        <w:rPr>
          <w:sz w:val="24"/>
          <w:szCs w:val="24"/>
          <w:lang w:val="en"/>
        </w:rPr>
        <w:t xml:space="preserve"> </w:t>
      </w:r>
      <w:r w:rsidR="00AF3D7D" w:rsidRPr="008B4F87">
        <w:rPr>
          <w:sz w:val="24"/>
          <w:szCs w:val="24"/>
          <w:lang w:val="en"/>
        </w:rPr>
        <w:t xml:space="preserve">on </w:t>
      </w:r>
      <w:r w:rsidR="00F34A19" w:rsidRPr="008B4F87">
        <w:rPr>
          <w:sz w:val="24"/>
          <w:szCs w:val="24"/>
          <w:lang w:val="en"/>
        </w:rPr>
        <w:t xml:space="preserve">how best to </w:t>
      </w:r>
      <w:r w:rsidR="001469E7" w:rsidRPr="008B4F87">
        <w:rPr>
          <w:sz w:val="24"/>
          <w:szCs w:val="24"/>
          <w:lang w:val="en"/>
        </w:rPr>
        <w:t xml:space="preserve">allocate </w:t>
      </w:r>
      <w:r w:rsidR="00F34A19" w:rsidRPr="008B4F87">
        <w:rPr>
          <w:sz w:val="24"/>
          <w:szCs w:val="24"/>
          <w:lang w:val="en"/>
        </w:rPr>
        <w:t xml:space="preserve">the </w:t>
      </w:r>
      <w:r w:rsidR="00485A4F" w:rsidRPr="008B4F87">
        <w:rPr>
          <w:sz w:val="24"/>
          <w:szCs w:val="24"/>
        </w:rPr>
        <w:t>funding</w:t>
      </w:r>
      <w:r w:rsidR="00F34A19" w:rsidRPr="008B4F87">
        <w:rPr>
          <w:sz w:val="24"/>
          <w:szCs w:val="24"/>
          <w:lang w:val="en"/>
        </w:rPr>
        <w:t>.</w:t>
      </w:r>
      <w:r w:rsidR="001A1DEF" w:rsidRPr="008B4F87">
        <w:rPr>
          <w:sz w:val="24"/>
          <w:szCs w:val="24"/>
          <w:lang w:val="en"/>
        </w:rPr>
        <w:t xml:space="preserve"> </w:t>
      </w:r>
    </w:p>
    <w:p w14:paraId="1EAA9BD2" w14:textId="2540E411" w:rsidR="008C588C" w:rsidRDefault="001A1DEF" w:rsidP="00C3260F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t>The established</w:t>
      </w:r>
      <w:r w:rsidR="002A5AF1" w:rsidRPr="008B4F87">
        <w:rPr>
          <w:sz w:val="24"/>
          <w:szCs w:val="24"/>
        </w:rPr>
        <w:t xml:space="preserve"> a working group</w:t>
      </w:r>
      <w:r w:rsidRPr="008B4F87">
        <w:rPr>
          <w:sz w:val="24"/>
          <w:szCs w:val="24"/>
        </w:rPr>
        <w:t xml:space="preserve">, </w:t>
      </w:r>
      <w:r w:rsidR="008C588C">
        <w:rPr>
          <w:sz w:val="24"/>
          <w:szCs w:val="24"/>
        </w:rPr>
        <w:t xml:space="preserve">the </w:t>
      </w:r>
      <w:r w:rsidR="008C588C" w:rsidRPr="008B4F87">
        <w:rPr>
          <w:sz w:val="24"/>
          <w:szCs w:val="24"/>
        </w:rPr>
        <w:t>process,</w:t>
      </w:r>
      <w:r w:rsidRPr="008B4F87">
        <w:rPr>
          <w:sz w:val="24"/>
          <w:szCs w:val="24"/>
        </w:rPr>
        <w:t xml:space="preserve"> and </w:t>
      </w:r>
      <w:r w:rsidR="008C588C">
        <w:rPr>
          <w:sz w:val="24"/>
          <w:szCs w:val="24"/>
        </w:rPr>
        <w:t xml:space="preserve">the </w:t>
      </w:r>
      <w:r w:rsidRPr="008B4F87">
        <w:rPr>
          <w:sz w:val="24"/>
          <w:szCs w:val="24"/>
        </w:rPr>
        <w:t xml:space="preserve">criteria to formulate recommendations </w:t>
      </w:r>
      <w:r w:rsidR="008C588C">
        <w:rPr>
          <w:sz w:val="24"/>
          <w:szCs w:val="24"/>
        </w:rPr>
        <w:t xml:space="preserve">that has been used </w:t>
      </w:r>
      <w:r w:rsidRPr="008B4F87">
        <w:rPr>
          <w:sz w:val="24"/>
          <w:szCs w:val="24"/>
        </w:rPr>
        <w:t>for allocation</w:t>
      </w:r>
      <w:r w:rsidR="001B4C49" w:rsidRPr="008B4F87">
        <w:rPr>
          <w:sz w:val="24"/>
          <w:szCs w:val="24"/>
        </w:rPr>
        <w:t xml:space="preserve"> of the neighbourhood portion </w:t>
      </w:r>
      <w:r w:rsidR="008C588C">
        <w:rPr>
          <w:sz w:val="24"/>
          <w:szCs w:val="24"/>
        </w:rPr>
        <w:t xml:space="preserve">of CIL </w:t>
      </w:r>
      <w:r w:rsidR="001B4C49" w:rsidRPr="008B4F87">
        <w:rPr>
          <w:sz w:val="24"/>
          <w:szCs w:val="24"/>
        </w:rPr>
        <w:t>for Bath</w:t>
      </w:r>
      <w:r w:rsidR="002A5AF1" w:rsidRPr="008B4F87">
        <w:rPr>
          <w:sz w:val="24"/>
          <w:szCs w:val="24"/>
        </w:rPr>
        <w:t>,</w:t>
      </w:r>
      <w:r w:rsidR="008C588C">
        <w:rPr>
          <w:sz w:val="24"/>
          <w:szCs w:val="24"/>
        </w:rPr>
        <w:t xml:space="preserve"> has to date made ten successful </w:t>
      </w:r>
      <w:r w:rsidRPr="008B4F87">
        <w:rPr>
          <w:sz w:val="24"/>
          <w:szCs w:val="24"/>
        </w:rPr>
        <w:t>set</w:t>
      </w:r>
      <w:r w:rsidR="008C588C">
        <w:rPr>
          <w:sz w:val="24"/>
          <w:szCs w:val="24"/>
        </w:rPr>
        <w:t>s</w:t>
      </w:r>
      <w:r w:rsidRPr="008B4F87">
        <w:rPr>
          <w:sz w:val="24"/>
          <w:szCs w:val="24"/>
        </w:rPr>
        <w:t xml:space="preserve"> of proposals </w:t>
      </w:r>
      <w:r w:rsidR="008C588C">
        <w:rPr>
          <w:sz w:val="24"/>
          <w:szCs w:val="24"/>
        </w:rPr>
        <w:t>that were all adopted through Single Member Decisions</w:t>
      </w:r>
      <w:r w:rsidRPr="008B4F87">
        <w:rPr>
          <w:sz w:val="24"/>
          <w:szCs w:val="24"/>
        </w:rPr>
        <w:t>.</w:t>
      </w:r>
      <w:r w:rsidR="009C577E" w:rsidRPr="008B4F87">
        <w:rPr>
          <w:sz w:val="24"/>
          <w:szCs w:val="24"/>
        </w:rPr>
        <w:t xml:space="preserve"> </w:t>
      </w:r>
    </w:p>
    <w:p w14:paraId="6957E2CC" w14:textId="2A6FA51C" w:rsidR="0098785A" w:rsidRDefault="00676521" w:rsidP="0098785A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 xml:space="preserve">Agreement was made in November 2017 that </w:t>
      </w:r>
      <w:r w:rsidRPr="00676521">
        <w:rPr>
          <w:sz w:val="24"/>
          <w:szCs w:val="24"/>
          <w:lang w:val="en"/>
        </w:rPr>
        <w:t>the Neighbourhood portion of CIL funding for Bat</w:t>
      </w:r>
      <w:r w:rsidR="0098785A">
        <w:rPr>
          <w:sz w:val="24"/>
          <w:szCs w:val="24"/>
          <w:lang w:val="en"/>
        </w:rPr>
        <w:t>h would be an Executive Function.</w:t>
      </w:r>
      <w:r w:rsidR="005306CF">
        <w:rPr>
          <w:sz w:val="24"/>
          <w:szCs w:val="24"/>
          <w:lang w:val="en"/>
        </w:rPr>
        <w:t xml:space="preserve"> </w:t>
      </w:r>
    </w:p>
    <w:p w14:paraId="4B8A1219" w14:textId="0AE51C7B" w:rsidR="0098785A" w:rsidRDefault="0098785A" w:rsidP="0098785A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12825488" w14:textId="2CF1A193" w:rsidR="0098785A" w:rsidRDefault="0098785A" w:rsidP="0098785A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4CD058C5" w14:textId="77777777" w:rsidR="0098785A" w:rsidRPr="0098785A" w:rsidRDefault="0098785A" w:rsidP="0098785A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018D04C1" w14:textId="75DC475C" w:rsidR="00F44FDB" w:rsidRPr="00451F50" w:rsidRDefault="00BE47EB" w:rsidP="009012AF">
      <w:pPr>
        <w:pStyle w:val="ReportHeading"/>
        <w:jc w:val="both"/>
        <w:rPr>
          <w:sz w:val="24"/>
          <w:szCs w:val="24"/>
        </w:rPr>
      </w:pPr>
      <w:r w:rsidRPr="00451F50">
        <w:rPr>
          <w:sz w:val="24"/>
          <w:szCs w:val="24"/>
        </w:rPr>
        <w:lastRenderedPageBreak/>
        <w:t>THE REPORT</w:t>
      </w:r>
    </w:p>
    <w:p w14:paraId="19FC14A4" w14:textId="0F6D9CD3" w:rsidR="001B4C49" w:rsidRPr="008B4F87" w:rsidRDefault="00485A4F" w:rsidP="008B4F87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t>The “neighbourhood portion” of the Community Infrastructure</w:t>
      </w:r>
      <w:r w:rsidR="00D25FC4" w:rsidRPr="008B4F87">
        <w:rPr>
          <w:sz w:val="24"/>
          <w:szCs w:val="24"/>
        </w:rPr>
        <w:t xml:space="preserve"> L</w:t>
      </w:r>
      <w:r w:rsidRPr="008B4F87">
        <w:rPr>
          <w:sz w:val="24"/>
          <w:szCs w:val="24"/>
        </w:rPr>
        <w:t>evy comprises 15% of the total CIL amount</w:t>
      </w:r>
      <w:r w:rsidR="009471F1" w:rsidRPr="008B4F87">
        <w:rPr>
          <w:color w:val="FF0000"/>
          <w:sz w:val="24"/>
          <w:szCs w:val="24"/>
        </w:rPr>
        <w:t xml:space="preserve"> </w:t>
      </w:r>
      <w:r w:rsidR="009471F1" w:rsidRPr="008B4F87">
        <w:rPr>
          <w:color w:val="000000"/>
          <w:sz w:val="24"/>
          <w:szCs w:val="24"/>
        </w:rPr>
        <w:t>generated from development within the city</w:t>
      </w:r>
      <w:r w:rsidRPr="008B4F87">
        <w:rPr>
          <w:color w:val="000000"/>
          <w:sz w:val="24"/>
          <w:szCs w:val="24"/>
        </w:rPr>
        <w:t>.</w:t>
      </w:r>
      <w:r w:rsidRPr="008B4F87">
        <w:rPr>
          <w:sz w:val="24"/>
          <w:szCs w:val="24"/>
        </w:rPr>
        <w:t xml:space="preserve"> In the absence of a town or parish council, it is for Bath &amp; North East Somerset to hold such </w:t>
      </w:r>
      <w:r w:rsidR="00756E36" w:rsidRPr="008B4F87">
        <w:rPr>
          <w:sz w:val="24"/>
          <w:szCs w:val="24"/>
        </w:rPr>
        <w:t>funding,</w:t>
      </w:r>
      <w:r w:rsidRPr="008B4F87">
        <w:rPr>
          <w:sz w:val="24"/>
          <w:szCs w:val="24"/>
        </w:rPr>
        <w:t xml:space="preserve"> but it must be allocated through </w:t>
      </w:r>
      <w:r w:rsidRPr="008B4F87">
        <w:rPr>
          <w:sz w:val="24"/>
          <w:szCs w:val="24"/>
          <w:lang w:val="en"/>
        </w:rPr>
        <w:t xml:space="preserve">engagement with the communities where development has taken place. </w:t>
      </w:r>
      <w:r w:rsidR="00F12414" w:rsidRPr="00F12414">
        <w:rPr>
          <w:bCs/>
          <w:sz w:val="24"/>
          <w:szCs w:val="24"/>
          <w:lang w:val="en"/>
        </w:rPr>
        <w:t>Funds</w:t>
      </w:r>
      <w:r w:rsidR="00F12414">
        <w:rPr>
          <w:b/>
          <w:sz w:val="24"/>
          <w:szCs w:val="24"/>
          <w:lang w:val="en"/>
        </w:rPr>
        <w:t xml:space="preserve"> </w:t>
      </w:r>
      <w:r w:rsidR="001B4C49" w:rsidRPr="008B4F87">
        <w:rPr>
          <w:sz w:val="24"/>
          <w:szCs w:val="24"/>
          <w:lang w:val="en"/>
        </w:rPr>
        <w:t>must be</w:t>
      </w:r>
      <w:r w:rsidR="0057509D" w:rsidRPr="008B4F87">
        <w:rPr>
          <w:sz w:val="24"/>
          <w:szCs w:val="24"/>
          <w:lang w:val="en"/>
        </w:rPr>
        <w:t xml:space="preserve"> </w:t>
      </w:r>
      <w:r w:rsidR="00756E36" w:rsidRPr="008B4F87">
        <w:rPr>
          <w:sz w:val="24"/>
          <w:szCs w:val="24"/>
          <w:lang w:val="en"/>
        </w:rPr>
        <w:t>used to</w:t>
      </w:r>
      <w:r w:rsidR="003C03D1" w:rsidRPr="008B4F87">
        <w:rPr>
          <w:sz w:val="24"/>
          <w:szCs w:val="24"/>
        </w:rPr>
        <w:t xml:space="preserve"> support the development of the relevant area</w:t>
      </w:r>
      <w:r w:rsidR="00BF5503" w:rsidRPr="008B4F87">
        <w:rPr>
          <w:sz w:val="24"/>
          <w:szCs w:val="24"/>
        </w:rPr>
        <w:t>, namely Bath,</w:t>
      </w:r>
      <w:r w:rsidR="003C03D1" w:rsidRPr="008B4F87">
        <w:rPr>
          <w:sz w:val="24"/>
          <w:szCs w:val="24"/>
        </w:rPr>
        <w:t xml:space="preserve"> by </w:t>
      </w:r>
      <w:r w:rsidR="001B7B27" w:rsidRPr="008B4F87">
        <w:rPr>
          <w:sz w:val="24"/>
          <w:szCs w:val="24"/>
        </w:rPr>
        <w:t>funding the</w:t>
      </w:r>
      <w:r w:rsidR="003C03D1" w:rsidRPr="008B4F87">
        <w:rPr>
          <w:sz w:val="24"/>
          <w:szCs w:val="24"/>
        </w:rPr>
        <w:t xml:space="preserve"> provision, improvement, replacement, </w:t>
      </w:r>
      <w:r w:rsidR="00F12414" w:rsidRPr="008B4F87">
        <w:rPr>
          <w:sz w:val="24"/>
          <w:szCs w:val="24"/>
        </w:rPr>
        <w:t>operation,</w:t>
      </w:r>
      <w:r w:rsidR="003C03D1" w:rsidRPr="008B4F87">
        <w:rPr>
          <w:sz w:val="24"/>
          <w:szCs w:val="24"/>
        </w:rPr>
        <w:t xml:space="preserve"> or maintenance of infrastructure; or anything else that is concerned with addressing the demands that development places on an area.</w:t>
      </w:r>
    </w:p>
    <w:p w14:paraId="03EC511E" w14:textId="3DF82BF8" w:rsidR="00FD370E" w:rsidRDefault="008119AB" w:rsidP="00D25FC4">
      <w:pPr>
        <w:pStyle w:val="Para-1stLevel"/>
        <w:rPr>
          <w:sz w:val="24"/>
          <w:szCs w:val="24"/>
        </w:rPr>
      </w:pPr>
      <w:r w:rsidRPr="008B4F87">
        <w:rPr>
          <w:sz w:val="24"/>
          <w:szCs w:val="24"/>
        </w:rPr>
        <w:t>A</w:t>
      </w:r>
      <w:r>
        <w:rPr>
          <w:sz w:val="24"/>
          <w:szCs w:val="24"/>
        </w:rPr>
        <w:t xml:space="preserve">mendments are required to the </w:t>
      </w:r>
      <w:r w:rsidR="00CE12C9" w:rsidRPr="008B4F87">
        <w:rPr>
          <w:sz w:val="24"/>
          <w:szCs w:val="24"/>
        </w:rPr>
        <w:t>exist</w:t>
      </w:r>
      <w:r>
        <w:rPr>
          <w:sz w:val="24"/>
          <w:szCs w:val="24"/>
        </w:rPr>
        <w:t>ing process</w:t>
      </w:r>
      <w:r w:rsidR="00485A4F" w:rsidRPr="008B4F87">
        <w:rPr>
          <w:sz w:val="24"/>
          <w:szCs w:val="24"/>
        </w:rPr>
        <w:t xml:space="preserve"> for </w:t>
      </w:r>
      <w:r w:rsidR="00D25FC4" w:rsidRPr="008B4F87">
        <w:rPr>
          <w:sz w:val="24"/>
          <w:szCs w:val="24"/>
        </w:rPr>
        <w:t>preparing</w:t>
      </w:r>
      <w:r w:rsidR="00485A4F" w:rsidRPr="008B4F87">
        <w:rPr>
          <w:sz w:val="24"/>
          <w:szCs w:val="24"/>
        </w:rPr>
        <w:t xml:space="preserve"> recommendations to </w:t>
      </w:r>
      <w:r w:rsidR="00CE12C9" w:rsidRPr="008B4F87">
        <w:rPr>
          <w:sz w:val="24"/>
          <w:szCs w:val="24"/>
        </w:rPr>
        <w:t xml:space="preserve">the Leader of </w:t>
      </w:r>
      <w:r w:rsidR="008B46E8">
        <w:rPr>
          <w:sz w:val="24"/>
          <w:szCs w:val="24"/>
        </w:rPr>
        <w:t xml:space="preserve">Bath and North East Somerset </w:t>
      </w:r>
      <w:r w:rsidR="00CE12C9" w:rsidRPr="008B4F87">
        <w:rPr>
          <w:sz w:val="24"/>
          <w:szCs w:val="24"/>
        </w:rPr>
        <w:t xml:space="preserve">Council </w:t>
      </w:r>
      <w:r w:rsidR="00485A4F" w:rsidRPr="008B4F87">
        <w:rPr>
          <w:sz w:val="24"/>
          <w:szCs w:val="24"/>
        </w:rPr>
        <w:t>on the neighbourhood portion of CIL for Bath</w:t>
      </w:r>
      <w:r w:rsidR="009C577E" w:rsidRPr="008B4F87">
        <w:rPr>
          <w:sz w:val="24"/>
          <w:szCs w:val="24"/>
        </w:rPr>
        <w:t xml:space="preserve">. </w:t>
      </w:r>
      <w:r w:rsidR="008C588C">
        <w:rPr>
          <w:sz w:val="24"/>
          <w:szCs w:val="24"/>
        </w:rPr>
        <w:t xml:space="preserve">The Leader will be asked to make the final decision through a Single Member Decision on whether the funding will be allocated to the recommended projects.  </w:t>
      </w:r>
    </w:p>
    <w:p w14:paraId="6FB93F67" w14:textId="229C0A02" w:rsidR="009C577E" w:rsidRPr="008B4F87" w:rsidRDefault="001550D1" w:rsidP="00FD370E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  <w:r w:rsidRPr="008B4F87">
        <w:rPr>
          <w:sz w:val="24"/>
          <w:szCs w:val="24"/>
        </w:rPr>
        <w:t>Th</w:t>
      </w:r>
      <w:r w:rsidR="00FD370E">
        <w:rPr>
          <w:sz w:val="24"/>
          <w:szCs w:val="24"/>
        </w:rPr>
        <w:t xml:space="preserve">e request </w:t>
      </w:r>
      <w:r w:rsidRPr="008B4F87">
        <w:rPr>
          <w:sz w:val="24"/>
          <w:szCs w:val="24"/>
        </w:rPr>
        <w:t>comprises</w:t>
      </w:r>
      <w:r w:rsidR="00FD370E">
        <w:rPr>
          <w:sz w:val="24"/>
          <w:szCs w:val="24"/>
        </w:rPr>
        <w:t xml:space="preserve"> of</w:t>
      </w:r>
      <w:r w:rsidRPr="008B4F87">
        <w:rPr>
          <w:sz w:val="24"/>
          <w:szCs w:val="24"/>
        </w:rPr>
        <w:t>:</w:t>
      </w:r>
    </w:p>
    <w:p w14:paraId="30C234A6" w14:textId="24956C95" w:rsidR="001550D1" w:rsidRPr="008B4F87" w:rsidRDefault="002D3C1B" w:rsidP="000D19C7">
      <w:pPr>
        <w:pStyle w:val="Para-1stLevel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Validated Applications </w:t>
      </w:r>
      <w:r w:rsidR="008B46E8">
        <w:rPr>
          <w:sz w:val="24"/>
          <w:szCs w:val="24"/>
        </w:rPr>
        <w:t xml:space="preserve">will be uploaded to the </w:t>
      </w:r>
      <w:r w:rsidR="008B46E8" w:rsidRPr="008B46E8">
        <w:rPr>
          <w:sz w:val="24"/>
          <w:szCs w:val="24"/>
        </w:rPr>
        <w:t>Bath and North East Somerset Council</w:t>
      </w:r>
      <w:r w:rsidR="008B46E8">
        <w:rPr>
          <w:sz w:val="24"/>
          <w:szCs w:val="24"/>
        </w:rPr>
        <w:t xml:space="preserve"> website </w:t>
      </w:r>
      <w:r>
        <w:rPr>
          <w:sz w:val="24"/>
          <w:szCs w:val="24"/>
        </w:rPr>
        <w:t xml:space="preserve">to </w:t>
      </w:r>
      <w:r w:rsidR="001F3ECE">
        <w:rPr>
          <w:sz w:val="24"/>
          <w:szCs w:val="24"/>
        </w:rPr>
        <w:t xml:space="preserve">allow the public to be consulted on </w:t>
      </w:r>
      <w:r w:rsidR="00EB6DB2">
        <w:rPr>
          <w:sz w:val="24"/>
          <w:szCs w:val="24"/>
        </w:rPr>
        <w:t xml:space="preserve">projects </w:t>
      </w:r>
      <w:r w:rsidR="009A6867">
        <w:rPr>
          <w:sz w:val="24"/>
          <w:szCs w:val="24"/>
        </w:rPr>
        <w:t>in advance of the</w:t>
      </w:r>
      <w:r>
        <w:rPr>
          <w:sz w:val="24"/>
          <w:szCs w:val="24"/>
        </w:rPr>
        <w:t xml:space="preserve"> </w:t>
      </w:r>
      <w:r w:rsidRPr="002D3C1B">
        <w:rPr>
          <w:sz w:val="24"/>
          <w:szCs w:val="24"/>
        </w:rPr>
        <w:t>Advisory Panel for Neighbourhood CIL for Bath</w:t>
      </w:r>
      <w:r w:rsidR="009A6867">
        <w:rPr>
          <w:sz w:val="24"/>
          <w:szCs w:val="24"/>
        </w:rPr>
        <w:t xml:space="preserve"> making any recommendations. </w:t>
      </w:r>
      <w:r>
        <w:rPr>
          <w:sz w:val="24"/>
          <w:szCs w:val="24"/>
        </w:rPr>
        <w:t xml:space="preserve"> </w:t>
      </w:r>
    </w:p>
    <w:p w14:paraId="0D54E58C" w14:textId="073EC1F9" w:rsidR="007F1C5B" w:rsidRPr="008C588C" w:rsidRDefault="009A6867" w:rsidP="008C588C">
      <w:pPr>
        <w:pStyle w:val="Para-1stLevel"/>
        <w:numPr>
          <w:ilvl w:val="0"/>
          <w:numId w:val="21"/>
        </w:numPr>
        <w:rPr>
          <w:sz w:val="24"/>
          <w:szCs w:val="24"/>
        </w:rPr>
      </w:pPr>
      <w:r w:rsidRPr="00053D89">
        <w:rPr>
          <w:sz w:val="24"/>
          <w:szCs w:val="24"/>
        </w:rPr>
        <w:t xml:space="preserve">The Advisory Panel for Neighbourhood CIL for Bath will </w:t>
      </w:r>
      <w:r w:rsidR="000117FE" w:rsidRPr="00053D89">
        <w:rPr>
          <w:sz w:val="24"/>
          <w:szCs w:val="24"/>
        </w:rPr>
        <w:t>include up to</w:t>
      </w:r>
      <w:r w:rsidR="00B613A1" w:rsidRPr="00053D89">
        <w:rPr>
          <w:sz w:val="24"/>
          <w:szCs w:val="24"/>
        </w:rPr>
        <w:t xml:space="preserve"> eight </w:t>
      </w:r>
      <w:r w:rsidR="000117FE" w:rsidRPr="00053D89">
        <w:rPr>
          <w:sz w:val="24"/>
          <w:szCs w:val="24"/>
        </w:rPr>
        <w:t>W</w:t>
      </w:r>
      <w:r w:rsidR="00B613A1" w:rsidRPr="00053D89">
        <w:rPr>
          <w:sz w:val="24"/>
          <w:szCs w:val="24"/>
        </w:rPr>
        <w:t xml:space="preserve">ard </w:t>
      </w:r>
      <w:r w:rsidR="000117FE" w:rsidRPr="00053D89">
        <w:rPr>
          <w:sz w:val="24"/>
          <w:szCs w:val="24"/>
        </w:rPr>
        <w:t>C</w:t>
      </w:r>
      <w:r w:rsidR="00B613A1" w:rsidRPr="00053D89">
        <w:rPr>
          <w:sz w:val="24"/>
          <w:szCs w:val="24"/>
        </w:rPr>
        <w:t xml:space="preserve">ouncillors from the City of Bath. </w:t>
      </w:r>
    </w:p>
    <w:p w14:paraId="6E9B297D" w14:textId="1B54B074" w:rsidR="001550D1" w:rsidRDefault="00593C0A" w:rsidP="00053D89">
      <w:pPr>
        <w:pStyle w:val="Para-1stLevel"/>
        <w:numPr>
          <w:ilvl w:val="0"/>
          <w:numId w:val="21"/>
        </w:numPr>
        <w:rPr>
          <w:sz w:val="24"/>
          <w:szCs w:val="24"/>
        </w:rPr>
      </w:pPr>
      <w:r w:rsidRPr="00053D89">
        <w:rPr>
          <w:sz w:val="24"/>
          <w:szCs w:val="24"/>
        </w:rPr>
        <w:t xml:space="preserve">The Advisory Panel for Neighbourhood CIL for Bath will </w:t>
      </w:r>
      <w:r w:rsidR="003D7AA2" w:rsidRPr="00053D89">
        <w:rPr>
          <w:sz w:val="24"/>
          <w:szCs w:val="24"/>
        </w:rPr>
        <w:t xml:space="preserve">include Ward Councillor representation </w:t>
      </w:r>
      <w:r w:rsidR="00E35124" w:rsidRPr="00053D89">
        <w:rPr>
          <w:sz w:val="24"/>
          <w:szCs w:val="24"/>
        </w:rPr>
        <w:t xml:space="preserve">spread across different represented areas </w:t>
      </w:r>
      <w:r w:rsidR="003D7AA2" w:rsidRPr="00053D89">
        <w:rPr>
          <w:sz w:val="24"/>
          <w:szCs w:val="24"/>
        </w:rPr>
        <w:t>of the City</w:t>
      </w:r>
      <w:r w:rsidR="00E35124" w:rsidRPr="00053D89">
        <w:rPr>
          <w:sz w:val="24"/>
          <w:szCs w:val="24"/>
        </w:rPr>
        <w:t>.</w:t>
      </w:r>
      <w:r w:rsidR="003D7AA2" w:rsidRPr="00053D89">
        <w:rPr>
          <w:sz w:val="24"/>
          <w:szCs w:val="24"/>
        </w:rPr>
        <w:t xml:space="preserve"> </w:t>
      </w:r>
    </w:p>
    <w:p w14:paraId="1B02022C" w14:textId="5FC551C2" w:rsidR="00053D89" w:rsidRDefault="00053D89" w:rsidP="00053D89">
      <w:pPr>
        <w:pStyle w:val="Para-1stLevel"/>
        <w:numPr>
          <w:ilvl w:val="0"/>
          <w:numId w:val="21"/>
        </w:numPr>
        <w:rPr>
          <w:sz w:val="24"/>
          <w:szCs w:val="24"/>
        </w:rPr>
      </w:pPr>
      <w:r w:rsidRPr="00053D89">
        <w:rPr>
          <w:sz w:val="24"/>
          <w:szCs w:val="24"/>
        </w:rPr>
        <w:t>The Advisory Panel for Neighbourhood CIL for Bath will include</w:t>
      </w:r>
      <w:r w:rsidR="00B453B7">
        <w:rPr>
          <w:sz w:val="24"/>
          <w:szCs w:val="24"/>
        </w:rPr>
        <w:t xml:space="preserve"> </w:t>
      </w:r>
      <w:r w:rsidR="001B25C0">
        <w:rPr>
          <w:sz w:val="24"/>
          <w:szCs w:val="24"/>
        </w:rPr>
        <w:t xml:space="preserve">proportional </w:t>
      </w:r>
      <w:r w:rsidR="00B453B7">
        <w:rPr>
          <w:sz w:val="24"/>
          <w:szCs w:val="24"/>
        </w:rPr>
        <w:t xml:space="preserve">representation </w:t>
      </w:r>
      <w:r w:rsidR="00EF62B5">
        <w:rPr>
          <w:sz w:val="24"/>
          <w:szCs w:val="24"/>
        </w:rPr>
        <w:t>of the</w:t>
      </w:r>
      <w:r w:rsidR="00B453B7">
        <w:rPr>
          <w:sz w:val="24"/>
          <w:szCs w:val="24"/>
        </w:rPr>
        <w:t xml:space="preserve"> different political parties</w:t>
      </w:r>
      <w:r w:rsidR="00EF62B5">
        <w:rPr>
          <w:sz w:val="24"/>
          <w:szCs w:val="24"/>
        </w:rPr>
        <w:t xml:space="preserve"> as elected across the City</w:t>
      </w:r>
      <w:r w:rsidR="007F1C5B">
        <w:rPr>
          <w:sz w:val="24"/>
          <w:szCs w:val="24"/>
        </w:rPr>
        <w:t>.</w:t>
      </w:r>
      <w:r w:rsidR="00B453B7">
        <w:rPr>
          <w:sz w:val="24"/>
          <w:szCs w:val="24"/>
        </w:rPr>
        <w:t xml:space="preserve"> </w:t>
      </w:r>
    </w:p>
    <w:p w14:paraId="2FDE7604" w14:textId="344CF0BD" w:rsidR="001B25C0" w:rsidRPr="00053D89" w:rsidRDefault="001B25C0" w:rsidP="00053D89">
      <w:pPr>
        <w:pStyle w:val="Para-1stLevel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 new Terms of Reference document for t</w:t>
      </w:r>
      <w:r w:rsidRPr="001B25C0">
        <w:rPr>
          <w:sz w:val="24"/>
          <w:szCs w:val="24"/>
        </w:rPr>
        <w:t>he Advisory Panel for Neighbourhood CIL for Bath will</w:t>
      </w:r>
      <w:r>
        <w:rPr>
          <w:sz w:val="24"/>
          <w:szCs w:val="24"/>
        </w:rPr>
        <w:t xml:space="preserve"> be agreed.</w:t>
      </w:r>
    </w:p>
    <w:p w14:paraId="6287128B" w14:textId="77777777" w:rsidR="00B57AAC" w:rsidRDefault="00B57AAC" w:rsidP="00B57AAC">
      <w:pPr>
        <w:pStyle w:val="Para-1stLevel"/>
        <w:numPr>
          <w:ilvl w:val="0"/>
          <w:numId w:val="0"/>
        </w:numPr>
        <w:ind w:left="1218"/>
        <w:rPr>
          <w:sz w:val="24"/>
          <w:szCs w:val="24"/>
        </w:rPr>
      </w:pPr>
    </w:p>
    <w:p w14:paraId="6BCCD511" w14:textId="77777777" w:rsidR="00E46A81" w:rsidRPr="00451F50" w:rsidRDefault="00F44FDB" w:rsidP="00E46A81">
      <w:pPr>
        <w:pStyle w:val="ReportHeading"/>
        <w:jc w:val="both"/>
        <w:rPr>
          <w:sz w:val="24"/>
          <w:szCs w:val="24"/>
        </w:rPr>
      </w:pPr>
      <w:r w:rsidRPr="00451F50">
        <w:rPr>
          <w:sz w:val="24"/>
          <w:szCs w:val="24"/>
        </w:rPr>
        <w:t>RATIONALE</w:t>
      </w:r>
    </w:p>
    <w:p w14:paraId="64201DCD" w14:textId="556D32C4" w:rsidR="000117FE" w:rsidRDefault="000117FE" w:rsidP="003D473B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3D94">
        <w:rPr>
          <w:sz w:val="24"/>
          <w:szCs w:val="24"/>
        </w:rPr>
        <w:t>Bath City Forum no longer exists</w:t>
      </w:r>
      <w:r w:rsidR="00264D5E">
        <w:rPr>
          <w:sz w:val="24"/>
          <w:szCs w:val="24"/>
        </w:rPr>
        <w:t xml:space="preserve">. </w:t>
      </w:r>
      <w:r w:rsidR="00C6665B">
        <w:rPr>
          <w:sz w:val="24"/>
          <w:szCs w:val="24"/>
        </w:rPr>
        <w:t>The c</w:t>
      </w:r>
      <w:r w:rsidR="008B37B6">
        <w:rPr>
          <w:sz w:val="24"/>
          <w:szCs w:val="24"/>
        </w:rPr>
        <w:t>o-opted members</w:t>
      </w:r>
      <w:r w:rsidR="00AC3999">
        <w:rPr>
          <w:sz w:val="24"/>
          <w:szCs w:val="24"/>
        </w:rPr>
        <w:t xml:space="preserve"> </w:t>
      </w:r>
      <w:r w:rsidR="00C6665B">
        <w:rPr>
          <w:sz w:val="24"/>
          <w:szCs w:val="24"/>
        </w:rPr>
        <w:t>from th</w:t>
      </w:r>
      <w:r w:rsidR="00456ED4">
        <w:rPr>
          <w:sz w:val="24"/>
          <w:szCs w:val="24"/>
        </w:rPr>
        <w:t>e City</w:t>
      </w:r>
      <w:r w:rsidR="00C6665B">
        <w:rPr>
          <w:sz w:val="24"/>
          <w:szCs w:val="24"/>
        </w:rPr>
        <w:t xml:space="preserve"> </w:t>
      </w:r>
      <w:r w:rsidR="00456ED4">
        <w:rPr>
          <w:sz w:val="24"/>
          <w:szCs w:val="24"/>
        </w:rPr>
        <w:t>F</w:t>
      </w:r>
      <w:r w:rsidR="00AC3999">
        <w:rPr>
          <w:sz w:val="24"/>
          <w:szCs w:val="24"/>
        </w:rPr>
        <w:t>orum</w:t>
      </w:r>
      <w:r w:rsidR="008B37B6">
        <w:rPr>
          <w:sz w:val="24"/>
          <w:szCs w:val="24"/>
        </w:rPr>
        <w:t xml:space="preserve"> </w:t>
      </w:r>
      <w:r w:rsidR="00456ED4">
        <w:rPr>
          <w:sz w:val="24"/>
          <w:szCs w:val="24"/>
        </w:rPr>
        <w:t>who</w:t>
      </w:r>
      <w:r w:rsidR="00993C33">
        <w:rPr>
          <w:sz w:val="24"/>
          <w:szCs w:val="24"/>
        </w:rPr>
        <w:t xml:space="preserve"> </w:t>
      </w:r>
      <w:r w:rsidR="008B37B6">
        <w:rPr>
          <w:sz w:val="24"/>
          <w:szCs w:val="24"/>
        </w:rPr>
        <w:t>p</w:t>
      </w:r>
      <w:r w:rsidR="00264D5E">
        <w:rPr>
          <w:sz w:val="24"/>
          <w:szCs w:val="24"/>
        </w:rPr>
        <w:t xml:space="preserve">reviously </w:t>
      </w:r>
      <w:r w:rsidR="00AC3999">
        <w:rPr>
          <w:sz w:val="24"/>
          <w:szCs w:val="24"/>
        </w:rPr>
        <w:t xml:space="preserve">held roles </w:t>
      </w:r>
      <w:r w:rsidR="000211CA">
        <w:rPr>
          <w:sz w:val="24"/>
          <w:szCs w:val="24"/>
        </w:rPr>
        <w:t>o</w:t>
      </w:r>
      <w:r w:rsidR="00264D5E">
        <w:rPr>
          <w:sz w:val="24"/>
          <w:szCs w:val="24"/>
        </w:rPr>
        <w:t xml:space="preserve">n the </w:t>
      </w:r>
      <w:r w:rsidR="00264D5E" w:rsidRPr="00264D5E">
        <w:rPr>
          <w:sz w:val="24"/>
          <w:szCs w:val="24"/>
        </w:rPr>
        <w:t>Advisory Panel for Neighbourhood CIL</w:t>
      </w:r>
      <w:r w:rsidR="00456ED4">
        <w:rPr>
          <w:sz w:val="24"/>
          <w:szCs w:val="24"/>
        </w:rPr>
        <w:t xml:space="preserve"> no longer do so</w:t>
      </w:r>
      <w:r w:rsidR="00E43C21">
        <w:rPr>
          <w:sz w:val="24"/>
          <w:szCs w:val="24"/>
        </w:rPr>
        <w:t>.</w:t>
      </w:r>
      <w:r w:rsidR="00BF0CA0">
        <w:rPr>
          <w:sz w:val="24"/>
          <w:szCs w:val="24"/>
        </w:rPr>
        <w:t xml:space="preserve"> </w:t>
      </w:r>
    </w:p>
    <w:p w14:paraId="01F8D695" w14:textId="5ACD6949" w:rsidR="00A23D94" w:rsidRDefault="0060776A" w:rsidP="003D473B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>A new</w:t>
      </w:r>
      <w:r w:rsidR="00A23D94">
        <w:rPr>
          <w:sz w:val="24"/>
          <w:szCs w:val="24"/>
        </w:rPr>
        <w:t xml:space="preserve"> Bath Area Forum </w:t>
      </w:r>
      <w:r>
        <w:rPr>
          <w:sz w:val="24"/>
          <w:szCs w:val="24"/>
        </w:rPr>
        <w:t xml:space="preserve">replaced the City </w:t>
      </w:r>
      <w:r w:rsidR="00BF0CA0">
        <w:rPr>
          <w:sz w:val="24"/>
          <w:szCs w:val="24"/>
        </w:rPr>
        <w:t>Forum,</w:t>
      </w:r>
      <w:r>
        <w:rPr>
          <w:sz w:val="24"/>
          <w:szCs w:val="24"/>
        </w:rPr>
        <w:t xml:space="preserve"> and </w:t>
      </w:r>
      <w:r w:rsidR="00BF0CA0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is a body that </w:t>
      </w:r>
      <w:r w:rsidR="00A23D94">
        <w:rPr>
          <w:sz w:val="24"/>
          <w:szCs w:val="24"/>
        </w:rPr>
        <w:t xml:space="preserve">does not hold any </w:t>
      </w:r>
      <w:r w:rsidR="000211CA">
        <w:rPr>
          <w:sz w:val="24"/>
          <w:szCs w:val="24"/>
        </w:rPr>
        <w:t>decision-making</w:t>
      </w:r>
      <w:r w:rsidR="008B37B6">
        <w:rPr>
          <w:sz w:val="24"/>
          <w:szCs w:val="24"/>
        </w:rPr>
        <w:t xml:space="preserve"> functions.</w:t>
      </w:r>
    </w:p>
    <w:p w14:paraId="2C16EB6E" w14:textId="082BB057" w:rsidR="00AB50E9" w:rsidRDefault="00BB39CA" w:rsidP="003D473B">
      <w:pPr>
        <w:pStyle w:val="Para-1stLevel"/>
        <w:rPr>
          <w:sz w:val="24"/>
          <w:szCs w:val="24"/>
        </w:rPr>
      </w:pPr>
      <w:r>
        <w:rPr>
          <w:sz w:val="24"/>
          <w:szCs w:val="24"/>
        </w:rPr>
        <w:t>In the absence of a Parish Council</w:t>
      </w:r>
      <w:r w:rsidR="006F126F">
        <w:rPr>
          <w:sz w:val="24"/>
          <w:szCs w:val="24"/>
        </w:rPr>
        <w:t xml:space="preserve"> for Bath</w:t>
      </w:r>
      <w:r>
        <w:rPr>
          <w:sz w:val="24"/>
          <w:szCs w:val="24"/>
        </w:rPr>
        <w:t>, th</w:t>
      </w:r>
      <w:r w:rsidR="0030322B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8B4F87">
        <w:rPr>
          <w:sz w:val="24"/>
          <w:szCs w:val="24"/>
        </w:rPr>
        <w:t xml:space="preserve">Bath and North East Somerset </w:t>
      </w:r>
      <w:r>
        <w:rPr>
          <w:sz w:val="24"/>
          <w:szCs w:val="24"/>
        </w:rPr>
        <w:t>Council has a statutory responsibility to allocate the local portion of CIL</w:t>
      </w:r>
      <w:r w:rsidR="00B57AAC">
        <w:rPr>
          <w:sz w:val="24"/>
          <w:szCs w:val="24"/>
        </w:rPr>
        <w:t xml:space="preserve"> - ‘</w:t>
      </w:r>
      <w:r w:rsidR="00B57AAC" w:rsidRPr="00B57AAC">
        <w:rPr>
          <w:sz w:val="24"/>
          <w:szCs w:val="24"/>
        </w:rPr>
        <w:t>Neighbourhood CIL for Bath</w:t>
      </w:r>
      <w:r w:rsidR="00B57AAC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14:paraId="4968D852" w14:textId="5449DB46" w:rsidR="00B57AAC" w:rsidRDefault="00B57AAC" w:rsidP="00B57AAC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306DFBD9" w14:textId="0663917F" w:rsidR="00456ED4" w:rsidRDefault="00456ED4" w:rsidP="00B57AAC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34D16A90" w14:textId="77777777" w:rsidR="00456ED4" w:rsidRPr="003D473B" w:rsidRDefault="00456ED4" w:rsidP="00B57AAC">
      <w:pPr>
        <w:pStyle w:val="Para-1stLevel"/>
        <w:numPr>
          <w:ilvl w:val="0"/>
          <w:numId w:val="0"/>
        </w:numPr>
        <w:ind w:left="858"/>
        <w:rPr>
          <w:sz w:val="24"/>
          <w:szCs w:val="24"/>
        </w:rPr>
      </w:pPr>
    </w:p>
    <w:p w14:paraId="0652B75A" w14:textId="77777777" w:rsidR="00AC1E78" w:rsidRDefault="00AC1E78" w:rsidP="00AC1E78">
      <w:pPr>
        <w:pStyle w:val="ReportHeading"/>
        <w:rPr>
          <w:sz w:val="24"/>
          <w:szCs w:val="24"/>
        </w:rPr>
      </w:pPr>
      <w:r w:rsidRPr="00AC1E78">
        <w:rPr>
          <w:sz w:val="24"/>
          <w:szCs w:val="24"/>
        </w:rPr>
        <w:t>CLIMATE CHANGE</w:t>
      </w:r>
    </w:p>
    <w:p w14:paraId="03A13E78" w14:textId="7EA76AC7" w:rsidR="007F1C5B" w:rsidRPr="007F1C5B" w:rsidRDefault="004B5BEE" w:rsidP="007F1C5B">
      <w:pPr>
        <w:pStyle w:val="Para-1stLevel"/>
        <w:numPr>
          <w:ilvl w:val="1"/>
          <w:numId w:val="3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application that is </w:t>
      </w:r>
      <w:r w:rsidR="009D05CA">
        <w:rPr>
          <w:color w:val="000000"/>
          <w:sz w:val="24"/>
          <w:szCs w:val="24"/>
        </w:rPr>
        <w:t>recommended by th</w:t>
      </w:r>
      <w:r w:rsidR="009D05CA" w:rsidRPr="009D05CA">
        <w:rPr>
          <w:color w:val="000000"/>
          <w:sz w:val="24"/>
          <w:szCs w:val="24"/>
        </w:rPr>
        <w:t>e Advisory Panel for Neighbourhood CIL</w:t>
      </w:r>
      <w:r w:rsidR="0030322B">
        <w:rPr>
          <w:color w:val="000000"/>
          <w:sz w:val="24"/>
          <w:szCs w:val="24"/>
        </w:rPr>
        <w:t xml:space="preserve"> follows</w:t>
      </w:r>
      <w:r w:rsidR="0094591F">
        <w:rPr>
          <w:color w:val="000000"/>
          <w:sz w:val="24"/>
          <w:szCs w:val="24"/>
        </w:rPr>
        <w:t xml:space="preserve"> </w:t>
      </w:r>
      <w:r w:rsidR="0030322B" w:rsidRPr="0030322B">
        <w:rPr>
          <w:color w:val="000000"/>
          <w:sz w:val="24"/>
          <w:szCs w:val="24"/>
        </w:rPr>
        <w:t>Bath and North East Somerset Council</w:t>
      </w:r>
      <w:r w:rsidR="0030322B">
        <w:rPr>
          <w:color w:val="000000"/>
          <w:sz w:val="24"/>
          <w:szCs w:val="24"/>
        </w:rPr>
        <w:t xml:space="preserve">s </w:t>
      </w:r>
      <w:r w:rsidR="0094591F">
        <w:rPr>
          <w:color w:val="000000"/>
          <w:sz w:val="24"/>
          <w:szCs w:val="24"/>
        </w:rPr>
        <w:t xml:space="preserve">Climate Change </w:t>
      </w:r>
      <w:r w:rsidR="0030322B">
        <w:rPr>
          <w:color w:val="000000"/>
          <w:sz w:val="24"/>
          <w:szCs w:val="24"/>
        </w:rPr>
        <w:t xml:space="preserve">Policy. </w:t>
      </w:r>
    </w:p>
    <w:p w14:paraId="6CF35BE2" w14:textId="77777777" w:rsidR="00593C0A" w:rsidRDefault="00593C0A" w:rsidP="007F1C5B">
      <w:pPr>
        <w:pStyle w:val="Para-1stLevel"/>
        <w:numPr>
          <w:ilvl w:val="0"/>
          <w:numId w:val="0"/>
        </w:numPr>
      </w:pPr>
    </w:p>
    <w:p w14:paraId="678CEB1C" w14:textId="77777777" w:rsidR="00F44FDB" w:rsidRPr="00451F50" w:rsidRDefault="00F44FDB" w:rsidP="009012AF">
      <w:pPr>
        <w:pStyle w:val="ReportHeading"/>
        <w:jc w:val="both"/>
        <w:rPr>
          <w:sz w:val="24"/>
          <w:szCs w:val="24"/>
        </w:rPr>
      </w:pPr>
      <w:r w:rsidRPr="00451F50">
        <w:rPr>
          <w:sz w:val="24"/>
          <w:szCs w:val="24"/>
        </w:rPr>
        <w:t>OTHER OPTIONS CONSIDERED</w:t>
      </w:r>
    </w:p>
    <w:p w14:paraId="24249280" w14:textId="6207EF5E" w:rsidR="00CD3DC1" w:rsidRDefault="009425C2" w:rsidP="009C1A4D">
      <w:pPr>
        <w:pStyle w:val="Para-1stLevel"/>
        <w:rPr>
          <w:color w:val="000000"/>
          <w:sz w:val="24"/>
          <w:szCs w:val="24"/>
        </w:rPr>
      </w:pPr>
      <w:bookmarkStart w:id="3" w:name="_Hlk88831446"/>
      <w:r w:rsidRPr="00051AD4">
        <w:rPr>
          <w:color w:val="000000"/>
          <w:sz w:val="24"/>
          <w:szCs w:val="24"/>
        </w:rPr>
        <w:t xml:space="preserve">Consideration was given to this report being presented to full </w:t>
      </w:r>
      <w:r w:rsidR="00165B16" w:rsidRPr="00051AD4">
        <w:rPr>
          <w:color w:val="000000"/>
          <w:sz w:val="24"/>
          <w:szCs w:val="24"/>
        </w:rPr>
        <w:t>Cabinet,</w:t>
      </w:r>
      <w:r w:rsidRPr="00051AD4">
        <w:rPr>
          <w:color w:val="000000"/>
          <w:sz w:val="24"/>
          <w:szCs w:val="24"/>
        </w:rPr>
        <w:t xml:space="preserve"> but it is considered appropriate that this be </w:t>
      </w:r>
      <w:r w:rsidR="00674BFF" w:rsidRPr="00051AD4">
        <w:rPr>
          <w:color w:val="000000"/>
          <w:sz w:val="24"/>
          <w:szCs w:val="24"/>
        </w:rPr>
        <w:t xml:space="preserve">a </w:t>
      </w:r>
      <w:r w:rsidRPr="00051AD4">
        <w:rPr>
          <w:color w:val="000000"/>
          <w:sz w:val="24"/>
          <w:szCs w:val="24"/>
        </w:rPr>
        <w:t>single member decision.</w:t>
      </w:r>
    </w:p>
    <w:bookmarkEnd w:id="3"/>
    <w:p w14:paraId="6576CBFA" w14:textId="77777777" w:rsidR="00593C0A" w:rsidRDefault="00593C0A" w:rsidP="00593C0A">
      <w:pPr>
        <w:pStyle w:val="Para-1stLevel"/>
        <w:numPr>
          <w:ilvl w:val="0"/>
          <w:numId w:val="0"/>
        </w:numPr>
        <w:ind w:left="858"/>
        <w:rPr>
          <w:color w:val="000000"/>
          <w:sz w:val="24"/>
          <w:szCs w:val="24"/>
        </w:rPr>
      </w:pPr>
    </w:p>
    <w:p w14:paraId="029EC59D" w14:textId="77777777" w:rsidR="0030089B" w:rsidRPr="00051AD4" w:rsidRDefault="00BE47EB" w:rsidP="00317452">
      <w:pPr>
        <w:pStyle w:val="ReportHeading"/>
        <w:rPr>
          <w:color w:val="000000"/>
          <w:sz w:val="24"/>
          <w:szCs w:val="24"/>
        </w:rPr>
      </w:pPr>
      <w:r w:rsidRPr="00051AD4">
        <w:rPr>
          <w:color w:val="000000"/>
          <w:sz w:val="24"/>
          <w:szCs w:val="24"/>
        </w:rPr>
        <w:t>consultation</w:t>
      </w:r>
    </w:p>
    <w:p w14:paraId="1B370D7B" w14:textId="197C2611" w:rsidR="00F54500" w:rsidRPr="00593C0A" w:rsidRDefault="00A30BAA" w:rsidP="009C1A4D">
      <w:pPr>
        <w:pStyle w:val="Para-1stLevel"/>
        <w:rPr>
          <w:color w:val="000000"/>
          <w:sz w:val="24"/>
          <w:szCs w:val="24"/>
        </w:rPr>
      </w:pPr>
      <w:r w:rsidRPr="00051AD4">
        <w:rPr>
          <w:bCs/>
          <w:color w:val="000000"/>
          <w:sz w:val="24"/>
          <w:szCs w:val="24"/>
        </w:rPr>
        <w:t>The Bath &amp; North East Somerset Council Section 151 Officer and Monitoring Officer were both consulted in the preparation of this report.</w:t>
      </w:r>
      <w:r w:rsidR="00D15670" w:rsidRPr="00051AD4">
        <w:rPr>
          <w:bCs/>
          <w:color w:val="000000"/>
          <w:sz w:val="24"/>
          <w:szCs w:val="24"/>
        </w:rPr>
        <w:t xml:space="preserve"> </w:t>
      </w:r>
    </w:p>
    <w:p w14:paraId="4ACD1166" w14:textId="77777777" w:rsidR="00593C0A" w:rsidRPr="00051AD4" w:rsidRDefault="00593C0A" w:rsidP="00593C0A">
      <w:pPr>
        <w:pStyle w:val="Para-1stLevel"/>
        <w:numPr>
          <w:ilvl w:val="0"/>
          <w:numId w:val="0"/>
        </w:numPr>
        <w:ind w:left="858"/>
        <w:rPr>
          <w:color w:val="000000"/>
          <w:sz w:val="24"/>
          <w:szCs w:val="24"/>
        </w:rPr>
      </w:pPr>
    </w:p>
    <w:p w14:paraId="4E28D88F" w14:textId="77777777" w:rsidR="00BE47EB" w:rsidRDefault="003B6105" w:rsidP="003B6105">
      <w:pPr>
        <w:pStyle w:val="ReportHeading"/>
        <w:rPr>
          <w:sz w:val="24"/>
          <w:szCs w:val="24"/>
        </w:rPr>
      </w:pPr>
      <w:r w:rsidRPr="00451F50">
        <w:rPr>
          <w:sz w:val="24"/>
          <w:szCs w:val="24"/>
        </w:rPr>
        <w:t>risk management</w:t>
      </w:r>
    </w:p>
    <w:p w14:paraId="250A77DB" w14:textId="3563B9CB" w:rsidR="003D5F90" w:rsidRDefault="00743095" w:rsidP="00456ED4">
      <w:pPr>
        <w:pStyle w:val="Para-1stLevel"/>
      </w:pPr>
      <w:r>
        <w:t xml:space="preserve"> </w:t>
      </w:r>
      <w:r w:rsidR="00584F2B" w:rsidRPr="00743095">
        <w:rPr>
          <w:sz w:val="24"/>
          <w:szCs w:val="24"/>
        </w:rPr>
        <w:t xml:space="preserve">A risk assessment related to the issue and recommendations has been undertaken, in compliance with the Council's </w:t>
      </w:r>
      <w:r w:rsidR="008B4F87" w:rsidRPr="00743095">
        <w:rPr>
          <w:sz w:val="24"/>
          <w:szCs w:val="24"/>
        </w:rPr>
        <w:t>decision-making</w:t>
      </w:r>
      <w:r w:rsidR="00584F2B" w:rsidRPr="00743095">
        <w:rPr>
          <w:sz w:val="24"/>
          <w:szCs w:val="24"/>
        </w:rPr>
        <w:t xml:space="preserve"> risk management guidance.</w:t>
      </w:r>
    </w:p>
    <w:p w14:paraId="566D53A9" w14:textId="77777777" w:rsidR="003D5F90" w:rsidRPr="00743095" w:rsidRDefault="003D5F90" w:rsidP="00593C0A">
      <w:pPr>
        <w:pStyle w:val="Para-1stLevel"/>
        <w:numPr>
          <w:ilvl w:val="0"/>
          <w:numId w:val="0"/>
        </w:numPr>
        <w:ind w:left="85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B83732" w:rsidRPr="00451F50" w14:paraId="73749FBF" w14:textId="77777777">
        <w:tc>
          <w:tcPr>
            <w:tcW w:w="2518" w:type="dxa"/>
          </w:tcPr>
          <w:p w14:paraId="75457E94" w14:textId="77777777" w:rsidR="00B83732" w:rsidRPr="00451F50" w:rsidRDefault="00B83732" w:rsidP="00B11A0E">
            <w:pPr>
              <w:pStyle w:val="Para-1stLevel"/>
              <w:numPr>
                <w:ilvl w:val="0"/>
                <w:numId w:val="0"/>
              </w:num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451F50">
              <w:rPr>
                <w:b/>
                <w:bCs/>
                <w:sz w:val="24"/>
                <w:szCs w:val="24"/>
              </w:rPr>
              <w:t xml:space="preserve">Contact person </w:t>
            </w:r>
          </w:p>
        </w:tc>
        <w:tc>
          <w:tcPr>
            <w:tcW w:w="7336" w:type="dxa"/>
          </w:tcPr>
          <w:p w14:paraId="0615E968" w14:textId="77777777" w:rsidR="00EF541E" w:rsidRDefault="00EF541E" w:rsidP="00EF541E">
            <w:pPr>
              <w:pStyle w:val="Para-1stLevel"/>
              <w:numPr>
                <w:ilvl w:val="0"/>
                <w:numId w:val="0"/>
              </w:num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  <w:r w:rsidRPr="00451F50">
              <w:rPr>
                <w:i/>
                <w:iCs/>
                <w:sz w:val="24"/>
                <w:szCs w:val="24"/>
              </w:rPr>
              <w:t>Mark Hayward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hyperlink r:id="rId8" w:history="1">
              <w:r w:rsidRPr="00051AD4">
                <w:rPr>
                  <w:rStyle w:val="Hyperlink"/>
                  <w:i/>
                  <w:iCs/>
                  <w:sz w:val="24"/>
                  <w:szCs w:val="24"/>
                </w:rPr>
                <w:t>mark_hayward@bathnes.gov.uk</w:t>
              </w:r>
            </w:hyperlink>
            <w:r>
              <w:rPr>
                <w:i/>
                <w:iCs/>
                <w:sz w:val="24"/>
                <w:szCs w:val="24"/>
              </w:rPr>
              <w:t xml:space="preserve"> 01225 396975</w:t>
            </w:r>
          </w:p>
          <w:p w14:paraId="11A7F527" w14:textId="77777777" w:rsidR="00B83732" w:rsidRPr="00451F50" w:rsidRDefault="00743095" w:rsidP="00743095">
            <w:pPr>
              <w:pStyle w:val="Para-1stLevel"/>
              <w:numPr>
                <w:ilvl w:val="0"/>
                <w:numId w:val="0"/>
              </w:num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</w:t>
            </w:r>
            <w:r w:rsidR="00EF541E">
              <w:rPr>
                <w:i/>
                <w:iCs/>
                <w:sz w:val="24"/>
                <w:szCs w:val="24"/>
              </w:rPr>
              <w:t>r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F541E">
              <w:rPr>
                <w:i/>
                <w:iCs/>
                <w:sz w:val="24"/>
                <w:szCs w:val="24"/>
              </w:rPr>
              <w:t xml:space="preserve">Dave Dixon, </w:t>
            </w:r>
            <w:hyperlink r:id="rId9" w:history="1">
              <w:r w:rsidR="00EF541E" w:rsidRPr="00051AD4">
                <w:rPr>
                  <w:rStyle w:val="Hyperlink"/>
                  <w:i/>
                  <w:iCs/>
                  <w:sz w:val="24"/>
                  <w:szCs w:val="24"/>
                </w:rPr>
                <w:t>david_dixon@bathnes.gov.uk</w:t>
              </w:r>
            </w:hyperlink>
            <w:r w:rsidR="00EF541E">
              <w:rPr>
                <w:i/>
                <w:iCs/>
                <w:sz w:val="24"/>
                <w:szCs w:val="24"/>
              </w:rPr>
              <w:t xml:space="preserve"> 01225 396532</w:t>
            </w:r>
          </w:p>
        </w:tc>
      </w:tr>
      <w:tr w:rsidR="00B83732" w:rsidRPr="00451F50" w14:paraId="165AA667" w14:textId="77777777">
        <w:tc>
          <w:tcPr>
            <w:tcW w:w="2518" w:type="dxa"/>
          </w:tcPr>
          <w:p w14:paraId="5C2166A2" w14:textId="77777777" w:rsidR="00B83732" w:rsidRPr="00451F50" w:rsidRDefault="00B83732" w:rsidP="00B11A0E">
            <w:pPr>
              <w:pStyle w:val="Para-1stLevel"/>
              <w:numPr>
                <w:ilvl w:val="0"/>
                <w:numId w:val="0"/>
              </w:num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451F50">
              <w:rPr>
                <w:b/>
                <w:bCs/>
                <w:sz w:val="24"/>
                <w:szCs w:val="24"/>
              </w:rPr>
              <w:t>Background papers</w:t>
            </w:r>
          </w:p>
        </w:tc>
        <w:tc>
          <w:tcPr>
            <w:tcW w:w="7336" w:type="dxa"/>
          </w:tcPr>
          <w:p w14:paraId="086B459F" w14:textId="77777777" w:rsidR="00B83732" w:rsidRPr="00451F50" w:rsidRDefault="00D63E23" w:rsidP="00FF7B5E">
            <w:pPr>
              <w:pStyle w:val="Para-1stLevel"/>
              <w:numPr>
                <w:ilvl w:val="0"/>
                <w:numId w:val="0"/>
              </w:num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08.11.17 </w:t>
            </w:r>
            <w:r w:rsidR="00451F50" w:rsidRPr="00451F50">
              <w:rPr>
                <w:i/>
                <w:iCs/>
                <w:sz w:val="24"/>
                <w:szCs w:val="24"/>
              </w:rPr>
              <w:t xml:space="preserve">Cabinet </w:t>
            </w:r>
            <w:r w:rsidR="00F008F2">
              <w:rPr>
                <w:i/>
                <w:iCs/>
                <w:sz w:val="24"/>
                <w:szCs w:val="24"/>
              </w:rPr>
              <w:t>D</w:t>
            </w:r>
            <w:r w:rsidR="00451F50" w:rsidRPr="00451F50">
              <w:rPr>
                <w:i/>
                <w:iCs/>
                <w:sz w:val="24"/>
                <w:szCs w:val="24"/>
              </w:rPr>
              <w:t xml:space="preserve">ecision </w:t>
            </w:r>
            <w:r w:rsidR="00F008F2">
              <w:rPr>
                <w:i/>
                <w:iCs/>
                <w:sz w:val="24"/>
                <w:szCs w:val="24"/>
              </w:rPr>
              <w:t>142</w:t>
            </w:r>
            <w:r w:rsidR="00FF7B5E">
              <w:rPr>
                <w:i/>
                <w:iCs/>
                <w:sz w:val="24"/>
                <w:szCs w:val="24"/>
              </w:rPr>
              <w:t xml:space="preserve"> </w:t>
            </w:r>
            <w:r w:rsidR="00F008F2">
              <w:rPr>
                <w:i/>
                <w:iCs/>
                <w:sz w:val="24"/>
                <w:szCs w:val="24"/>
              </w:rPr>
              <w:t xml:space="preserve"> - </w:t>
            </w:r>
            <w:r w:rsidR="00F008F2" w:rsidRPr="00F008F2">
              <w:rPr>
                <w:i/>
                <w:iCs/>
                <w:sz w:val="24"/>
                <w:szCs w:val="24"/>
              </w:rPr>
              <w:t>B&amp;NES Community Infrastructure Levy (CIL) spending arrangements 2018/19</w:t>
            </w:r>
          </w:p>
        </w:tc>
      </w:tr>
      <w:tr w:rsidR="00B83732" w:rsidRPr="00451F50" w14:paraId="75DA4B1A" w14:textId="77777777">
        <w:tc>
          <w:tcPr>
            <w:tcW w:w="9854" w:type="dxa"/>
            <w:gridSpan w:val="2"/>
          </w:tcPr>
          <w:p w14:paraId="2EAE7564" w14:textId="77777777" w:rsidR="00B83732" w:rsidRPr="00451F50" w:rsidRDefault="00B83732" w:rsidP="00B11A0E">
            <w:pPr>
              <w:pStyle w:val="Para-1stLevel"/>
              <w:numPr>
                <w:ilvl w:val="0"/>
                <w:numId w:val="0"/>
              </w:num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  <w:r w:rsidRPr="00451F50">
              <w:rPr>
                <w:b/>
                <w:bCs/>
                <w:sz w:val="24"/>
                <w:szCs w:val="24"/>
              </w:rPr>
              <w:t>Please contact the report author if you need to access this report in an alternative format</w:t>
            </w:r>
          </w:p>
        </w:tc>
      </w:tr>
    </w:tbl>
    <w:p w14:paraId="5280131D" w14:textId="77777777" w:rsidR="00F44FDB" w:rsidRDefault="00F44FDB" w:rsidP="00743095">
      <w:pPr>
        <w:jc w:val="both"/>
        <w:rPr>
          <w:sz w:val="16"/>
          <w:szCs w:val="16"/>
        </w:rPr>
      </w:pPr>
    </w:p>
    <w:sectPr w:rsidR="00F44FDB">
      <w:footerReference w:type="default" r:id="rId10"/>
      <w:pgSz w:w="11906" w:h="16838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0FC7" w14:textId="77777777" w:rsidR="00E371B2" w:rsidRDefault="00E371B2">
      <w:r>
        <w:separator/>
      </w:r>
    </w:p>
  </w:endnote>
  <w:endnote w:type="continuationSeparator" w:id="0">
    <w:p w14:paraId="22FE97D1" w14:textId="77777777" w:rsidR="00E371B2" w:rsidRDefault="00E3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F1FA" w14:textId="77777777" w:rsidR="00BE47EB" w:rsidRDefault="00BE47EB">
    <w:pPr>
      <w:pStyle w:val="Footer"/>
      <w:ind w:right="360"/>
    </w:pPr>
    <w:r>
      <w:rPr>
        <w:i/>
        <w:iCs/>
        <w:sz w:val="16"/>
        <w:szCs w:val="16"/>
      </w:rPr>
      <w:t>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20BAC" w14:textId="77777777" w:rsidR="00E371B2" w:rsidRDefault="00E371B2">
      <w:r>
        <w:separator/>
      </w:r>
    </w:p>
  </w:footnote>
  <w:footnote w:type="continuationSeparator" w:id="0">
    <w:p w14:paraId="4C4F1984" w14:textId="77777777" w:rsidR="00E371B2" w:rsidRDefault="00E3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539"/>
    <w:multiLevelType w:val="hybridMultilevel"/>
    <w:tmpl w:val="8BDE3988"/>
    <w:lvl w:ilvl="0" w:tplc="E5F0C33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7049F3"/>
    <w:multiLevelType w:val="hybridMultilevel"/>
    <w:tmpl w:val="85965324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" w15:restartNumberingAfterBreak="0">
    <w:nsid w:val="143E5164"/>
    <w:multiLevelType w:val="hybridMultilevel"/>
    <w:tmpl w:val="57BE71B0"/>
    <w:lvl w:ilvl="0" w:tplc="9A3A1EF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3C3"/>
    <w:multiLevelType w:val="hybridMultilevel"/>
    <w:tmpl w:val="7D5A46E6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1B1D618D"/>
    <w:multiLevelType w:val="hybridMultilevel"/>
    <w:tmpl w:val="68027B34"/>
    <w:lvl w:ilvl="0" w:tplc="0809000F">
      <w:start w:val="1"/>
      <w:numFmt w:val="decimal"/>
      <w:lvlText w:val="%1."/>
      <w:lvlJc w:val="left"/>
      <w:pPr>
        <w:ind w:left="1218" w:hanging="360"/>
      </w:pPr>
    </w:lvl>
    <w:lvl w:ilvl="1" w:tplc="08090019" w:tentative="1">
      <w:start w:val="1"/>
      <w:numFmt w:val="lowerLetter"/>
      <w:lvlText w:val="%2."/>
      <w:lvlJc w:val="left"/>
      <w:pPr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1BF77F75"/>
    <w:multiLevelType w:val="hybridMultilevel"/>
    <w:tmpl w:val="18F84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26B6"/>
    <w:multiLevelType w:val="hybridMultilevel"/>
    <w:tmpl w:val="C0120548"/>
    <w:lvl w:ilvl="0" w:tplc="9A3A1EF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2A8E"/>
    <w:multiLevelType w:val="hybridMultilevel"/>
    <w:tmpl w:val="66927572"/>
    <w:lvl w:ilvl="0" w:tplc="9A3A1EF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7908"/>
    <w:multiLevelType w:val="hybridMultilevel"/>
    <w:tmpl w:val="7CEA806A"/>
    <w:lvl w:ilvl="0" w:tplc="8376C7D2">
      <w:start w:val="1"/>
      <w:numFmt w:val="lowerRoman"/>
      <w:lvlText w:val="(%1)"/>
      <w:lvlJc w:val="left"/>
      <w:pPr>
        <w:ind w:left="1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5CC37D3C"/>
    <w:multiLevelType w:val="multilevel"/>
    <w:tmpl w:val="C4A0AB36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pStyle w:val="Para-2ndleve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pStyle w:val="Para-3rdlevel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 w15:restartNumberingAfterBreak="0">
    <w:nsid w:val="6CCC1CBD"/>
    <w:multiLevelType w:val="hybridMultilevel"/>
    <w:tmpl w:val="612C6E2E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 w15:restartNumberingAfterBreak="0">
    <w:nsid w:val="6DEC3FF0"/>
    <w:multiLevelType w:val="hybridMultilevel"/>
    <w:tmpl w:val="2C38A996"/>
    <w:lvl w:ilvl="0" w:tplc="0809000F">
      <w:start w:val="1"/>
      <w:numFmt w:val="decimal"/>
      <w:pStyle w:val="AppendixHead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pStyle w:val="Appendix1stleve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0647D81"/>
    <w:multiLevelType w:val="hybridMultilevel"/>
    <w:tmpl w:val="11B83B54"/>
    <w:lvl w:ilvl="0" w:tplc="9A3A1EF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3134A"/>
    <w:multiLevelType w:val="hybridMultilevel"/>
    <w:tmpl w:val="0D2474EE"/>
    <w:lvl w:ilvl="0" w:tplc="1688E244">
      <w:start w:val="1"/>
      <w:numFmt w:val="lowerRoman"/>
      <w:lvlText w:val="(%1)"/>
      <w:lvlJc w:val="left"/>
      <w:pPr>
        <w:ind w:left="1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4" w15:restartNumberingAfterBreak="0">
    <w:nsid w:val="7EFE3D68"/>
    <w:multiLevelType w:val="hybridMultilevel"/>
    <w:tmpl w:val="1DA004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0"/>
  </w:num>
  <w:num w:numId="18">
    <w:abstractNumId w:val="9"/>
  </w:num>
  <w:num w:numId="19">
    <w:abstractNumId w:val="9"/>
  </w:num>
  <w:num w:numId="20">
    <w:abstractNumId w:val="9"/>
  </w:num>
  <w:num w:numId="21">
    <w:abstractNumId w:val="3"/>
  </w:num>
  <w:num w:numId="22">
    <w:abstractNumId w:val="9"/>
  </w:num>
  <w:num w:numId="23">
    <w:abstractNumId w:val="9"/>
  </w:num>
  <w:num w:numId="24">
    <w:abstractNumId w:val="14"/>
  </w:num>
  <w:num w:numId="25">
    <w:abstractNumId w:val="4"/>
  </w:num>
  <w:num w:numId="26">
    <w:abstractNumId w:val="5"/>
  </w:num>
  <w:num w:numId="27">
    <w:abstractNumId w:val="13"/>
  </w:num>
  <w:num w:numId="28">
    <w:abstractNumId w:val="0"/>
  </w:num>
  <w:num w:numId="29">
    <w:abstractNumId w:va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2D7"/>
    <w:rsid w:val="0000427E"/>
    <w:rsid w:val="000117FE"/>
    <w:rsid w:val="000211CA"/>
    <w:rsid w:val="00026B72"/>
    <w:rsid w:val="000423C2"/>
    <w:rsid w:val="00043C57"/>
    <w:rsid w:val="0005194B"/>
    <w:rsid w:val="00051AD4"/>
    <w:rsid w:val="00051C23"/>
    <w:rsid w:val="000538DA"/>
    <w:rsid w:val="00053D89"/>
    <w:rsid w:val="00057684"/>
    <w:rsid w:val="00060FF6"/>
    <w:rsid w:val="00064CD0"/>
    <w:rsid w:val="0007186F"/>
    <w:rsid w:val="00083403"/>
    <w:rsid w:val="00087091"/>
    <w:rsid w:val="00094CA4"/>
    <w:rsid w:val="000B0A78"/>
    <w:rsid w:val="000C458D"/>
    <w:rsid w:val="000D19C7"/>
    <w:rsid w:val="000E0AF4"/>
    <w:rsid w:val="00111513"/>
    <w:rsid w:val="00122707"/>
    <w:rsid w:val="0014107E"/>
    <w:rsid w:val="001469E7"/>
    <w:rsid w:val="00151969"/>
    <w:rsid w:val="001550D1"/>
    <w:rsid w:val="00165B16"/>
    <w:rsid w:val="001922DD"/>
    <w:rsid w:val="0019524E"/>
    <w:rsid w:val="001A1607"/>
    <w:rsid w:val="001A1DEF"/>
    <w:rsid w:val="001A4D1D"/>
    <w:rsid w:val="001B131E"/>
    <w:rsid w:val="001B25C0"/>
    <w:rsid w:val="001B4C49"/>
    <w:rsid w:val="001B7B27"/>
    <w:rsid w:val="001C167A"/>
    <w:rsid w:val="001D0C10"/>
    <w:rsid w:val="001F3578"/>
    <w:rsid w:val="001F3ECE"/>
    <w:rsid w:val="002031FC"/>
    <w:rsid w:val="002061E8"/>
    <w:rsid w:val="002071BE"/>
    <w:rsid w:val="00210BA8"/>
    <w:rsid w:val="0021650D"/>
    <w:rsid w:val="002266A1"/>
    <w:rsid w:val="002435A3"/>
    <w:rsid w:val="0025390A"/>
    <w:rsid w:val="00255312"/>
    <w:rsid w:val="00263219"/>
    <w:rsid w:val="00264D5E"/>
    <w:rsid w:val="00265951"/>
    <w:rsid w:val="002A141B"/>
    <w:rsid w:val="002A5AF1"/>
    <w:rsid w:val="002A635E"/>
    <w:rsid w:val="002D0CFA"/>
    <w:rsid w:val="002D3C1B"/>
    <w:rsid w:val="002D7129"/>
    <w:rsid w:val="002D732E"/>
    <w:rsid w:val="002E10AB"/>
    <w:rsid w:val="002E4C3B"/>
    <w:rsid w:val="002F2AA9"/>
    <w:rsid w:val="0030089B"/>
    <w:rsid w:val="0030322B"/>
    <w:rsid w:val="00307B68"/>
    <w:rsid w:val="00317452"/>
    <w:rsid w:val="003342ED"/>
    <w:rsid w:val="00351C06"/>
    <w:rsid w:val="003544D5"/>
    <w:rsid w:val="00361041"/>
    <w:rsid w:val="0036184D"/>
    <w:rsid w:val="00364A68"/>
    <w:rsid w:val="00367685"/>
    <w:rsid w:val="0037563C"/>
    <w:rsid w:val="00395402"/>
    <w:rsid w:val="003A4879"/>
    <w:rsid w:val="003B3830"/>
    <w:rsid w:val="003B6105"/>
    <w:rsid w:val="003C03D1"/>
    <w:rsid w:val="003C23A6"/>
    <w:rsid w:val="003D069B"/>
    <w:rsid w:val="003D473B"/>
    <w:rsid w:val="003D5F90"/>
    <w:rsid w:val="003D7AA2"/>
    <w:rsid w:val="003E6D59"/>
    <w:rsid w:val="003F332D"/>
    <w:rsid w:val="004010F0"/>
    <w:rsid w:val="00421732"/>
    <w:rsid w:val="00447F24"/>
    <w:rsid w:val="0045021E"/>
    <w:rsid w:val="00451F50"/>
    <w:rsid w:val="00452812"/>
    <w:rsid w:val="00456ED4"/>
    <w:rsid w:val="00462DE1"/>
    <w:rsid w:val="00485A4F"/>
    <w:rsid w:val="0049148D"/>
    <w:rsid w:val="004962FD"/>
    <w:rsid w:val="004A068F"/>
    <w:rsid w:val="004B0E8C"/>
    <w:rsid w:val="004B5BEE"/>
    <w:rsid w:val="004C3178"/>
    <w:rsid w:val="004D15FD"/>
    <w:rsid w:val="004E0AB0"/>
    <w:rsid w:val="004E3818"/>
    <w:rsid w:val="004E4A97"/>
    <w:rsid w:val="004E56AD"/>
    <w:rsid w:val="004F139B"/>
    <w:rsid w:val="00502625"/>
    <w:rsid w:val="00522371"/>
    <w:rsid w:val="005306CF"/>
    <w:rsid w:val="005363CB"/>
    <w:rsid w:val="00556CB3"/>
    <w:rsid w:val="0056317B"/>
    <w:rsid w:val="00570144"/>
    <w:rsid w:val="0057374D"/>
    <w:rsid w:val="005741D6"/>
    <w:rsid w:val="0057509D"/>
    <w:rsid w:val="0057702C"/>
    <w:rsid w:val="00584F2B"/>
    <w:rsid w:val="00593C0A"/>
    <w:rsid w:val="00594688"/>
    <w:rsid w:val="005A7A64"/>
    <w:rsid w:val="005B04FA"/>
    <w:rsid w:val="005B323D"/>
    <w:rsid w:val="005C5039"/>
    <w:rsid w:val="005D042C"/>
    <w:rsid w:val="005D53A7"/>
    <w:rsid w:val="005F3880"/>
    <w:rsid w:val="00603075"/>
    <w:rsid w:val="0060776A"/>
    <w:rsid w:val="006232B5"/>
    <w:rsid w:val="00626811"/>
    <w:rsid w:val="006364D9"/>
    <w:rsid w:val="006421EE"/>
    <w:rsid w:val="00642987"/>
    <w:rsid w:val="00652D82"/>
    <w:rsid w:val="00661193"/>
    <w:rsid w:val="006615F8"/>
    <w:rsid w:val="00674BFF"/>
    <w:rsid w:val="00676521"/>
    <w:rsid w:val="006A004D"/>
    <w:rsid w:val="006A77AD"/>
    <w:rsid w:val="006E1E0E"/>
    <w:rsid w:val="006F126F"/>
    <w:rsid w:val="006F24B9"/>
    <w:rsid w:val="007179DC"/>
    <w:rsid w:val="00721B99"/>
    <w:rsid w:val="00727E0F"/>
    <w:rsid w:val="00735BD8"/>
    <w:rsid w:val="00743095"/>
    <w:rsid w:val="00750B90"/>
    <w:rsid w:val="00756E36"/>
    <w:rsid w:val="00761EFC"/>
    <w:rsid w:val="007630A6"/>
    <w:rsid w:val="0076337E"/>
    <w:rsid w:val="00767057"/>
    <w:rsid w:val="007A1FD6"/>
    <w:rsid w:val="007B5290"/>
    <w:rsid w:val="007D42D7"/>
    <w:rsid w:val="007D7282"/>
    <w:rsid w:val="007E3D16"/>
    <w:rsid w:val="007F1C5B"/>
    <w:rsid w:val="00805F1B"/>
    <w:rsid w:val="00810F6C"/>
    <w:rsid w:val="0081140A"/>
    <w:rsid w:val="008119AB"/>
    <w:rsid w:val="008128B2"/>
    <w:rsid w:val="008370ED"/>
    <w:rsid w:val="0084796E"/>
    <w:rsid w:val="00857C1E"/>
    <w:rsid w:val="008678D0"/>
    <w:rsid w:val="008772C4"/>
    <w:rsid w:val="008823A2"/>
    <w:rsid w:val="008865BB"/>
    <w:rsid w:val="008B37B6"/>
    <w:rsid w:val="008B46E8"/>
    <w:rsid w:val="008B4F87"/>
    <w:rsid w:val="008C588C"/>
    <w:rsid w:val="008C674F"/>
    <w:rsid w:val="008D0891"/>
    <w:rsid w:val="008D2894"/>
    <w:rsid w:val="008E7C3B"/>
    <w:rsid w:val="009012AF"/>
    <w:rsid w:val="00916224"/>
    <w:rsid w:val="00933E12"/>
    <w:rsid w:val="00933FB9"/>
    <w:rsid w:val="009425C2"/>
    <w:rsid w:val="0094591F"/>
    <w:rsid w:val="00945ECE"/>
    <w:rsid w:val="009471F1"/>
    <w:rsid w:val="0096026B"/>
    <w:rsid w:val="00964C0F"/>
    <w:rsid w:val="0098785A"/>
    <w:rsid w:val="00993C33"/>
    <w:rsid w:val="009A6867"/>
    <w:rsid w:val="009B5C17"/>
    <w:rsid w:val="009C1A4D"/>
    <w:rsid w:val="009C3017"/>
    <w:rsid w:val="009C32E2"/>
    <w:rsid w:val="009C37AB"/>
    <w:rsid w:val="009C4B1D"/>
    <w:rsid w:val="009C577E"/>
    <w:rsid w:val="009D05CA"/>
    <w:rsid w:val="009E1978"/>
    <w:rsid w:val="009E1ACA"/>
    <w:rsid w:val="009F7477"/>
    <w:rsid w:val="00A11159"/>
    <w:rsid w:val="00A2064D"/>
    <w:rsid w:val="00A23D94"/>
    <w:rsid w:val="00A30419"/>
    <w:rsid w:val="00A30BAA"/>
    <w:rsid w:val="00A4292F"/>
    <w:rsid w:val="00A569B6"/>
    <w:rsid w:val="00A64103"/>
    <w:rsid w:val="00A83FA9"/>
    <w:rsid w:val="00A87BD1"/>
    <w:rsid w:val="00A87BE0"/>
    <w:rsid w:val="00A96A25"/>
    <w:rsid w:val="00AB4DE8"/>
    <w:rsid w:val="00AB50E9"/>
    <w:rsid w:val="00AC1E78"/>
    <w:rsid w:val="00AC3999"/>
    <w:rsid w:val="00AE7F85"/>
    <w:rsid w:val="00AF049A"/>
    <w:rsid w:val="00AF1979"/>
    <w:rsid w:val="00AF3D7D"/>
    <w:rsid w:val="00B11A0E"/>
    <w:rsid w:val="00B31A6F"/>
    <w:rsid w:val="00B337C7"/>
    <w:rsid w:val="00B453B7"/>
    <w:rsid w:val="00B52F1A"/>
    <w:rsid w:val="00B579A9"/>
    <w:rsid w:val="00B57AAC"/>
    <w:rsid w:val="00B613A1"/>
    <w:rsid w:val="00B6365D"/>
    <w:rsid w:val="00B667C5"/>
    <w:rsid w:val="00B7503B"/>
    <w:rsid w:val="00B83732"/>
    <w:rsid w:val="00B85EAD"/>
    <w:rsid w:val="00B8622A"/>
    <w:rsid w:val="00BB19A4"/>
    <w:rsid w:val="00BB39AB"/>
    <w:rsid w:val="00BB39CA"/>
    <w:rsid w:val="00BB3B0A"/>
    <w:rsid w:val="00BB61EF"/>
    <w:rsid w:val="00BC41B2"/>
    <w:rsid w:val="00BC5494"/>
    <w:rsid w:val="00BD60BB"/>
    <w:rsid w:val="00BE2CFA"/>
    <w:rsid w:val="00BE47EB"/>
    <w:rsid w:val="00BE50FF"/>
    <w:rsid w:val="00BF0CA0"/>
    <w:rsid w:val="00BF22CE"/>
    <w:rsid w:val="00BF5503"/>
    <w:rsid w:val="00C0757B"/>
    <w:rsid w:val="00C11A83"/>
    <w:rsid w:val="00C1510E"/>
    <w:rsid w:val="00C3260F"/>
    <w:rsid w:val="00C3505D"/>
    <w:rsid w:val="00C440F6"/>
    <w:rsid w:val="00C453A9"/>
    <w:rsid w:val="00C56E30"/>
    <w:rsid w:val="00C571FC"/>
    <w:rsid w:val="00C6665B"/>
    <w:rsid w:val="00C67563"/>
    <w:rsid w:val="00C73C79"/>
    <w:rsid w:val="00C74C86"/>
    <w:rsid w:val="00C75EE8"/>
    <w:rsid w:val="00C9002C"/>
    <w:rsid w:val="00CA2F9C"/>
    <w:rsid w:val="00CA7384"/>
    <w:rsid w:val="00CB4A1B"/>
    <w:rsid w:val="00CB6038"/>
    <w:rsid w:val="00CC78EA"/>
    <w:rsid w:val="00CD3DC1"/>
    <w:rsid w:val="00CD5375"/>
    <w:rsid w:val="00CE12C9"/>
    <w:rsid w:val="00CE1CCA"/>
    <w:rsid w:val="00CF393E"/>
    <w:rsid w:val="00CF6701"/>
    <w:rsid w:val="00D04BC1"/>
    <w:rsid w:val="00D07ABB"/>
    <w:rsid w:val="00D10DCD"/>
    <w:rsid w:val="00D1386A"/>
    <w:rsid w:val="00D15670"/>
    <w:rsid w:val="00D15DEA"/>
    <w:rsid w:val="00D17FE1"/>
    <w:rsid w:val="00D22E81"/>
    <w:rsid w:val="00D248AC"/>
    <w:rsid w:val="00D25FC4"/>
    <w:rsid w:val="00D52737"/>
    <w:rsid w:val="00D63E23"/>
    <w:rsid w:val="00D659A2"/>
    <w:rsid w:val="00D745D9"/>
    <w:rsid w:val="00D839A1"/>
    <w:rsid w:val="00D86FE5"/>
    <w:rsid w:val="00D90A9E"/>
    <w:rsid w:val="00D937DE"/>
    <w:rsid w:val="00DA09EA"/>
    <w:rsid w:val="00DA1E6A"/>
    <w:rsid w:val="00DC1D4E"/>
    <w:rsid w:val="00DD597F"/>
    <w:rsid w:val="00E02ABB"/>
    <w:rsid w:val="00E2476F"/>
    <w:rsid w:val="00E35124"/>
    <w:rsid w:val="00E371B2"/>
    <w:rsid w:val="00E42B9C"/>
    <w:rsid w:val="00E43C21"/>
    <w:rsid w:val="00E43DE6"/>
    <w:rsid w:val="00E46A81"/>
    <w:rsid w:val="00E473BC"/>
    <w:rsid w:val="00E536DF"/>
    <w:rsid w:val="00E652CF"/>
    <w:rsid w:val="00E7313A"/>
    <w:rsid w:val="00E74340"/>
    <w:rsid w:val="00E76B3A"/>
    <w:rsid w:val="00E850EE"/>
    <w:rsid w:val="00E862E0"/>
    <w:rsid w:val="00EB6DB2"/>
    <w:rsid w:val="00ED7118"/>
    <w:rsid w:val="00EE2802"/>
    <w:rsid w:val="00EF32D6"/>
    <w:rsid w:val="00EF541E"/>
    <w:rsid w:val="00EF62B5"/>
    <w:rsid w:val="00F008F2"/>
    <w:rsid w:val="00F00D22"/>
    <w:rsid w:val="00F12414"/>
    <w:rsid w:val="00F16CF8"/>
    <w:rsid w:val="00F34A19"/>
    <w:rsid w:val="00F448A8"/>
    <w:rsid w:val="00F44FDB"/>
    <w:rsid w:val="00F457C1"/>
    <w:rsid w:val="00F46721"/>
    <w:rsid w:val="00F54500"/>
    <w:rsid w:val="00F55DF0"/>
    <w:rsid w:val="00F645FA"/>
    <w:rsid w:val="00F758AE"/>
    <w:rsid w:val="00F85441"/>
    <w:rsid w:val="00F91767"/>
    <w:rsid w:val="00F96155"/>
    <w:rsid w:val="00F97FC4"/>
    <w:rsid w:val="00FA1058"/>
    <w:rsid w:val="00FA2918"/>
    <w:rsid w:val="00FB0333"/>
    <w:rsid w:val="00FD370E"/>
    <w:rsid w:val="00FE43CA"/>
    <w:rsid w:val="00FE7BB8"/>
    <w:rsid w:val="00FF36A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9F96D"/>
  <w14:defaultImageDpi w14:val="0"/>
  <w15:docId w15:val="{57FDA157-3E67-4CE8-BE38-3A7FC2BE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-1stLevel">
    <w:name w:val="Para - 1st Level"/>
    <w:basedOn w:val="Normal"/>
    <w:uiPriority w:val="99"/>
    <w:pPr>
      <w:numPr>
        <w:ilvl w:val="1"/>
        <w:numId w:val="1"/>
      </w:numPr>
      <w:spacing w:after="240"/>
      <w:ind w:right="176"/>
    </w:pPr>
  </w:style>
  <w:style w:type="paragraph" w:customStyle="1" w:styleId="Paratextwithoutnumbering">
    <w:name w:val="Para text without numbering"/>
    <w:basedOn w:val="Normal"/>
    <w:uiPriority w:val="99"/>
    <w:pPr>
      <w:spacing w:after="240"/>
      <w:ind w:left="709" w:right="176"/>
    </w:pPr>
  </w:style>
  <w:style w:type="paragraph" w:customStyle="1" w:styleId="titleandward">
    <w:name w:val="title and ward"/>
    <w:basedOn w:val="Normal"/>
    <w:uiPriority w:val="99"/>
    <w:pPr>
      <w:spacing w:before="120" w:after="120"/>
    </w:pPr>
  </w:style>
  <w:style w:type="paragraph" w:customStyle="1" w:styleId="Meeting">
    <w:name w:val="Meeting"/>
    <w:aliases w:val="date &amp; author"/>
    <w:basedOn w:val="Paratextwithoutnumbering"/>
    <w:uiPriority w:val="99"/>
  </w:style>
  <w:style w:type="paragraph" w:customStyle="1" w:styleId="ReportHeading">
    <w:name w:val="Report Heading"/>
    <w:basedOn w:val="Normal"/>
    <w:next w:val="Para-1stLevel"/>
    <w:uiPriority w:val="99"/>
    <w:pPr>
      <w:numPr>
        <w:numId w:val="1"/>
      </w:numPr>
      <w:spacing w:after="240"/>
      <w:ind w:right="170"/>
    </w:pPr>
    <w:rPr>
      <w:b/>
      <w:bCs/>
      <w:caps/>
    </w:rPr>
  </w:style>
  <w:style w:type="paragraph" w:customStyle="1" w:styleId="ReportTitle">
    <w:name w:val="Report Title"/>
    <w:basedOn w:val="titleandward"/>
    <w:uiPriority w:val="99"/>
    <w:rPr>
      <w:b/>
      <w:bCs/>
    </w:rPr>
  </w:style>
  <w:style w:type="paragraph" w:customStyle="1" w:styleId="Para-2ndlevel">
    <w:name w:val="Para - 2nd level"/>
    <w:basedOn w:val="Para-1stLevel"/>
    <w:uiPriority w:val="99"/>
    <w:pPr>
      <w:numPr>
        <w:ilvl w:val="2"/>
      </w:numPr>
    </w:pPr>
  </w:style>
  <w:style w:type="paragraph" w:customStyle="1" w:styleId="Para-3rdlevel">
    <w:name w:val="Para - 3rd level"/>
    <w:basedOn w:val="Para-2ndlevel"/>
    <w:autoRedefine/>
    <w:uiPriority w:val="99"/>
    <w:pPr>
      <w:numPr>
        <w:ilvl w:val="3"/>
      </w:numPr>
      <w:ind w:right="0"/>
    </w:pPr>
  </w:style>
  <w:style w:type="paragraph" w:customStyle="1" w:styleId="reference">
    <w:name w:val="reference"/>
    <w:basedOn w:val="Para-1stLevel"/>
    <w:uiPriority w:val="99"/>
    <w:pPr>
      <w:numPr>
        <w:ilvl w:val="0"/>
        <w:numId w:val="0"/>
      </w:numPr>
      <w:tabs>
        <w:tab w:val="num" w:pos="851"/>
      </w:tabs>
      <w:ind w:left="716" w:hanging="716"/>
    </w:pPr>
    <w:rPr>
      <w:sz w:val="16"/>
      <w:szCs w:val="16"/>
    </w:rPr>
  </w:style>
  <w:style w:type="paragraph" w:customStyle="1" w:styleId="AppendixHeading">
    <w:name w:val="Appendix Heading"/>
    <w:basedOn w:val="ReportHeading"/>
    <w:next w:val="Appendix1stlevel"/>
    <w:uiPriority w:val="99"/>
    <w:pPr>
      <w:numPr>
        <w:numId w:val="6"/>
      </w:numPr>
      <w:ind w:hanging="716"/>
    </w:pPr>
  </w:style>
  <w:style w:type="paragraph" w:customStyle="1" w:styleId="Appendix1stlevel">
    <w:name w:val="Appendix 1st level"/>
    <w:basedOn w:val="Para-1stLevel"/>
    <w:uiPriority w:val="99"/>
    <w:pPr>
      <w:numPr>
        <w:numId w:val="6"/>
      </w:numPr>
      <w:ind w:hanging="716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A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0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CD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39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540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5402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B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_hayward@bathne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_dixon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7AB2-AF4F-45D5-88A2-B065090C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Executive Covering Report</vt:lpstr>
    </vt:vector>
  </TitlesOfParts>
  <Company>Bath &amp; North East Somerset Council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Executive Covering Report</dc:title>
  <dc:creator>Jo Morrison</dc:creator>
  <cp:lastModifiedBy>Mark Hayward</cp:lastModifiedBy>
  <cp:revision>3</cp:revision>
  <cp:lastPrinted>2020-02-03T10:48:00Z</cp:lastPrinted>
  <dcterms:created xsi:type="dcterms:W3CDTF">2021-12-09T15:32:00Z</dcterms:created>
  <dcterms:modified xsi:type="dcterms:W3CDTF">2021-12-10T16:30:00Z</dcterms:modified>
</cp:coreProperties>
</file>