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7144E7" w:rsidP="00D51631">
            <w:pPr>
              <w:spacing w:before="120"/>
              <w:rPr>
                <w:sz w:val="24"/>
                <w:szCs w:val="24"/>
              </w:rPr>
            </w:pPr>
            <w:bookmarkStart w:id="0" w:name="_GoBack"/>
            <w:r>
              <w:rPr>
                <w:sz w:val="24"/>
                <w:szCs w:val="24"/>
              </w:rPr>
              <w:t>Mobile Library Service – reduction</w:t>
            </w:r>
            <w:bookmarkEnd w:id="0"/>
            <w:r>
              <w:rPr>
                <w:sz w:val="24"/>
                <w:szCs w:val="24"/>
              </w:rPr>
              <w:t xml:space="preserve"> from 2 vehicles to one: new nine day timetable.</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2774E7" w:rsidP="002B3B5C">
            <w:pPr>
              <w:spacing w:before="240"/>
              <w:rPr>
                <w:sz w:val="24"/>
                <w:szCs w:val="24"/>
              </w:rPr>
            </w:pPr>
            <w:r>
              <w:rPr>
                <w:sz w:val="24"/>
                <w:szCs w:val="24"/>
              </w:rPr>
              <w:t>Place Directorate: Library Service</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C63343" w:rsidP="002B3B5C">
            <w:pPr>
              <w:spacing w:before="240"/>
              <w:rPr>
                <w:sz w:val="24"/>
                <w:szCs w:val="24"/>
              </w:rPr>
            </w:pPr>
            <w:r>
              <w:rPr>
                <w:sz w:val="24"/>
                <w:szCs w:val="24"/>
              </w:rPr>
              <w:t>J. Brassington</w:t>
            </w:r>
            <w:r w:rsidR="004C1EB6">
              <w:rPr>
                <w:sz w:val="24"/>
                <w:szCs w:val="24"/>
              </w:rPr>
              <w:t>, J. Burton</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D51631" w:rsidP="002B3B5C">
            <w:pPr>
              <w:rPr>
                <w:sz w:val="24"/>
                <w:szCs w:val="24"/>
              </w:rPr>
            </w:pPr>
            <w:r>
              <w:rPr>
                <w:sz w:val="24"/>
                <w:szCs w:val="24"/>
              </w:rPr>
              <w:t>February 2013</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5236"/>
        <w:gridCol w:w="26"/>
        <w:gridCol w:w="650"/>
        <w:gridCol w:w="3437"/>
        <w:gridCol w:w="4082"/>
        <w:gridCol w:w="32"/>
      </w:tblGrid>
      <w:tr w:rsidR="00744837" w:rsidTr="00D64ED8">
        <w:trPr>
          <w:gridAfter w:val="1"/>
          <w:wAfter w:w="32" w:type="dxa"/>
        </w:trPr>
        <w:tc>
          <w:tcPr>
            <w:tcW w:w="711" w:type="dxa"/>
            <w:gridSpan w:val="2"/>
            <w:shd w:val="clear" w:color="auto" w:fill="D9D9D9"/>
            <w:vAlign w:val="center"/>
          </w:tcPr>
          <w:p w:rsidR="00744837" w:rsidRDefault="00744837" w:rsidP="00744837">
            <w:r w:rsidRPr="00744837">
              <w:rPr>
                <w:b/>
                <w:sz w:val="24"/>
                <w:szCs w:val="24"/>
              </w:rPr>
              <w:t>1.</w:t>
            </w:r>
            <w:r>
              <w:t xml:space="preserve"> </w:t>
            </w:r>
          </w:p>
        </w:tc>
        <w:tc>
          <w:tcPr>
            <w:tcW w:w="13431"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rsidTr="00D64ED8">
        <w:trPr>
          <w:gridAfter w:val="1"/>
          <w:wAfter w:w="32" w:type="dxa"/>
          <w:trHeight w:val="407"/>
        </w:trPr>
        <w:tc>
          <w:tcPr>
            <w:tcW w:w="711" w:type="dxa"/>
            <w:gridSpan w:val="2"/>
          </w:tcPr>
          <w:p w:rsidR="002B3B5C" w:rsidRDefault="002B3B5C"/>
        </w:tc>
        <w:tc>
          <w:tcPr>
            <w:tcW w:w="5262" w:type="dxa"/>
            <w:gridSpan w:val="2"/>
          </w:tcPr>
          <w:p w:rsidR="002B3B5C" w:rsidRDefault="002B3B5C" w:rsidP="002B3B5C">
            <w:pPr>
              <w:rPr>
                <w:b/>
                <w:sz w:val="24"/>
                <w:szCs w:val="24"/>
              </w:rPr>
            </w:pPr>
            <w:r>
              <w:rPr>
                <w:b/>
                <w:sz w:val="24"/>
                <w:szCs w:val="24"/>
              </w:rPr>
              <w:t>Key questions</w:t>
            </w:r>
          </w:p>
        </w:tc>
        <w:tc>
          <w:tcPr>
            <w:tcW w:w="8169" w:type="dxa"/>
            <w:gridSpan w:val="3"/>
            <w:vAlign w:val="center"/>
          </w:tcPr>
          <w:p w:rsidR="002B3B5C" w:rsidRDefault="002B3B5C">
            <w:pPr>
              <w:rPr>
                <w:b/>
                <w:sz w:val="24"/>
                <w:szCs w:val="24"/>
              </w:rPr>
            </w:pPr>
            <w:r>
              <w:rPr>
                <w:b/>
                <w:sz w:val="24"/>
                <w:szCs w:val="24"/>
              </w:rPr>
              <w:t>Answers / Notes</w:t>
            </w:r>
          </w:p>
        </w:tc>
      </w:tr>
      <w:tr w:rsidR="002B3B5C" w:rsidTr="00D64ED8">
        <w:trPr>
          <w:gridAfter w:val="1"/>
          <w:wAfter w:w="32" w:type="dxa"/>
        </w:trPr>
        <w:tc>
          <w:tcPr>
            <w:tcW w:w="711" w:type="dxa"/>
            <w:gridSpan w:val="2"/>
          </w:tcPr>
          <w:p w:rsidR="002B3B5C" w:rsidRPr="002B3B5C" w:rsidRDefault="002B3B5C" w:rsidP="002B3B5C">
            <w:pPr>
              <w:rPr>
                <w:b/>
                <w:sz w:val="24"/>
                <w:szCs w:val="24"/>
              </w:rPr>
            </w:pPr>
            <w:r w:rsidRPr="002B3B5C">
              <w:rPr>
                <w:b/>
                <w:sz w:val="24"/>
                <w:szCs w:val="24"/>
              </w:rPr>
              <w:t>1.1</w:t>
            </w:r>
          </w:p>
        </w:tc>
        <w:tc>
          <w:tcPr>
            <w:tcW w:w="5262" w:type="dxa"/>
            <w:gridSpan w:val="2"/>
          </w:tcPr>
          <w:p w:rsidR="002B3B5C" w:rsidRDefault="002B3B5C" w:rsidP="002B3B5C">
            <w:pPr>
              <w:rPr>
                <w:sz w:val="24"/>
                <w:szCs w:val="24"/>
              </w:rPr>
            </w:pPr>
            <w:r>
              <w:rPr>
                <w:sz w:val="24"/>
                <w:szCs w:val="24"/>
              </w:rPr>
              <w:t>Briefly describe purpose of the service/policy including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69" w:type="dxa"/>
            <w:gridSpan w:val="3"/>
          </w:tcPr>
          <w:p w:rsidR="00D51631" w:rsidRPr="00D51631" w:rsidRDefault="00C63343" w:rsidP="00D51631">
            <w:pPr>
              <w:autoSpaceDE w:val="0"/>
              <w:autoSpaceDN w:val="0"/>
              <w:adjustRightInd w:val="0"/>
              <w:rPr>
                <w:rFonts w:cs="Arial"/>
                <w:bCs/>
                <w:lang w:eastAsia="en-GB"/>
              </w:rPr>
            </w:pPr>
            <w:r>
              <w:t>This an equality analysis on</w:t>
            </w:r>
            <w:r w:rsidR="0065257C">
              <w:t xml:space="preserve"> </w:t>
            </w:r>
            <w:r w:rsidR="00D51631">
              <w:t xml:space="preserve">reducing </w:t>
            </w:r>
            <w:r w:rsidR="00CE4875">
              <w:t>the mobile service within Bath and North East Somerset Council</w:t>
            </w:r>
            <w:r w:rsidR="0065257C">
              <w:t xml:space="preserve">, </w:t>
            </w:r>
            <w:r w:rsidR="00D51631">
              <w:t xml:space="preserve">to one vehicle </w:t>
            </w:r>
            <w:r w:rsidR="0065257C">
              <w:t xml:space="preserve">as detailed in the </w:t>
            </w:r>
            <w:r w:rsidR="00D51631">
              <w:t>‘</w:t>
            </w:r>
            <w:r w:rsidR="00D51631" w:rsidRPr="00D51631">
              <w:rPr>
                <w:rFonts w:cs="Arial"/>
                <w:bCs/>
                <w:lang w:eastAsia="en-GB"/>
              </w:rPr>
              <w:t>Libraries and Local Communities: Bath &amp; North East Somerset Plan</w:t>
            </w:r>
            <w:r w:rsidR="00D51631">
              <w:rPr>
                <w:rFonts w:cs="Arial"/>
                <w:bCs/>
                <w:lang w:eastAsia="en-GB"/>
              </w:rPr>
              <w:t xml:space="preserve"> </w:t>
            </w:r>
            <w:r w:rsidR="00D51631" w:rsidRPr="00D51631">
              <w:rPr>
                <w:rFonts w:cs="Arial"/>
                <w:bCs/>
                <w:lang w:eastAsia="en-GB"/>
              </w:rPr>
              <w:t>for Public Library Services</w:t>
            </w:r>
          </w:p>
          <w:p w:rsidR="002B3B5C" w:rsidRPr="00D51631" w:rsidRDefault="00D51631" w:rsidP="00D51631">
            <w:r w:rsidRPr="00D51631">
              <w:rPr>
                <w:rFonts w:cs="Arial"/>
                <w:bCs/>
                <w:lang w:eastAsia="en-GB"/>
              </w:rPr>
              <w:t>2012-2015</w:t>
            </w:r>
            <w:r w:rsidR="007144E7">
              <w:rPr>
                <w:rFonts w:cs="Arial"/>
                <w:bCs/>
                <w:lang w:eastAsia="en-GB"/>
              </w:rPr>
              <w:t>’ which was approved by Cabinet April 2012.</w:t>
            </w:r>
          </w:p>
          <w:p w:rsidR="00C63343" w:rsidRDefault="00C63343" w:rsidP="002B3B5C"/>
          <w:p w:rsidR="00C63343" w:rsidRDefault="00C63343" w:rsidP="002B3B5C">
            <w:r>
              <w:t xml:space="preserve">The two </w:t>
            </w:r>
            <w:smartTag w:uri="urn:schemas-microsoft-com:office:smarttags" w:element="City">
              <w:smartTag w:uri="urn:schemas-microsoft-com:office:smarttags" w:element="place">
                <w:r>
                  <w:t>Bath</w:t>
                </w:r>
              </w:smartTag>
            </w:smartTag>
            <w:r>
              <w:t xml:space="preserve"> and North East Somerset mobile libraries cover all the accessible villages in </w:t>
            </w:r>
            <w:smartTag w:uri="urn:schemas-microsoft-com:office:smarttags" w:element="City">
              <w:smartTag w:uri="urn:schemas-microsoft-com:office:smarttags" w:element="place">
                <w:r>
                  <w:t>Bath</w:t>
                </w:r>
              </w:smartTag>
            </w:smartTag>
            <w:r>
              <w:t xml:space="preserve"> and North East Somerset and the urban fringes of </w:t>
            </w:r>
            <w:smartTag w:uri="urn:schemas-microsoft-com:office:smarttags" w:element="City">
              <w:smartTag w:uri="urn:schemas-microsoft-com:office:smarttags" w:element="place">
                <w:r>
                  <w:t>Bath</w:t>
                </w:r>
              </w:smartTag>
            </w:smartTag>
            <w:r>
              <w:t xml:space="preserve">.  Together the mobiles have </w:t>
            </w:r>
            <w:r w:rsidRPr="008468D6">
              <w:t xml:space="preserve">2032 </w:t>
            </w:r>
            <w:r>
              <w:t xml:space="preserve">active borrowers, Both mobiles are nearing the end of their working life </w:t>
            </w:r>
            <w:r w:rsidR="000C7AD2">
              <w:t xml:space="preserve">.  </w:t>
            </w:r>
            <w:r w:rsidR="000C7AD2" w:rsidRPr="00204772">
              <w:rPr>
                <w:color w:val="FF0000"/>
              </w:rPr>
              <w:t>Appendix 1</w:t>
            </w:r>
            <w:r w:rsidR="000C7AD2">
              <w:t xml:space="preserve"> is the </w:t>
            </w:r>
            <w:r w:rsidR="00D51631">
              <w:t xml:space="preserve">current </w:t>
            </w:r>
            <w:r w:rsidR="000C7AD2">
              <w:t>timetable for both libraries, listing stops and duration of visits.</w:t>
            </w:r>
            <w:r w:rsidR="00D51631">
              <w:t xml:space="preserve"> </w:t>
            </w:r>
            <w:r w:rsidR="00D51631" w:rsidRPr="00D51631">
              <w:rPr>
                <w:color w:val="FF0000"/>
              </w:rPr>
              <w:t>Appendix 2</w:t>
            </w:r>
            <w:r w:rsidR="00D51631">
              <w:t xml:space="preserve"> is the new timetable for one vehicle</w:t>
            </w:r>
          </w:p>
          <w:p w:rsidR="00C63343" w:rsidRDefault="00C63343" w:rsidP="002B3B5C"/>
          <w:p w:rsidR="00C63343" w:rsidRDefault="00C63343" w:rsidP="000C7AD2">
            <w:r>
              <w:t xml:space="preserve">The mobiles currently visit areas that are at least </w:t>
            </w:r>
            <w:r w:rsidR="000C7AD2">
              <w:t>one mile  from a static library. T</w:t>
            </w:r>
            <w:r>
              <w:t xml:space="preserve">heir key users are people with no transport, or who find it difficult to travel, and young families with children.  </w:t>
            </w:r>
          </w:p>
        </w:tc>
      </w:tr>
      <w:tr w:rsidR="002B3B5C" w:rsidTr="00D64ED8">
        <w:trPr>
          <w:gridAfter w:val="1"/>
          <w:wAfter w:w="32" w:type="dxa"/>
        </w:trPr>
        <w:tc>
          <w:tcPr>
            <w:tcW w:w="711" w:type="dxa"/>
            <w:gridSpan w:val="2"/>
          </w:tcPr>
          <w:p w:rsidR="002B3B5C" w:rsidRPr="002B3B5C" w:rsidRDefault="002B3B5C">
            <w:pPr>
              <w:rPr>
                <w:b/>
                <w:sz w:val="24"/>
                <w:szCs w:val="24"/>
              </w:rPr>
            </w:pPr>
            <w:r w:rsidRPr="002B3B5C">
              <w:rPr>
                <w:b/>
                <w:sz w:val="24"/>
                <w:szCs w:val="24"/>
              </w:rPr>
              <w:t>1.2</w:t>
            </w:r>
          </w:p>
        </w:tc>
        <w:tc>
          <w:tcPr>
            <w:tcW w:w="5262"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w:t>
            </w:r>
            <w:r w:rsidRPr="00F93043">
              <w:rPr>
                <w:sz w:val="24"/>
                <w:szCs w:val="24"/>
              </w:rPr>
              <w:lastRenderedPageBreak/>
              <w:t>there?</w:t>
            </w:r>
          </w:p>
        </w:tc>
        <w:tc>
          <w:tcPr>
            <w:tcW w:w="8169" w:type="dxa"/>
            <w:gridSpan w:val="3"/>
          </w:tcPr>
          <w:p w:rsidR="000C7AD2" w:rsidRDefault="00C63343">
            <w:r>
              <w:lastRenderedPageBreak/>
              <w:t>A mobile library service is part of the overall library coverage within a local authority.  The 1964 Public Library Act calls for a “</w:t>
            </w:r>
            <w:r w:rsidRPr="00C63343">
              <w:t>comprehensive and efficient library service for all persons desiring to make use thereof</w:t>
            </w:r>
            <w:r>
              <w:t>”</w:t>
            </w:r>
            <w:r w:rsidR="0065257C">
              <w:t xml:space="preserve">.  The proposal to </w:t>
            </w:r>
            <w:r w:rsidR="00D51631">
              <w:t xml:space="preserve">reduce the service to one vehicle </w:t>
            </w:r>
            <w:r w:rsidR="0065257C">
              <w:t xml:space="preserve"> is </w:t>
            </w:r>
            <w:r w:rsidR="00D51631">
              <w:t xml:space="preserve">part of the solution to find the </w:t>
            </w:r>
            <w:r w:rsidR="0065257C">
              <w:t>required £</w:t>
            </w:r>
            <w:r w:rsidR="00F2703E">
              <w:t>245</w:t>
            </w:r>
            <w:r w:rsidR="0065257C">
              <w:t xml:space="preserve">,000 budget savings for </w:t>
            </w:r>
            <w:r w:rsidR="00D51631">
              <w:t>2013/14</w:t>
            </w:r>
            <w:r w:rsidR="0065257C">
              <w:t xml:space="preserve">  </w:t>
            </w:r>
          </w:p>
          <w:p w:rsidR="000C7AD2" w:rsidRDefault="00C3370E">
            <w:r>
              <w:t xml:space="preserve">   </w:t>
            </w:r>
          </w:p>
        </w:tc>
      </w:tr>
      <w:tr w:rsidR="002B3B5C" w:rsidTr="00D64ED8">
        <w:trPr>
          <w:gridAfter w:val="1"/>
          <w:wAfter w:w="32" w:type="dxa"/>
        </w:trPr>
        <w:tc>
          <w:tcPr>
            <w:tcW w:w="711"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lastRenderedPageBreak/>
              <w:t>1.3</w:t>
            </w:r>
          </w:p>
        </w:tc>
        <w:tc>
          <w:tcPr>
            <w:tcW w:w="5262"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169" w:type="dxa"/>
            <w:gridSpan w:val="3"/>
          </w:tcPr>
          <w:p w:rsidR="002B3B5C" w:rsidRPr="00CF6171" w:rsidRDefault="00BE7DB2" w:rsidP="007144E7">
            <w:pPr>
              <w:spacing w:before="40" w:after="40"/>
              <w:rPr>
                <w:bCs/>
              </w:rPr>
            </w:pPr>
            <w:r w:rsidRPr="0021188C">
              <w:rPr>
                <w:bCs/>
              </w:rPr>
              <w:t xml:space="preserve">No,  Feed back is that mitigating actions  are positive.  The list of mitigating actions can be found at </w:t>
            </w:r>
            <w:r>
              <w:rPr>
                <w:bCs/>
              </w:rPr>
              <w:t xml:space="preserve"> </w:t>
            </w:r>
            <w:r w:rsidRPr="0021188C">
              <w:rPr>
                <w:bCs/>
                <w:color w:val="FF0000"/>
              </w:rPr>
              <w:t xml:space="preserve">Appendix </w:t>
            </w:r>
            <w:r w:rsidR="007144E7">
              <w:rPr>
                <w:bCs/>
                <w:color w:val="FF0000"/>
              </w:rPr>
              <w:t>3</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rsidTr="00D64ED8">
        <w:trPr>
          <w:gridAfter w:val="1"/>
          <w:wAfter w:w="32" w:type="dxa"/>
        </w:trPr>
        <w:tc>
          <w:tcPr>
            <w:tcW w:w="711" w:type="dxa"/>
            <w:gridSpan w:val="2"/>
          </w:tcPr>
          <w:p w:rsidR="002B3B5C" w:rsidRDefault="002B3B5C">
            <w:pPr>
              <w:rPr>
                <w:sz w:val="24"/>
                <w:szCs w:val="24"/>
              </w:rPr>
            </w:pPr>
          </w:p>
        </w:tc>
        <w:tc>
          <w:tcPr>
            <w:tcW w:w="5912"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19"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rsidTr="00D64ED8">
        <w:trPr>
          <w:gridAfter w:val="1"/>
          <w:wAfter w:w="32" w:type="dxa"/>
        </w:trPr>
        <w:tc>
          <w:tcPr>
            <w:tcW w:w="711" w:type="dxa"/>
            <w:gridSpan w:val="2"/>
          </w:tcPr>
          <w:p w:rsidR="002B3B5C" w:rsidRPr="002B3B5C" w:rsidRDefault="002B3B5C">
            <w:pPr>
              <w:rPr>
                <w:b/>
                <w:sz w:val="24"/>
                <w:szCs w:val="24"/>
              </w:rPr>
            </w:pPr>
            <w:r w:rsidRPr="002B3B5C">
              <w:rPr>
                <w:b/>
                <w:sz w:val="24"/>
                <w:szCs w:val="24"/>
              </w:rPr>
              <w:t>2.1</w:t>
            </w:r>
          </w:p>
        </w:tc>
        <w:tc>
          <w:tcPr>
            <w:tcW w:w="5912" w:type="dxa"/>
            <w:gridSpan w:val="3"/>
          </w:tcPr>
          <w:p w:rsidR="002B3B5C" w:rsidRPr="00F93043" w:rsidRDefault="002B3B5C">
            <w:pPr>
              <w:rPr>
                <w:sz w:val="24"/>
                <w:szCs w:val="24"/>
              </w:rPr>
            </w:pPr>
            <w:r>
              <w:rPr>
                <w:sz w:val="24"/>
                <w:szCs w:val="24"/>
              </w:rPr>
              <w:t xml:space="preserve">What is the equalities profile of the team delivering the service/policy? </w:t>
            </w:r>
          </w:p>
        </w:tc>
        <w:tc>
          <w:tcPr>
            <w:tcW w:w="7519" w:type="dxa"/>
            <w:gridSpan w:val="2"/>
            <w:shd w:val="clear" w:color="auto" w:fill="auto"/>
          </w:tcPr>
          <w:p w:rsidR="002B3B5C" w:rsidRDefault="00CF6171">
            <w:r>
              <w:t>Staff establishment lists</w:t>
            </w:r>
            <w:r w:rsidR="00CE5648">
              <w:t xml:space="preserve">.  </w:t>
            </w:r>
            <w:r w:rsidR="008E79D1">
              <w:t>85 members of staff – 73 women, 12 men.  Ethnicity: all 85 white.</w:t>
            </w:r>
          </w:p>
        </w:tc>
      </w:tr>
      <w:tr w:rsidR="002B3B5C" w:rsidTr="00D64ED8">
        <w:trPr>
          <w:gridAfter w:val="1"/>
          <w:wAfter w:w="32" w:type="dxa"/>
          <w:trHeight w:val="104"/>
        </w:trPr>
        <w:tc>
          <w:tcPr>
            <w:tcW w:w="711" w:type="dxa"/>
            <w:gridSpan w:val="2"/>
          </w:tcPr>
          <w:p w:rsidR="002B3B5C" w:rsidRPr="002B3B5C" w:rsidRDefault="002B3B5C">
            <w:pPr>
              <w:rPr>
                <w:b/>
                <w:sz w:val="24"/>
                <w:szCs w:val="24"/>
              </w:rPr>
            </w:pPr>
            <w:r w:rsidRPr="002B3B5C">
              <w:rPr>
                <w:b/>
                <w:sz w:val="24"/>
                <w:szCs w:val="24"/>
              </w:rPr>
              <w:t>2.2</w:t>
            </w:r>
          </w:p>
        </w:tc>
        <w:tc>
          <w:tcPr>
            <w:tcW w:w="5912" w:type="dxa"/>
            <w:gridSpan w:val="3"/>
          </w:tcPr>
          <w:p w:rsidR="002B3B5C" w:rsidRDefault="002B3B5C">
            <w:pPr>
              <w:rPr>
                <w:sz w:val="24"/>
                <w:szCs w:val="24"/>
              </w:rPr>
            </w:pPr>
            <w:r>
              <w:rPr>
                <w:sz w:val="24"/>
                <w:szCs w:val="24"/>
              </w:rPr>
              <w:t>What equalities training have staff received?</w:t>
            </w:r>
          </w:p>
        </w:tc>
        <w:tc>
          <w:tcPr>
            <w:tcW w:w="7519" w:type="dxa"/>
            <w:gridSpan w:val="2"/>
            <w:shd w:val="clear" w:color="auto" w:fill="auto"/>
          </w:tcPr>
          <w:p w:rsidR="004D2AB5" w:rsidRPr="00142830" w:rsidRDefault="004D2AB5" w:rsidP="004D2AB5">
            <w:pPr>
              <w:spacing w:after="200" w:line="276" w:lineRule="auto"/>
            </w:pPr>
            <w:r w:rsidRPr="00142830">
              <w:t xml:space="preserve">The Library Service is committed to staff development and it encourages staff to identify new skills that are required and to be proactive in their acquisition.  The Library Service provides training and guidance to new and existing staff to ensure they understand their responsibilities and have opportunities to participate in improving social inclusion.  </w:t>
            </w:r>
          </w:p>
          <w:p w:rsidR="00BE7DB2" w:rsidRPr="00142830" w:rsidRDefault="00BE7DB2" w:rsidP="00BE7DB2">
            <w:pPr>
              <w:spacing w:after="200" w:line="276" w:lineRule="auto"/>
            </w:pPr>
            <w:r w:rsidRPr="00142830">
              <w:t xml:space="preserve">In 2011 all library staff were given in-house Equalities training – specifically Equal Access – by the Social inclusion Officer.  Some staff have also </w:t>
            </w:r>
            <w:r w:rsidRPr="00142830">
              <w:lastRenderedPageBreak/>
              <w:t>attended the Mental Health Awareness training</w:t>
            </w:r>
            <w:r>
              <w:t>.</w:t>
            </w:r>
            <w:r w:rsidRPr="00142830">
              <w:t xml:space="preserve"> </w:t>
            </w:r>
          </w:p>
          <w:p w:rsidR="004D2AB5" w:rsidRPr="00142830" w:rsidRDefault="004D2AB5" w:rsidP="004D2AB5">
            <w:pPr>
              <w:spacing w:after="200" w:line="276" w:lineRule="auto"/>
            </w:pPr>
            <w:r w:rsidRPr="00142830">
              <w:t>Managers and staff are being encouraged to enrol on the current crop of Equalities awareness training courses and bite size training for the Equality Act and Equalities Impact Assessments</w:t>
            </w:r>
            <w:r w:rsidR="00F2703E">
              <w:t xml:space="preserve"> </w:t>
            </w:r>
            <w:r w:rsidRPr="00142830">
              <w:t xml:space="preserve">  We try to ensure that managers and staff refresh this knowledge at least every 3 years. </w:t>
            </w:r>
          </w:p>
          <w:p w:rsidR="002B3B5C" w:rsidRDefault="002B3B5C"/>
        </w:tc>
      </w:tr>
      <w:tr w:rsidR="002B3B5C" w:rsidTr="00D64ED8">
        <w:trPr>
          <w:gridAfter w:val="1"/>
          <w:wAfter w:w="32" w:type="dxa"/>
        </w:trPr>
        <w:tc>
          <w:tcPr>
            <w:tcW w:w="711" w:type="dxa"/>
            <w:gridSpan w:val="2"/>
          </w:tcPr>
          <w:p w:rsidR="002B3B5C" w:rsidRPr="002B3B5C" w:rsidRDefault="002B3B5C">
            <w:pPr>
              <w:rPr>
                <w:b/>
                <w:sz w:val="24"/>
                <w:szCs w:val="24"/>
              </w:rPr>
            </w:pPr>
            <w:r w:rsidRPr="002B3B5C">
              <w:rPr>
                <w:b/>
                <w:sz w:val="24"/>
                <w:szCs w:val="24"/>
              </w:rPr>
              <w:lastRenderedPageBreak/>
              <w:t>2.3</w:t>
            </w:r>
          </w:p>
        </w:tc>
        <w:tc>
          <w:tcPr>
            <w:tcW w:w="5912"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19" w:type="dxa"/>
            <w:gridSpan w:val="2"/>
            <w:shd w:val="clear" w:color="auto" w:fill="auto"/>
          </w:tcPr>
          <w:p w:rsidR="002B3B5C" w:rsidRDefault="00BE7DB2">
            <w:r>
              <w:t>Everyone residing, working or studying in B&amp;NES is entitled to library services.  Out of a current population of 177,700.  There are 28,330 active registered borrowers (i.e. that have borrowed items at least once in the last year), of these 2,155 are registered mobile users.</w:t>
            </w:r>
          </w:p>
        </w:tc>
      </w:tr>
      <w:tr w:rsidR="002B3B5C" w:rsidTr="00D64ED8">
        <w:trPr>
          <w:gridAfter w:val="1"/>
          <w:wAfter w:w="32" w:type="dxa"/>
        </w:trPr>
        <w:tc>
          <w:tcPr>
            <w:tcW w:w="711" w:type="dxa"/>
            <w:gridSpan w:val="2"/>
          </w:tcPr>
          <w:p w:rsidR="002B3B5C" w:rsidRPr="002B3B5C" w:rsidRDefault="002B3B5C">
            <w:pPr>
              <w:rPr>
                <w:b/>
                <w:sz w:val="24"/>
                <w:szCs w:val="24"/>
              </w:rPr>
            </w:pPr>
            <w:r w:rsidRPr="002B3B5C">
              <w:rPr>
                <w:b/>
                <w:sz w:val="24"/>
                <w:szCs w:val="24"/>
              </w:rPr>
              <w:t xml:space="preserve">2.4 </w:t>
            </w:r>
          </w:p>
        </w:tc>
        <w:tc>
          <w:tcPr>
            <w:tcW w:w="5912" w:type="dxa"/>
            <w:gridSpan w:val="3"/>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19" w:type="dxa"/>
            <w:gridSpan w:val="2"/>
            <w:shd w:val="clear" w:color="auto" w:fill="auto"/>
          </w:tcPr>
          <w:p w:rsidR="007A5063" w:rsidRDefault="00CE4875" w:rsidP="005060D2">
            <w:pPr>
              <w:autoSpaceDE w:val="0"/>
              <w:autoSpaceDN w:val="0"/>
              <w:adjustRightInd w:val="0"/>
            </w:pPr>
            <w:r>
              <w:t xml:space="preserve">Library </w:t>
            </w:r>
            <w:r w:rsidR="005060D2">
              <w:t>consultation</w:t>
            </w:r>
            <w:r>
              <w:t xml:space="preserve"> which took place with library users </w:t>
            </w:r>
            <w:r w:rsidR="00A322BE">
              <w:t>Nov – Jan 2011-12</w:t>
            </w:r>
            <w:r w:rsidR="005060D2">
              <w:t xml:space="preserve">  </w:t>
            </w:r>
            <w:r w:rsidR="00BE7DB2">
              <w:t>specifically on closure of mobile libraries</w:t>
            </w:r>
          </w:p>
          <w:p w:rsidR="005060D2" w:rsidRDefault="005060D2" w:rsidP="005060D2">
            <w:pPr>
              <w:autoSpaceDE w:val="0"/>
              <w:autoSpaceDN w:val="0"/>
              <w:adjustRightInd w:val="0"/>
              <w:rPr>
                <w:rFonts w:ascii="Helvetica" w:hAnsi="Helvetica" w:cs="Helvetica"/>
                <w:color w:val="FFFFFF"/>
                <w:sz w:val="14"/>
                <w:szCs w:val="14"/>
                <w:lang w:eastAsia="en-GB"/>
              </w:rPr>
            </w:pPr>
            <w:r>
              <w:t xml:space="preserve">Voicebox 16 Results include: </w:t>
            </w:r>
            <w:r w:rsidRPr="005060D2">
              <w:t>Of the 110 respondents that had used the mobile library at some point, 52%(57 users) had used the service within the last twelve months; 44 of which</w:t>
            </w:r>
            <w:r>
              <w:t xml:space="preserve"> </w:t>
            </w:r>
            <w:r w:rsidRPr="005060D2">
              <w:t>were frequent users.</w:t>
            </w:r>
            <w:r>
              <w:rPr>
                <w:rFonts w:ascii="Helvetica" w:hAnsi="Helvetica" w:cs="Helvetica"/>
                <w:color w:val="FFFFFF"/>
                <w:sz w:val="14"/>
                <w:szCs w:val="14"/>
                <w:lang w:eastAsia="en-GB"/>
              </w:rPr>
              <w:t>18.7%</w:t>
            </w:r>
          </w:p>
          <w:p w:rsidR="005060D2" w:rsidRPr="005060D2" w:rsidRDefault="005060D2" w:rsidP="005060D2">
            <w:pPr>
              <w:autoSpaceDE w:val="0"/>
              <w:autoSpaceDN w:val="0"/>
              <w:adjustRightInd w:val="0"/>
            </w:pPr>
            <w:r w:rsidRPr="005060D2">
              <w:t>48% of users of the mobile library had engaged with the service at some</w:t>
            </w:r>
          </w:p>
          <w:p w:rsidR="002B3B5C" w:rsidRDefault="005060D2" w:rsidP="005060D2">
            <w:pPr>
              <w:autoSpaceDE w:val="0"/>
              <w:autoSpaceDN w:val="0"/>
              <w:adjustRightInd w:val="0"/>
            </w:pPr>
            <w:r w:rsidRPr="005060D2">
              <w:t>point, but had not done so within the last twelve months.</w:t>
            </w:r>
            <w:r>
              <w:t xml:space="preserve"> </w:t>
            </w:r>
            <w:r w:rsidRPr="005060D2">
              <w:t>With the fewest number of users compared to other library services, the</w:t>
            </w:r>
            <w:r>
              <w:t xml:space="preserve"> </w:t>
            </w:r>
            <w:r w:rsidRPr="005060D2">
              <w:t>mobile library is the least engaged service provided by library services.</w:t>
            </w:r>
          </w:p>
          <w:p w:rsidR="00C83741" w:rsidRPr="00C83741" w:rsidRDefault="00C83741" w:rsidP="00C83741">
            <w:pPr>
              <w:autoSpaceDE w:val="0"/>
              <w:autoSpaceDN w:val="0"/>
              <w:adjustRightInd w:val="0"/>
            </w:pPr>
            <w:r w:rsidRPr="00C83741">
              <w:t>The trend for usage of the mobile library services is that usage</w:t>
            </w:r>
          </w:p>
          <w:p w:rsidR="00C83741" w:rsidRPr="00C83741" w:rsidRDefault="00C83741" w:rsidP="00C83741">
            <w:pPr>
              <w:autoSpaceDE w:val="0"/>
              <w:autoSpaceDN w:val="0"/>
              <w:adjustRightInd w:val="0"/>
            </w:pPr>
            <w:r w:rsidRPr="00C83741">
              <w:t>generally increases with age. The Over 55’s have the highest</w:t>
            </w:r>
          </w:p>
          <w:p w:rsidR="00C83741" w:rsidRPr="00C83741" w:rsidRDefault="00C83741" w:rsidP="00C83741">
            <w:pPr>
              <w:autoSpaceDE w:val="0"/>
              <w:autoSpaceDN w:val="0"/>
              <w:adjustRightInd w:val="0"/>
            </w:pPr>
            <w:r w:rsidRPr="00C83741">
              <w:t>proportion of users. However, it is worth noting that even within these</w:t>
            </w:r>
          </w:p>
          <w:p w:rsidR="00C83741" w:rsidRPr="00C83741" w:rsidRDefault="00C83741" w:rsidP="00C83741">
            <w:pPr>
              <w:autoSpaceDE w:val="0"/>
              <w:autoSpaceDN w:val="0"/>
              <w:adjustRightInd w:val="0"/>
            </w:pPr>
            <w:r w:rsidRPr="00C83741">
              <w:t>groups the considerable majority identify as never having used the</w:t>
            </w:r>
          </w:p>
          <w:p w:rsidR="007A5063" w:rsidRPr="007A5063" w:rsidRDefault="00C83741" w:rsidP="007A5063">
            <w:pPr>
              <w:autoSpaceDE w:val="0"/>
              <w:autoSpaceDN w:val="0"/>
              <w:adjustRightInd w:val="0"/>
            </w:pPr>
            <w:r w:rsidRPr="00C83741">
              <w:t>service.</w:t>
            </w:r>
            <w:r>
              <w:t xml:space="preserve"> </w:t>
            </w:r>
            <w:r w:rsidR="007A5063" w:rsidRPr="007A5063">
              <w:t>Numbers were too small to calculate BME frequency of using the</w:t>
            </w:r>
          </w:p>
          <w:p w:rsidR="00C83741" w:rsidRDefault="007A5063" w:rsidP="007A5063">
            <w:pPr>
              <w:autoSpaceDE w:val="0"/>
              <w:autoSpaceDN w:val="0"/>
              <w:adjustRightInd w:val="0"/>
            </w:pPr>
            <w:r w:rsidRPr="007A5063">
              <w:t>mobile library service or Internet based library services.</w:t>
            </w:r>
          </w:p>
          <w:p w:rsidR="007A5063" w:rsidRDefault="00204772" w:rsidP="00A322BE">
            <w:pPr>
              <w:autoSpaceDE w:val="0"/>
              <w:autoSpaceDN w:val="0"/>
              <w:adjustRightInd w:val="0"/>
            </w:pPr>
            <w:r>
              <w:t xml:space="preserve">PLUS results </w:t>
            </w:r>
            <w:r w:rsidR="00A322BE">
              <w:t>2012</w:t>
            </w:r>
          </w:p>
          <w:p w:rsidR="00BE7DB2" w:rsidRDefault="00BE7DB2" w:rsidP="00A322BE">
            <w:pPr>
              <w:autoSpaceDE w:val="0"/>
              <w:autoSpaceDN w:val="0"/>
              <w:adjustRightInd w:val="0"/>
            </w:pPr>
            <w:r>
              <w:t>There are gaps, these are addressed in the action plan</w:t>
            </w:r>
          </w:p>
        </w:tc>
      </w:tr>
      <w:tr w:rsidR="00532357" w:rsidTr="00D64ED8">
        <w:trPr>
          <w:gridAfter w:val="1"/>
          <w:wAfter w:w="32" w:type="dxa"/>
        </w:trPr>
        <w:tc>
          <w:tcPr>
            <w:tcW w:w="711" w:type="dxa"/>
            <w:gridSpan w:val="2"/>
          </w:tcPr>
          <w:p w:rsidR="00532357" w:rsidRPr="002B3B5C" w:rsidRDefault="00532357">
            <w:pPr>
              <w:rPr>
                <w:b/>
                <w:sz w:val="24"/>
                <w:szCs w:val="24"/>
              </w:rPr>
            </w:pPr>
            <w:r>
              <w:rPr>
                <w:b/>
                <w:sz w:val="24"/>
                <w:szCs w:val="24"/>
              </w:rPr>
              <w:t>2.5</w:t>
            </w:r>
          </w:p>
        </w:tc>
        <w:tc>
          <w:tcPr>
            <w:tcW w:w="5912" w:type="dxa"/>
            <w:gridSpan w:val="3"/>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7519" w:type="dxa"/>
            <w:gridSpan w:val="2"/>
            <w:shd w:val="clear" w:color="auto" w:fill="auto"/>
          </w:tcPr>
          <w:p w:rsidR="00204772" w:rsidRPr="00142830" w:rsidRDefault="00A322BE" w:rsidP="00204772">
            <w:r>
              <w:t xml:space="preserve">Specific consultation on the future of library services , including reducing mobile services was held </w:t>
            </w:r>
            <w:r w:rsidR="00BE7DB2">
              <w:t>between November 2011- and Jan 2012, this included 3 public meetings held in January 2012</w:t>
            </w:r>
          </w:p>
          <w:p w:rsidR="00532357" w:rsidRDefault="00532357" w:rsidP="00272C3A"/>
        </w:tc>
      </w:tr>
      <w:tr w:rsidR="002B3B5C" w:rsidTr="00D64ED8">
        <w:trPr>
          <w:gridAfter w:val="1"/>
          <w:wAfter w:w="32" w:type="dxa"/>
        </w:trPr>
        <w:tc>
          <w:tcPr>
            <w:tcW w:w="711" w:type="dxa"/>
            <w:gridSpan w:val="2"/>
          </w:tcPr>
          <w:p w:rsidR="002B3B5C" w:rsidRPr="002B3B5C" w:rsidRDefault="002B3B5C">
            <w:pPr>
              <w:rPr>
                <w:b/>
                <w:sz w:val="24"/>
                <w:szCs w:val="24"/>
              </w:rPr>
            </w:pPr>
            <w:r w:rsidRPr="002B3B5C">
              <w:rPr>
                <w:b/>
                <w:sz w:val="24"/>
                <w:szCs w:val="24"/>
              </w:rPr>
              <w:t>2.6</w:t>
            </w:r>
          </w:p>
        </w:tc>
        <w:tc>
          <w:tcPr>
            <w:tcW w:w="5912" w:type="dxa"/>
            <w:gridSpan w:val="3"/>
          </w:tcPr>
          <w:p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19" w:type="dxa"/>
            <w:gridSpan w:val="2"/>
            <w:shd w:val="clear" w:color="auto" w:fill="auto"/>
          </w:tcPr>
          <w:p w:rsidR="002B3B5C" w:rsidRDefault="00BE7DB2" w:rsidP="00272C3A">
            <w:r>
              <w:t xml:space="preserve">Consultation on the new timetable held during May 2013, new timetable devised working on these criteria: </w:t>
            </w:r>
          </w:p>
          <w:p w:rsidR="00BE7DB2" w:rsidRPr="00BE7DB2" w:rsidRDefault="00BE7DB2" w:rsidP="00BE7DB2">
            <w:pPr>
              <w:rPr>
                <w:rFonts w:cs="Arial"/>
                <w:lang w:eastAsia="en-GB"/>
              </w:rPr>
            </w:pPr>
            <w:r w:rsidRPr="00BE7DB2">
              <w:rPr>
                <w:rFonts w:cs="Arial"/>
                <w:lang w:eastAsia="en-GB"/>
              </w:rPr>
              <w:t>o          Stops with no current readers</w:t>
            </w:r>
            <w:r>
              <w:rPr>
                <w:rFonts w:cs="Arial"/>
                <w:lang w:eastAsia="en-GB"/>
              </w:rPr>
              <w:t xml:space="preserve"> to be cut</w:t>
            </w:r>
          </w:p>
          <w:p w:rsidR="00BE7DB2" w:rsidRPr="00BE7DB2" w:rsidRDefault="00BE7DB2" w:rsidP="00BE7DB2">
            <w:pPr>
              <w:rPr>
                <w:rFonts w:cs="Arial"/>
                <w:lang w:eastAsia="en-GB"/>
              </w:rPr>
            </w:pPr>
            <w:r w:rsidRPr="00BE7DB2">
              <w:rPr>
                <w:rFonts w:cs="Arial"/>
                <w:lang w:eastAsia="en-GB"/>
              </w:rPr>
              <w:t xml:space="preserve">o          Stops where readers meet the mobile by driving to it </w:t>
            </w:r>
            <w:r>
              <w:rPr>
                <w:rFonts w:cs="Arial"/>
                <w:lang w:eastAsia="en-GB"/>
              </w:rPr>
              <w:t>to be cut</w:t>
            </w:r>
          </w:p>
          <w:p w:rsidR="00BE7DB2" w:rsidRPr="00BE7DB2" w:rsidRDefault="00BE7DB2" w:rsidP="00BE7DB2">
            <w:pPr>
              <w:rPr>
                <w:rFonts w:cs="Arial"/>
                <w:lang w:eastAsia="en-GB"/>
              </w:rPr>
            </w:pPr>
            <w:r w:rsidRPr="00BE7DB2">
              <w:rPr>
                <w:rFonts w:cs="Arial"/>
                <w:lang w:eastAsia="en-GB"/>
              </w:rPr>
              <w:t xml:space="preserve">o          Stops near the new community libraries/static libraries </w:t>
            </w:r>
            <w:r>
              <w:rPr>
                <w:rFonts w:cs="Arial"/>
                <w:lang w:eastAsia="en-GB"/>
              </w:rPr>
              <w:t>to be cut/considered</w:t>
            </w:r>
          </w:p>
          <w:p w:rsidR="00BE7DB2" w:rsidRPr="00BE7DB2" w:rsidRDefault="00BE7DB2" w:rsidP="00BE7DB2">
            <w:pPr>
              <w:rPr>
                <w:rFonts w:cs="Arial"/>
                <w:lang w:eastAsia="en-GB"/>
              </w:rPr>
            </w:pPr>
            <w:r w:rsidRPr="00BE7DB2">
              <w:rPr>
                <w:rFonts w:cs="Arial"/>
                <w:lang w:eastAsia="en-GB"/>
              </w:rPr>
              <w:t xml:space="preserve">o          Stops which are difficult for the Mobile Library to access </w:t>
            </w:r>
            <w:commentRangeStart w:id="1"/>
            <w:r w:rsidRPr="00BE7DB2">
              <w:rPr>
                <w:rFonts w:cs="Arial"/>
                <w:lang w:eastAsia="en-GB"/>
              </w:rPr>
              <w:t>or park</w:t>
            </w:r>
            <w:r>
              <w:rPr>
                <w:rFonts w:cs="Arial"/>
                <w:lang w:eastAsia="en-GB"/>
              </w:rPr>
              <w:t xml:space="preserve"> </w:t>
            </w:r>
            <w:commentRangeEnd w:id="1"/>
            <w:r w:rsidR="00FA4798">
              <w:rPr>
                <w:rStyle w:val="CommentReference"/>
              </w:rPr>
              <w:commentReference w:id="1"/>
            </w:r>
            <w:commentRangeStart w:id="2"/>
            <w:r>
              <w:rPr>
                <w:rFonts w:cs="Arial"/>
                <w:lang w:eastAsia="en-GB"/>
              </w:rPr>
              <w:t>to</w:t>
            </w:r>
            <w:commentRangeEnd w:id="2"/>
            <w:r w:rsidR="00365C24">
              <w:rPr>
                <w:rStyle w:val="CommentReference"/>
              </w:rPr>
              <w:commentReference w:id="2"/>
            </w:r>
            <w:r>
              <w:rPr>
                <w:rFonts w:cs="Arial"/>
                <w:lang w:eastAsia="en-GB"/>
              </w:rPr>
              <w:t xml:space="preserve"> be cut</w:t>
            </w:r>
          </w:p>
          <w:p w:rsidR="00BE7DB2" w:rsidRDefault="00BE7DB2" w:rsidP="00272C3A"/>
        </w:tc>
      </w:tr>
      <w:tr w:rsidR="004E418F">
        <w:tc>
          <w:tcPr>
            <w:tcW w:w="14174" w:type="dxa"/>
            <w:gridSpan w:val="8"/>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rsidTr="00D64ED8">
        <w:tc>
          <w:tcPr>
            <w:tcW w:w="684" w:type="dxa"/>
          </w:tcPr>
          <w:p w:rsidR="006B2DF8" w:rsidRDefault="006B2DF8">
            <w:pPr>
              <w:rPr>
                <w:b/>
                <w:sz w:val="28"/>
                <w:szCs w:val="28"/>
              </w:rPr>
            </w:pPr>
          </w:p>
        </w:tc>
        <w:tc>
          <w:tcPr>
            <w:tcW w:w="13490"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343693" w:rsidTr="00D64ED8">
        <w:tc>
          <w:tcPr>
            <w:tcW w:w="684" w:type="dxa"/>
          </w:tcPr>
          <w:p w:rsidR="002B3B5C" w:rsidRPr="00F93043" w:rsidRDefault="002B3B5C">
            <w:pPr>
              <w:rPr>
                <w:sz w:val="24"/>
                <w:szCs w:val="24"/>
              </w:rPr>
            </w:pPr>
          </w:p>
        </w:tc>
        <w:tc>
          <w:tcPr>
            <w:tcW w:w="5263" w:type="dxa"/>
            <w:gridSpan w:val="2"/>
          </w:tcPr>
          <w:p w:rsidR="002B3B5C" w:rsidRPr="00F93043" w:rsidRDefault="002B3B5C" w:rsidP="00C70B44">
            <w:pPr>
              <w:rPr>
                <w:sz w:val="24"/>
                <w:szCs w:val="24"/>
              </w:rPr>
            </w:pPr>
          </w:p>
        </w:tc>
        <w:tc>
          <w:tcPr>
            <w:tcW w:w="4113"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4114"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343693" w:rsidTr="00D64ED8">
        <w:tc>
          <w:tcPr>
            <w:tcW w:w="684" w:type="dxa"/>
          </w:tcPr>
          <w:p w:rsidR="0044186E" w:rsidRPr="002B3B5C" w:rsidRDefault="0044186E">
            <w:pPr>
              <w:rPr>
                <w:b/>
                <w:sz w:val="24"/>
                <w:szCs w:val="24"/>
              </w:rPr>
            </w:pPr>
          </w:p>
        </w:tc>
        <w:tc>
          <w:tcPr>
            <w:tcW w:w="5263" w:type="dxa"/>
            <w:gridSpan w:val="2"/>
          </w:tcPr>
          <w:p w:rsidR="0044186E" w:rsidRPr="00F93043" w:rsidRDefault="0044186E">
            <w:pPr>
              <w:rPr>
                <w:b/>
                <w:sz w:val="24"/>
                <w:szCs w:val="24"/>
              </w:rPr>
            </w:pPr>
          </w:p>
        </w:tc>
        <w:tc>
          <w:tcPr>
            <w:tcW w:w="4113" w:type="dxa"/>
            <w:gridSpan w:val="3"/>
            <w:shd w:val="clear" w:color="auto" w:fill="auto"/>
          </w:tcPr>
          <w:p w:rsidR="0044186E" w:rsidRDefault="0044186E" w:rsidP="007A3E90"/>
        </w:tc>
        <w:tc>
          <w:tcPr>
            <w:tcW w:w="4114" w:type="dxa"/>
            <w:gridSpan w:val="2"/>
            <w:shd w:val="clear" w:color="auto" w:fill="auto"/>
          </w:tcPr>
          <w:p w:rsidR="0044186E" w:rsidRDefault="0044186E"/>
        </w:tc>
      </w:tr>
      <w:tr w:rsidR="00343693" w:rsidTr="00D64ED8">
        <w:tc>
          <w:tcPr>
            <w:tcW w:w="684" w:type="dxa"/>
          </w:tcPr>
          <w:p w:rsidR="002B3B5C" w:rsidRPr="002B3B5C" w:rsidRDefault="002B3B5C">
            <w:pPr>
              <w:rPr>
                <w:b/>
                <w:sz w:val="24"/>
                <w:szCs w:val="24"/>
              </w:rPr>
            </w:pPr>
            <w:r w:rsidRPr="002B3B5C">
              <w:rPr>
                <w:b/>
                <w:sz w:val="24"/>
                <w:szCs w:val="24"/>
              </w:rPr>
              <w:t>3.1</w:t>
            </w:r>
          </w:p>
        </w:tc>
        <w:tc>
          <w:tcPr>
            <w:tcW w:w="5263" w:type="dxa"/>
            <w:gridSpan w:val="2"/>
          </w:tcPr>
          <w:p w:rsidR="002B3B5C" w:rsidRPr="00365C24" w:rsidRDefault="00365C24" w:rsidP="00365C24">
            <w:pPr>
              <w:rPr>
                <w:b/>
                <w:sz w:val="24"/>
                <w:szCs w:val="24"/>
              </w:rPr>
            </w:pPr>
            <w:r w:rsidRPr="00365C24">
              <w:rPr>
                <w:b/>
                <w:sz w:val="24"/>
                <w:szCs w:val="24"/>
              </w:rPr>
              <w:t>Issues for all groups</w:t>
            </w:r>
          </w:p>
        </w:tc>
        <w:tc>
          <w:tcPr>
            <w:tcW w:w="4113" w:type="dxa"/>
            <w:gridSpan w:val="3"/>
            <w:shd w:val="clear" w:color="auto" w:fill="auto"/>
          </w:tcPr>
          <w:p w:rsidR="00F538E8" w:rsidRDefault="00F538E8" w:rsidP="00F538E8">
            <w:r>
              <w:t>Routes are reviewed continuously to take into account the movement of people at locations, requests for stops are considered and routes are amended yearly according to perceived need.  There is a policy to determine selection and deletion of stops.</w:t>
            </w:r>
          </w:p>
          <w:p w:rsidR="007A3E90" w:rsidRDefault="007A3E90" w:rsidP="007A3E90">
            <w:pPr>
              <w:ind w:left="-173"/>
            </w:pPr>
          </w:p>
          <w:p w:rsidR="00F538E8" w:rsidRDefault="005A3B4C" w:rsidP="00F538E8">
            <w:r>
              <w:t xml:space="preserve"> </w:t>
            </w:r>
            <w:r w:rsidR="00F538E8">
              <w:t>Stock is carried to reflect community groups and the requirements of individual communities and users. The reservation service will source and supply particular items that are requested</w:t>
            </w:r>
          </w:p>
          <w:p w:rsidR="002B3B5C" w:rsidRDefault="00F538E8" w:rsidP="00F538E8">
            <w:r>
              <w:t>Mobile service enables some families to visit and choose items together. It can also act as a meeting place for the</w:t>
            </w:r>
          </w:p>
          <w:p w:rsidR="00F538E8" w:rsidRDefault="00F538E8" w:rsidP="00F538E8">
            <w:r>
              <w:t xml:space="preserve">community during a visit. </w:t>
            </w:r>
          </w:p>
          <w:p w:rsidR="00F538E8" w:rsidRDefault="00F538E8" w:rsidP="00F538E8"/>
        </w:tc>
        <w:tc>
          <w:tcPr>
            <w:tcW w:w="4114" w:type="dxa"/>
            <w:gridSpan w:val="2"/>
            <w:shd w:val="clear" w:color="auto" w:fill="auto"/>
          </w:tcPr>
          <w:p w:rsidR="00F538E8" w:rsidRDefault="00A0700C" w:rsidP="00F538E8">
            <w:r>
              <w:t xml:space="preserve">There is a </w:t>
            </w:r>
            <w:r w:rsidR="00F538E8">
              <w:t xml:space="preserve">significant impact on </w:t>
            </w:r>
            <w:r>
              <w:t xml:space="preserve">anyone who visits a particular stop that is cut if they </w:t>
            </w:r>
            <w:r w:rsidR="00F538E8">
              <w:t xml:space="preserve">cannot travel far, maybe because they have no available means of transport or due to personal circumstances are not mobile.  </w:t>
            </w:r>
            <w:r>
              <w:t>Reduction in</w:t>
            </w:r>
            <w:r w:rsidR="00F538E8">
              <w:t xml:space="preserve"> service could raise isolation issues for rural dwellers and elderly people</w:t>
            </w:r>
          </w:p>
          <w:p w:rsidR="00F538E8" w:rsidRDefault="00F538E8" w:rsidP="00F538E8"/>
          <w:p w:rsidR="00F538E8" w:rsidRDefault="00F538E8" w:rsidP="00F538E8">
            <w:r>
              <w:t>The steps that could be taken to address this are listed in the action plan at the end of this document</w:t>
            </w:r>
          </w:p>
          <w:p w:rsidR="00F538E8" w:rsidRDefault="00F538E8" w:rsidP="00F538E8"/>
          <w:p w:rsidR="002B3B5C" w:rsidRDefault="002B3B5C" w:rsidP="00F538E8">
            <w:pPr>
              <w:ind w:left="720"/>
            </w:pPr>
          </w:p>
        </w:tc>
      </w:tr>
      <w:tr w:rsidR="00343693" w:rsidTr="00D64ED8">
        <w:tc>
          <w:tcPr>
            <w:tcW w:w="684" w:type="dxa"/>
          </w:tcPr>
          <w:p w:rsidR="008B760D" w:rsidRPr="002B3B5C" w:rsidRDefault="008B760D">
            <w:pPr>
              <w:rPr>
                <w:b/>
                <w:sz w:val="24"/>
                <w:szCs w:val="24"/>
              </w:rPr>
            </w:pPr>
            <w:r>
              <w:rPr>
                <w:b/>
                <w:sz w:val="24"/>
                <w:szCs w:val="24"/>
              </w:rPr>
              <w:t>3.</w:t>
            </w:r>
            <w:r w:rsidR="00343693">
              <w:rPr>
                <w:b/>
                <w:sz w:val="24"/>
                <w:szCs w:val="24"/>
              </w:rPr>
              <w:t>2</w:t>
            </w:r>
          </w:p>
        </w:tc>
        <w:tc>
          <w:tcPr>
            <w:tcW w:w="5263" w:type="dxa"/>
            <w:gridSpan w:val="2"/>
          </w:tcPr>
          <w:p w:rsidR="00F538E8" w:rsidRDefault="00F538E8" w:rsidP="00F538E8">
            <w:pPr>
              <w:rPr>
                <w:sz w:val="24"/>
                <w:szCs w:val="24"/>
              </w:rPr>
            </w:pPr>
            <w:r w:rsidRPr="00F93043">
              <w:rPr>
                <w:b/>
                <w:sz w:val="24"/>
                <w:szCs w:val="24"/>
              </w:rPr>
              <w:t xml:space="preserve">Gender </w:t>
            </w:r>
            <w:r w:rsidRPr="00F93043">
              <w:rPr>
                <w:sz w:val="24"/>
                <w:szCs w:val="24"/>
              </w:rPr>
              <w:t>– identify the impact/potential impact of the policy on women</w:t>
            </w:r>
            <w:r>
              <w:rPr>
                <w:sz w:val="24"/>
                <w:szCs w:val="24"/>
              </w:rPr>
              <w:t xml:space="preserve"> and men.  (Are there any issues regarding pregnancy and maternity?)</w:t>
            </w:r>
          </w:p>
          <w:p w:rsidR="008B760D" w:rsidRPr="008B760D" w:rsidRDefault="008B760D" w:rsidP="00F538E8">
            <w:pPr>
              <w:rPr>
                <w:sz w:val="24"/>
                <w:szCs w:val="24"/>
              </w:rPr>
            </w:pPr>
          </w:p>
        </w:tc>
        <w:tc>
          <w:tcPr>
            <w:tcW w:w="4113" w:type="dxa"/>
            <w:gridSpan w:val="3"/>
            <w:shd w:val="clear" w:color="auto" w:fill="auto"/>
          </w:tcPr>
          <w:p w:rsidR="005618FF" w:rsidRDefault="00F538E8" w:rsidP="002B3B5C">
            <w:r>
              <w:t>The split between genders for mobile users is roughly 1/3</w:t>
            </w:r>
            <w:r w:rsidRPr="00697BEC">
              <w:rPr>
                <w:vertAlign w:val="superscript"/>
              </w:rPr>
              <w:t>rd</w:t>
            </w:r>
            <w:r>
              <w:t xml:space="preserve"> men to 2/3rds women.  (mobile membership figures). Stock is carried to reflect the requirements of individual communities and readers.  </w:t>
            </w:r>
          </w:p>
        </w:tc>
        <w:tc>
          <w:tcPr>
            <w:tcW w:w="4114" w:type="dxa"/>
            <w:gridSpan w:val="2"/>
            <w:shd w:val="clear" w:color="auto" w:fill="auto"/>
          </w:tcPr>
          <w:p w:rsidR="002524FE" w:rsidRDefault="00F538E8" w:rsidP="00F538E8">
            <w:r>
              <w:t>As above</w:t>
            </w:r>
          </w:p>
        </w:tc>
      </w:tr>
      <w:tr w:rsidR="00343693" w:rsidTr="00D64ED8">
        <w:tc>
          <w:tcPr>
            <w:tcW w:w="684" w:type="dxa"/>
          </w:tcPr>
          <w:p w:rsidR="002B3B5C" w:rsidRPr="002B3B5C" w:rsidRDefault="008B760D" w:rsidP="00F538E8">
            <w:pPr>
              <w:rPr>
                <w:b/>
                <w:sz w:val="24"/>
                <w:szCs w:val="24"/>
              </w:rPr>
            </w:pPr>
            <w:r>
              <w:rPr>
                <w:b/>
                <w:sz w:val="24"/>
                <w:szCs w:val="24"/>
              </w:rPr>
              <w:t>3.</w:t>
            </w:r>
            <w:r w:rsidR="00343693">
              <w:rPr>
                <w:b/>
                <w:sz w:val="24"/>
                <w:szCs w:val="24"/>
              </w:rPr>
              <w:t>3</w:t>
            </w:r>
          </w:p>
        </w:tc>
        <w:tc>
          <w:tcPr>
            <w:tcW w:w="5263" w:type="dxa"/>
            <w:gridSpan w:val="2"/>
          </w:tcPr>
          <w:p w:rsidR="002B3B5C" w:rsidRDefault="002B3B5C">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of a range of impairments</w:t>
            </w:r>
            <w:r>
              <w:rPr>
                <w:sz w:val="24"/>
                <w:szCs w:val="24"/>
              </w:rPr>
              <w:t xml:space="preserve"> including both physical and mental impairments)</w:t>
            </w:r>
          </w:p>
          <w:p w:rsidR="002B3B5C" w:rsidRPr="00F93043" w:rsidRDefault="002B3B5C">
            <w:pPr>
              <w:rPr>
                <w:sz w:val="24"/>
                <w:szCs w:val="24"/>
              </w:rPr>
            </w:pPr>
            <w:r w:rsidDel="00037611">
              <w:rPr>
                <w:sz w:val="24"/>
                <w:szCs w:val="24"/>
              </w:rPr>
              <w:t xml:space="preserve"> </w:t>
            </w:r>
          </w:p>
        </w:tc>
        <w:tc>
          <w:tcPr>
            <w:tcW w:w="4113" w:type="dxa"/>
            <w:gridSpan w:val="3"/>
            <w:shd w:val="clear" w:color="auto" w:fill="auto"/>
          </w:tcPr>
          <w:p w:rsidR="00524F03" w:rsidRDefault="00524F03" w:rsidP="00524F03">
            <w:r>
              <w:t xml:space="preserve">Mobile Libraries have a hoist to enable access to the vehicles by </w:t>
            </w:r>
            <w:r w:rsidR="00343693">
              <w:t xml:space="preserve">wheelchair users and those with mobility impairments.  </w:t>
            </w:r>
            <w:r>
              <w:t xml:space="preserve">  Stock such as large print, audio books etc is also carried to meet specific needs</w:t>
            </w:r>
            <w:r w:rsidR="00F538E8">
              <w:t xml:space="preserve"> and staff will order specific items as requires</w:t>
            </w:r>
          </w:p>
          <w:p w:rsidR="005618FF" w:rsidRDefault="005618FF" w:rsidP="00524F03"/>
        </w:tc>
        <w:tc>
          <w:tcPr>
            <w:tcW w:w="4114" w:type="dxa"/>
            <w:gridSpan w:val="2"/>
            <w:shd w:val="clear" w:color="auto" w:fill="auto"/>
          </w:tcPr>
          <w:p w:rsidR="005618FF" w:rsidRDefault="00F538E8" w:rsidP="002B3B5C">
            <w:r>
              <w:t>Reduction in</w:t>
            </w:r>
            <w:r w:rsidR="00524F03">
              <w:t xml:space="preserve"> service</w:t>
            </w:r>
            <w:r>
              <w:t>.</w:t>
            </w:r>
            <w:r w:rsidR="005618FF">
              <w:t xml:space="preserve"> This would have an impact on people who cannot travel far to a mobile library stop.</w:t>
            </w:r>
            <w:r w:rsidR="00524F03">
              <w:t xml:space="preserve"> Arrangement to be made with community travel services i.e. Dial A Ride , to enable disabled people to visit other libraries on a regular basis</w:t>
            </w:r>
          </w:p>
          <w:p w:rsidR="00F538E8" w:rsidRDefault="00F538E8" w:rsidP="002B3B5C"/>
          <w:p w:rsidR="00F538E8" w:rsidRDefault="00F538E8" w:rsidP="002B3B5C">
            <w:r>
              <w:t>Mitigations are listed in the action plan at the end of this document</w:t>
            </w:r>
          </w:p>
          <w:p w:rsidR="00B57865" w:rsidRDefault="00B57865" w:rsidP="002B3B5C"/>
        </w:tc>
      </w:tr>
      <w:tr w:rsidR="00343693" w:rsidTr="00D64ED8">
        <w:tc>
          <w:tcPr>
            <w:tcW w:w="684" w:type="dxa"/>
          </w:tcPr>
          <w:p w:rsidR="002B3B5C" w:rsidRPr="002B3B5C" w:rsidRDefault="002B3B5C" w:rsidP="00F538E8">
            <w:pPr>
              <w:rPr>
                <w:b/>
                <w:sz w:val="24"/>
                <w:szCs w:val="24"/>
              </w:rPr>
            </w:pPr>
            <w:r w:rsidRPr="002B3B5C">
              <w:rPr>
                <w:b/>
                <w:sz w:val="24"/>
                <w:szCs w:val="24"/>
              </w:rPr>
              <w:t>3.</w:t>
            </w:r>
            <w:r w:rsidR="00343693">
              <w:rPr>
                <w:b/>
                <w:sz w:val="24"/>
                <w:szCs w:val="24"/>
              </w:rPr>
              <w:t>4</w:t>
            </w:r>
          </w:p>
        </w:tc>
        <w:tc>
          <w:tcPr>
            <w:tcW w:w="5263" w:type="dxa"/>
            <w:gridSpan w:val="2"/>
          </w:tcPr>
          <w:p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pPr>
              <w:rPr>
                <w:sz w:val="24"/>
                <w:szCs w:val="24"/>
              </w:rPr>
            </w:pPr>
          </w:p>
        </w:tc>
        <w:tc>
          <w:tcPr>
            <w:tcW w:w="4113" w:type="dxa"/>
            <w:gridSpan w:val="3"/>
            <w:shd w:val="clear" w:color="auto" w:fill="auto"/>
          </w:tcPr>
          <w:p w:rsidR="00F538E8" w:rsidRDefault="00F538E8" w:rsidP="00F538E8">
            <w:r>
              <w:t xml:space="preserve">From our membership details we know that from 1615 members who have given us their age, 526 are 11 years or younger, 380 are between 12-60 and 234 are over 60 (13 over 90 years) </w:t>
            </w:r>
          </w:p>
          <w:p w:rsidR="00F538E8" w:rsidRDefault="00F538E8" w:rsidP="00524F03"/>
          <w:p w:rsidR="00F538E8" w:rsidRDefault="00F538E8" w:rsidP="00524F03"/>
          <w:p w:rsidR="00524F03" w:rsidRDefault="00524F03" w:rsidP="00524F03">
            <w:r>
              <w:t xml:space="preserve">Mobile Libraries have a hoist to enable access to the vehicles by </w:t>
            </w:r>
            <w:r w:rsidR="00F714E6">
              <w:t xml:space="preserve">elderly </w:t>
            </w:r>
            <w:r>
              <w:t>people</w:t>
            </w:r>
            <w:r w:rsidR="00F714E6">
              <w:t xml:space="preserve"> and </w:t>
            </w:r>
            <w:r w:rsidR="00343693">
              <w:t xml:space="preserve">parents/carers </w:t>
            </w:r>
            <w:r w:rsidR="00F714E6">
              <w:t xml:space="preserve"> with push chairs etc</w:t>
            </w:r>
            <w:r>
              <w:t xml:space="preserve">.  Stock such as large print, audio books </w:t>
            </w:r>
            <w:r w:rsidR="00F714E6">
              <w:t xml:space="preserve">, children’s material </w:t>
            </w:r>
            <w:r>
              <w:t xml:space="preserve">etc </w:t>
            </w:r>
            <w:r w:rsidR="00F714E6">
              <w:t xml:space="preserve">is </w:t>
            </w:r>
            <w:r>
              <w:t>carried to meet specific needs</w:t>
            </w:r>
          </w:p>
          <w:p w:rsidR="009214A3" w:rsidRDefault="009214A3" w:rsidP="002B3B5C"/>
        </w:tc>
        <w:tc>
          <w:tcPr>
            <w:tcW w:w="4114" w:type="dxa"/>
            <w:gridSpan w:val="2"/>
            <w:shd w:val="clear" w:color="auto" w:fill="auto"/>
          </w:tcPr>
          <w:p w:rsidR="00F538E8" w:rsidRDefault="009214A3" w:rsidP="002B3B5C">
            <w:r>
              <w:t>People with limited mobility due to age may be disadvantaged</w:t>
            </w:r>
            <w:r w:rsidR="00524F03">
              <w:t xml:space="preserve">. </w:t>
            </w:r>
          </w:p>
          <w:p w:rsidR="00F538E8" w:rsidRDefault="00F538E8" w:rsidP="002B3B5C">
            <w:r>
              <w:t>Opportunities for pre-schools, nurseries and playgroups to visit a library as an educational visit will be curtailed.</w:t>
            </w:r>
          </w:p>
          <w:p w:rsidR="00F538E8" w:rsidRDefault="00524F03" w:rsidP="002B3B5C">
            <w:r>
              <w:t xml:space="preserve"> </w:t>
            </w:r>
          </w:p>
          <w:p w:rsidR="009214A3" w:rsidRDefault="00524F03" w:rsidP="002B3B5C">
            <w:r>
              <w:t>The Home Library service will need to be developed and as above in 3.</w:t>
            </w:r>
            <w:r w:rsidR="00343693">
              <w:t>3</w:t>
            </w:r>
            <w:r>
              <w:t xml:space="preserve"> community transport links improved</w:t>
            </w:r>
          </w:p>
          <w:p w:rsidR="009214A3" w:rsidRDefault="009214A3" w:rsidP="002B3B5C"/>
        </w:tc>
      </w:tr>
      <w:tr w:rsidR="00343693" w:rsidTr="00D64ED8">
        <w:trPr>
          <w:trHeight w:val="2117"/>
        </w:trPr>
        <w:tc>
          <w:tcPr>
            <w:tcW w:w="684" w:type="dxa"/>
          </w:tcPr>
          <w:p w:rsidR="00F538E8" w:rsidRDefault="00F538E8">
            <w:pPr>
              <w:rPr>
                <w:b/>
                <w:sz w:val="24"/>
                <w:szCs w:val="24"/>
              </w:rPr>
            </w:pPr>
            <w:r>
              <w:rPr>
                <w:b/>
                <w:sz w:val="24"/>
                <w:szCs w:val="24"/>
              </w:rPr>
              <w:t>3.</w:t>
            </w:r>
            <w:r w:rsidR="00343693">
              <w:rPr>
                <w:b/>
                <w:sz w:val="24"/>
                <w:szCs w:val="24"/>
              </w:rPr>
              <w:t>5</w:t>
            </w:r>
          </w:p>
        </w:tc>
        <w:tc>
          <w:tcPr>
            <w:tcW w:w="5263" w:type="dxa"/>
            <w:gridSpan w:val="2"/>
          </w:tcPr>
          <w:p w:rsidR="00F538E8" w:rsidRDefault="00F538E8" w:rsidP="00F538E8">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F538E8" w:rsidRPr="00F93043" w:rsidRDefault="00F538E8">
            <w:pPr>
              <w:rPr>
                <w:b/>
                <w:sz w:val="24"/>
                <w:szCs w:val="24"/>
              </w:rPr>
            </w:pPr>
          </w:p>
        </w:tc>
        <w:tc>
          <w:tcPr>
            <w:tcW w:w="4113" w:type="dxa"/>
            <w:gridSpan w:val="3"/>
            <w:shd w:val="clear" w:color="auto" w:fill="auto"/>
          </w:tcPr>
          <w:p w:rsidR="00F538E8" w:rsidRDefault="00F538E8" w:rsidP="002B3B5C">
            <w:r>
              <w:t>Mobile service enables some families to visit and choose items together.  A mobile can be booked to attend village fete’s etc, and be used as a venue for story times and other library outreach events.</w:t>
            </w:r>
          </w:p>
        </w:tc>
        <w:tc>
          <w:tcPr>
            <w:tcW w:w="4114" w:type="dxa"/>
            <w:gridSpan w:val="2"/>
            <w:shd w:val="clear" w:color="auto" w:fill="auto"/>
          </w:tcPr>
          <w:p w:rsidR="00F538E8" w:rsidRDefault="00F538E8" w:rsidP="00F538E8">
            <w:r>
              <w:t xml:space="preserve">All communities that are currently using the mobile library will continue to </w:t>
            </w:r>
            <w:r w:rsidR="00D64ED8">
              <w:t xml:space="preserve">receive a service, though some stops in a village may be reduced. </w:t>
            </w:r>
            <w:r>
              <w:t>The steps that could be taken to address this are listed in the action plan at the end of this document</w:t>
            </w:r>
          </w:p>
          <w:p w:rsidR="00F538E8" w:rsidRDefault="00F538E8" w:rsidP="00F714E6"/>
        </w:tc>
      </w:tr>
      <w:tr w:rsidR="00343693" w:rsidTr="00D64ED8">
        <w:trPr>
          <w:trHeight w:val="559"/>
        </w:trPr>
        <w:tc>
          <w:tcPr>
            <w:tcW w:w="684" w:type="dxa"/>
          </w:tcPr>
          <w:p w:rsidR="002B3B5C" w:rsidRPr="002B3B5C" w:rsidRDefault="008B760D" w:rsidP="00D64ED8">
            <w:pPr>
              <w:rPr>
                <w:b/>
                <w:sz w:val="24"/>
                <w:szCs w:val="24"/>
              </w:rPr>
            </w:pPr>
            <w:r>
              <w:rPr>
                <w:b/>
                <w:sz w:val="24"/>
                <w:szCs w:val="24"/>
              </w:rPr>
              <w:t>3.</w:t>
            </w:r>
            <w:r w:rsidR="00343693">
              <w:rPr>
                <w:b/>
                <w:sz w:val="24"/>
                <w:szCs w:val="24"/>
              </w:rPr>
              <w:t>6</w:t>
            </w:r>
          </w:p>
        </w:tc>
        <w:tc>
          <w:tcPr>
            <w:tcW w:w="5263" w:type="dxa"/>
            <w:gridSpan w:val="2"/>
          </w:tcPr>
          <w:p w:rsidR="00D64ED8" w:rsidRDefault="00D64ED8" w:rsidP="00D64ED8">
            <w:pPr>
              <w:rPr>
                <w:rFonts w:cs="Arial"/>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p w:rsidR="002B3B5C" w:rsidRPr="00F93043" w:rsidRDefault="002B3B5C" w:rsidP="00D64ED8">
            <w:pPr>
              <w:rPr>
                <w:sz w:val="24"/>
                <w:szCs w:val="24"/>
              </w:rPr>
            </w:pPr>
          </w:p>
        </w:tc>
        <w:tc>
          <w:tcPr>
            <w:tcW w:w="4113" w:type="dxa"/>
            <w:gridSpan w:val="3"/>
            <w:shd w:val="clear" w:color="auto" w:fill="auto"/>
          </w:tcPr>
          <w:p w:rsidR="00D54C36" w:rsidRDefault="00D64ED8" w:rsidP="002B3B5C">
            <w:r>
              <w:t>Current visits are once every two weeks and provide a service to people who are at home and can visit at that particular time. It is often viewed by communities as a meeting place where people can gather and share information on a regular basis.</w:t>
            </w:r>
          </w:p>
        </w:tc>
        <w:tc>
          <w:tcPr>
            <w:tcW w:w="4114" w:type="dxa"/>
            <w:gridSpan w:val="2"/>
            <w:shd w:val="clear" w:color="auto" w:fill="auto"/>
          </w:tcPr>
          <w:p w:rsidR="00D54C36" w:rsidRDefault="00D64ED8" w:rsidP="00D64ED8">
            <w:r>
              <w:t xml:space="preserve">Small impact, all communities that currently have people using the mobile library service will retain a service, though some stops may be reduced.  Library staff will discuss individual needs with readers who will be </w:t>
            </w:r>
            <w:r w:rsidR="00A0700C">
              <w:t>a</w:t>
            </w:r>
            <w:r>
              <w:t xml:space="preserve">ffected by this change to work out what other options are suitable for them. </w:t>
            </w:r>
          </w:p>
          <w:p w:rsidR="00D64ED8" w:rsidRDefault="00D64ED8" w:rsidP="00D64ED8"/>
        </w:tc>
      </w:tr>
    </w:tbl>
    <w:p w:rsidR="002B3B5C" w:rsidRDefault="002B3B5C" w:rsidP="00163C4F">
      <w:pPr>
        <w:autoSpaceDE w:val="0"/>
        <w:autoSpaceDN w:val="0"/>
        <w:adjustRightInd w:val="0"/>
        <w:rPr>
          <w:b/>
          <w:sz w:val="32"/>
          <w:szCs w:val="32"/>
        </w:rPr>
      </w:pPr>
    </w:p>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6"/>
        <w:gridCol w:w="3519"/>
        <w:gridCol w:w="18"/>
        <w:gridCol w:w="3821"/>
        <w:gridCol w:w="1564"/>
        <w:gridCol w:w="1450"/>
        <w:gridCol w:w="14"/>
      </w:tblGrid>
      <w:tr w:rsidR="006B2DF8" w:rsidTr="00BE6975">
        <w:trPr>
          <w:gridAfter w:val="1"/>
          <w:wAfter w:w="10" w:type="dxa"/>
        </w:trPr>
        <w:tc>
          <w:tcPr>
            <w:tcW w:w="3794" w:type="dxa"/>
            <w:shd w:val="clear" w:color="auto" w:fill="D9D9D9"/>
            <w:vAlign w:val="center"/>
          </w:tcPr>
          <w:p w:rsidR="006B2DF8" w:rsidRDefault="00163C4F" w:rsidP="00BE6975">
            <w:pPr>
              <w:rPr>
                <w:b/>
                <w:sz w:val="24"/>
                <w:szCs w:val="24"/>
              </w:rPr>
            </w:pPr>
            <w:r>
              <w:rPr>
                <w:b/>
                <w:sz w:val="24"/>
                <w:szCs w:val="24"/>
              </w:rPr>
              <w:t>Issues identified</w:t>
            </w:r>
          </w:p>
        </w:tc>
        <w:tc>
          <w:tcPr>
            <w:tcW w:w="3544" w:type="dxa"/>
            <w:gridSpan w:val="3"/>
            <w:shd w:val="clear" w:color="auto" w:fill="D9D9D9"/>
            <w:vAlign w:val="center"/>
          </w:tcPr>
          <w:p w:rsidR="006B2DF8" w:rsidRDefault="00163C4F" w:rsidP="00BE6975">
            <w:pPr>
              <w:rPr>
                <w:b/>
                <w:sz w:val="24"/>
                <w:szCs w:val="24"/>
              </w:rPr>
            </w:pPr>
            <w:r>
              <w:rPr>
                <w:b/>
                <w:sz w:val="24"/>
                <w:szCs w:val="24"/>
              </w:rPr>
              <w:t>Actions required</w:t>
            </w:r>
          </w:p>
        </w:tc>
        <w:tc>
          <w:tcPr>
            <w:tcW w:w="3822" w:type="dxa"/>
            <w:shd w:val="clear" w:color="auto" w:fill="D9D9D9"/>
            <w:vAlign w:val="center"/>
          </w:tcPr>
          <w:p w:rsidR="006B2DF8" w:rsidRDefault="006B2DF8" w:rsidP="00BE6975">
            <w:pPr>
              <w:rPr>
                <w:b/>
                <w:sz w:val="24"/>
                <w:szCs w:val="24"/>
              </w:rPr>
            </w:pPr>
            <w:r>
              <w:rPr>
                <w:b/>
                <w:sz w:val="24"/>
                <w:szCs w:val="24"/>
              </w:rPr>
              <w:t>Progress milestones</w:t>
            </w:r>
          </w:p>
        </w:tc>
        <w:tc>
          <w:tcPr>
            <w:tcW w:w="1564" w:type="dxa"/>
            <w:shd w:val="clear" w:color="auto" w:fill="D9D9D9"/>
            <w:vAlign w:val="center"/>
          </w:tcPr>
          <w:p w:rsidR="006B2DF8" w:rsidRDefault="006B2DF8" w:rsidP="00BE6975">
            <w:pPr>
              <w:rPr>
                <w:b/>
                <w:sz w:val="24"/>
                <w:szCs w:val="24"/>
              </w:rPr>
            </w:pPr>
            <w:r>
              <w:rPr>
                <w:b/>
                <w:sz w:val="24"/>
                <w:szCs w:val="24"/>
              </w:rPr>
              <w:t>Officer responsible</w:t>
            </w:r>
          </w:p>
        </w:tc>
        <w:tc>
          <w:tcPr>
            <w:tcW w:w="1450" w:type="dxa"/>
            <w:shd w:val="clear" w:color="auto" w:fill="D9D9D9"/>
            <w:vAlign w:val="center"/>
          </w:tcPr>
          <w:p w:rsidR="006B2DF8" w:rsidRDefault="00163C4F" w:rsidP="00BE6975">
            <w:pPr>
              <w:rPr>
                <w:b/>
                <w:sz w:val="24"/>
                <w:szCs w:val="24"/>
              </w:rPr>
            </w:pPr>
            <w:r>
              <w:rPr>
                <w:b/>
                <w:sz w:val="24"/>
                <w:szCs w:val="24"/>
              </w:rPr>
              <w:t>By when</w:t>
            </w:r>
          </w:p>
        </w:tc>
      </w:tr>
      <w:tr w:rsidR="006B2DF8" w:rsidTr="00BE6975">
        <w:trPr>
          <w:gridAfter w:val="1"/>
          <w:wAfter w:w="10" w:type="dxa"/>
        </w:trPr>
        <w:tc>
          <w:tcPr>
            <w:tcW w:w="3794" w:type="dxa"/>
          </w:tcPr>
          <w:p w:rsidR="002B3B5C" w:rsidRDefault="00BE6975" w:rsidP="00BE6975">
            <w:r>
              <w:t xml:space="preserve">Consultation with Parish Council and current mobile users to </w:t>
            </w:r>
            <w:r w:rsidR="00D64ED8">
              <w:t xml:space="preserve">consider new timetable and </w:t>
            </w:r>
            <w:r w:rsidR="00A0700C">
              <w:t>any requests for amendments</w:t>
            </w:r>
          </w:p>
          <w:p w:rsidR="006B2DF8" w:rsidRDefault="006B2DF8" w:rsidP="00BE6975"/>
        </w:tc>
        <w:tc>
          <w:tcPr>
            <w:tcW w:w="3544" w:type="dxa"/>
            <w:gridSpan w:val="3"/>
          </w:tcPr>
          <w:p w:rsidR="0028243B" w:rsidRDefault="00D64ED8" w:rsidP="00BE6975">
            <w:r>
              <w:t>Consultation began on April 24</w:t>
            </w:r>
            <w:r w:rsidRPr="00D64ED8">
              <w:rPr>
                <w:vertAlign w:val="superscript"/>
              </w:rPr>
              <w:t>th</w:t>
            </w:r>
            <w:r>
              <w:t xml:space="preserve"> and ended on June 3</w:t>
            </w:r>
            <w:r w:rsidRPr="00D64ED8">
              <w:rPr>
                <w:vertAlign w:val="superscript"/>
              </w:rPr>
              <w:t>rd</w:t>
            </w:r>
            <w:r>
              <w:t xml:space="preserve"> 2013</w:t>
            </w:r>
          </w:p>
        </w:tc>
        <w:tc>
          <w:tcPr>
            <w:tcW w:w="3822" w:type="dxa"/>
          </w:tcPr>
          <w:p w:rsidR="0028243B" w:rsidRDefault="00D64ED8" w:rsidP="00BE6975">
            <w:r>
              <w:t>Consultation analysis June 5</w:t>
            </w:r>
            <w:r w:rsidRPr="002774E7">
              <w:rPr>
                <w:vertAlign w:val="superscript"/>
              </w:rPr>
              <w:t>th</w:t>
            </w:r>
            <w:r w:rsidR="002774E7">
              <w:t>.  All comments received have been considered and timetable adjusted accordingly.  All requests have been accommodated.</w:t>
            </w:r>
          </w:p>
        </w:tc>
        <w:tc>
          <w:tcPr>
            <w:tcW w:w="1564" w:type="dxa"/>
          </w:tcPr>
          <w:p w:rsidR="006B2DF8" w:rsidRDefault="00D64ED8" w:rsidP="00BE6975">
            <w:r>
              <w:t>June Brassington</w:t>
            </w:r>
          </w:p>
        </w:tc>
        <w:tc>
          <w:tcPr>
            <w:tcW w:w="1450" w:type="dxa"/>
          </w:tcPr>
          <w:p w:rsidR="006B2DF8" w:rsidRDefault="00D64ED8" w:rsidP="00BE6975">
            <w:r>
              <w:t>June 5th</w:t>
            </w:r>
          </w:p>
        </w:tc>
      </w:tr>
      <w:tr w:rsidR="006B2DF8" w:rsidTr="00BE6975">
        <w:trPr>
          <w:gridAfter w:val="1"/>
          <w:wAfter w:w="10" w:type="dxa"/>
        </w:trPr>
        <w:tc>
          <w:tcPr>
            <w:tcW w:w="3794" w:type="dxa"/>
          </w:tcPr>
          <w:p w:rsidR="006B2DF8" w:rsidRDefault="00BE6975" w:rsidP="00A0700C">
            <w:r>
              <w:t>Development of Home Library Service</w:t>
            </w:r>
            <w:r w:rsidR="00A0700C">
              <w:t xml:space="preserve"> to deli</w:t>
            </w:r>
            <w:r w:rsidR="00D64ED8">
              <w:t xml:space="preserve">ver more books and other items to people who cannot </w:t>
            </w:r>
            <w:r w:rsidR="00225A9B">
              <w:t>get to the mobile library after the new timetable comes into effect</w:t>
            </w:r>
            <w:r w:rsidR="00A0700C">
              <w:t xml:space="preserve"> nor to a static library</w:t>
            </w:r>
          </w:p>
        </w:tc>
        <w:tc>
          <w:tcPr>
            <w:tcW w:w="3544" w:type="dxa"/>
            <w:gridSpan w:val="3"/>
          </w:tcPr>
          <w:p w:rsidR="0028243B" w:rsidRDefault="00D64ED8" w:rsidP="00BE6975">
            <w:r>
              <w:t>Additional volunteers to be recruited and trained.  The service can only grow as quickly as volunteers are available to deliver it</w:t>
            </w:r>
          </w:p>
        </w:tc>
        <w:tc>
          <w:tcPr>
            <w:tcW w:w="3822" w:type="dxa"/>
          </w:tcPr>
          <w:p w:rsidR="00225A9B" w:rsidRDefault="00225A9B" w:rsidP="00225A9B">
            <w:r>
              <w:t xml:space="preserve">Recruitment of volunteers – via Volunteer Centre. </w:t>
            </w:r>
          </w:p>
          <w:p w:rsidR="0028243B" w:rsidRDefault="00225A9B" w:rsidP="00225A9B">
            <w:r>
              <w:t>Training and enrolment</w:t>
            </w:r>
          </w:p>
        </w:tc>
        <w:tc>
          <w:tcPr>
            <w:tcW w:w="1564" w:type="dxa"/>
          </w:tcPr>
          <w:p w:rsidR="006B2DF8" w:rsidRDefault="00225A9B" w:rsidP="00BE6975">
            <w:r>
              <w:t>Penny Lorenc, Kate Castree</w:t>
            </w:r>
          </w:p>
        </w:tc>
        <w:tc>
          <w:tcPr>
            <w:tcW w:w="1450" w:type="dxa"/>
          </w:tcPr>
          <w:p w:rsidR="00071C4B" w:rsidRDefault="00945FFB" w:rsidP="00412820">
            <w:r>
              <w:t xml:space="preserve">Responsive </w:t>
            </w:r>
            <w:r w:rsidR="00365C24">
              <w:t>dependent on the number of requests receive</w:t>
            </w:r>
            <w:r w:rsidR="00412820">
              <w:t>d</w:t>
            </w:r>
            <w:r w:rsidR="00365C24">
              <w:t xml:space="preserve">  as the new timetable is </w:t>
            </w:r>
            <w:r w:rsidR="00412820">
              <w:t>promoted and the recruitment of volunteers</w:t>
            </w:r>
          </w:p>
        </w:tc>
      </w:tr>
      <w:tr w:rsidR="00412820" w:rsidTr="00BE6975">
        <w:trPr>
          <w:gridAfter w:val="1"/>
          <w:wAfter w:w="10" w:type="dxa"/>
        </w:trPr>
        <w:tc>
          <w:tcPr>
            <w:tcW w:w="3794" w:type="dxa"/>
          </w:tcPr>
          <w:p w:rsidR="00412820" w:rsidRDefault="00412820" w:rsidP="00BE6975">
            <w:r>
              <w:t>New timetable publicity, especially for disabled/older people</w:t>
            </w:r>
          </w:p>
        </w:tc>
        <w:tc>
          <w:tcPr>
            <w:tcW w:w="3544" w:type="dxa"/>
            <w:gridSpan w:val="3"/>
          </w:tcPr>
          <w:p w:rsidR="00412820" w:rsidRDefault="00945FFB" w:rsidP="00945FFB">
            <w:r>
              <w:t>Leaflet and posters available in large print notifying users how to find out more information.  Timetables available in libraries and online – notice that it can be requested in other formats .</w:t>
            </w:r>
          </w:p>
          <w:p w:rsidR="00945FFB" w:rsidRDefault="00945FFB" w:rsidP="00945FFB"/>
        </w:tc>
        <w:tc>
          <w:tcPr>
            <w:tcW w:w="3822" w:type="dxa"/>
          </w:tcPr>
          <w:p w:rsidR="00412820" w:rsidRDefault="00945FFB" w:rsidP="00225A9B">
            <w:r>
              <w:t>Press release awaiting approval from J. Mercer 14.6.13</w:t>
            </w:r>
          </w:p>
          <w:p w:rsidR="00945FFB" w:rsidRDefault="00945FFB" w:rsidP="00225A9B">
            <w:r>
              <w:t>New timetables circulated and available on –line from 17</w:t>
            </w:r>
            <w:r w:rsidRPr="00945FFB">
              <w:rPr>
                <w:vertAlign w:val="superscript"/>
              </w:rPr>
              <w:t>th</w:t>
            </w:r>
            <w:r>
              <w:t xml:space="preserve"> June Council Connect fully briefed</w:t>
            </w:r>
          </w:p>
        </w:tc>
        <w:tc>
          <w:tcPr>
            <w:tcW w:w="1564" w:type="dxa"/>
          </w:tcPr>
          <w:p w:rsidR="00412820" w:rsidRDefault="00945FFB" w:rsidP="00BE6975">
            <w:r>
              <w:t>Pete Moth</w:t>
            </w:r>
          </w:p>
        </w:tc>
        <w:tc>
          <w:tcPr>
            <w:tcW w:w="1450" w:type="dxa"/>
          </w:tcPr>
          <w:p w:rsidR="00412820" w:rsidRDefault="00945FFB" w:rsidP="00BE6975">
            <w:r>
              <w:t>June 17th</w:t>
            </w:r>
          </w:p>
        </w:tc>
      </w:tr>
      <w:tr w:rsidR="006B2DF8" w:rsidTr="00BE6975">
        <w:trPr>
          <w:gridAfter w:val="1"/>
          <w:wAfter w:w="10" w:type="dxa"/>
        </w:trPr>
        <w:tc>
          <w:tcPr>
            <w:tcW w:w="3794" w:type="dxa"/>
          </w:tcPr>
          <w:p w:rsidR="006B2DF8" w:rsidRDefault="006B2DF8" w:rsidP="00BE6975"/>
          <w:p w:rsidR="00BE6975" w:rsidRDefault="00BE6975" w:rsidP="00BE6975">
            <w:r>
              <w:t>Closer partnership with Community Transport</w:t>
            </w:r>
          </w:p>
          <w:p w:rsidR="00BE6975" w:rsidRDefault="00BE6975" w:rsidP="00BE6975"/>
          <w:p w:rsidR="00BE6975" w:rsidRDefault="00BE6975" w:rsidP="00BE6975"/>
        </w:tc>
        <w:tc>
          <w:tcPr>
            <w:tcW w:w="3544" w:type="dxa"/>
            <w:gridSpan w:val="3"/>
          </w:tcPr>
          <w:p w:rsidR="0028243B" w:rsidRDefault="00225A9B" w:rsidP="00225A9B">
            <w:r>
              <w:t xml:space="preserve">Following individual consultation with readers, if any require help in accessing community transport to get to a static library, the library service will aid their request </w:t>
            </w:r>
          </w:p>
        </w:tc>
        <w:tc>
          <w:tcPr>
            <w:tcW w:w="3822" w:type="dxa"/>
          </w:tcPr>
          <w:p w:rsidR="00D34F21" w:rsidRDefault="00225A9B" w:rsidP="00225A9B">
            <w:r>
              <w:t>This will be on an individual basis following conversations with current readers</w:t>
            </w:r>
          </w:p>
        </w:tc>
        <w:tc>
          <w:tcPr>
            <w:tcW w:w="1564" w:type="dxa"/>
          </w:tcPr>
          <w:p w:rsidR="006B2DF8" w:rsidRDefault="00225A9B" w:rsidP="00BE6975">
            <w:r>
              <w:t>Penny Lorenc, June Brassington</w:t>
            </w:r>
          </w:p>
        </w:tc>
        <w:tc>
          <w:tcPr>
            <w:tcW w:w="1450" w:type="dxa"/>
          </w:tcPr>
          <w:p w:rsidR="006B2DF8" w:rsidRDefault="00225A9B" w:rsidP="00BE6975">
            <w:r>
              <w:t>Ongoing</w:t>
            </w:r>
          </w:p>
          <w:p w:rsidR="00071C4B" w:rsidRDefault="00071C4B" w:rsidP="00BE6975"/>
        </w:tc>
      </w:tr>
      <w:tr w:rsidR="00C70B44" w:rsidTr="00BE6975">
        <w:trPr>
          <w:gridAfter w:val="1"/>
          <w:wAfter w:w="10" w:type="dxa"/>
        </w:trPr>
        <w:tc>
          <w:tcPr>
            <w:tcW w:w="3794" w:type="dxa"/>
          </w:tcPr>
          <w:p w:rsidR="00BE6975" w:rsidRDefault="00BE6975" w:rsidP="00BE6975">
            <w:r>
              <w:t>Extending static library opening hours</w:t>
            </w:r>
          </w:p>
          <w:p w:rsidR="00C70B44" w:rsidRDefault="00C70B44" w:rsidP="00BE6975"/>
          <w:p w:rsidR="00C70B44" w:rsidRDefault="00C70B44" w:rsidP="00BE6975"/>
          <w:p w:rsidR="00C70B44" w:rsidDel="00C70B44" w:rsidRDefault="00C70B44" w:rsidP="00BE6975"/>
        </w:tc>
        <w:tc>
          <w:tcPr>
            <w:tcW w:w="3544" w:type="dxa"/>
            <w:gridSpan w:val="3"/>
          </w:tcPr>
          <w:p w:rsidR="00C70B44" w:rsidRDefault="007144E7" w:rsidP="00BE6975">
            <w:r>
              <w:t>‘The Hub’ at Paulton now opens 36 hours due to volunteer support.  Volunteer help is due to be rolled out to other smaller libraries 2013/14</w:t>
            </w:r>
          </w:p>
          <w:p w:rsidR="007144E7" w:rsidRDefault="007144E7" w:rsidP="007144E7"/>
        </w:tc>
        <w:tc>
          <w:tcPr>
            <w:tcW w:w="3822" w:type="dxa"/>
          </w:tcPr>
          <w:p w:rsidR="00C70B44" w:rsidRDefault="00C70B44" w:rsidP="00BE6975"/>
        </w:tc>
        <w:tc>
          <w:tcPr>
            <w:tcW w:w="1564" w:type="dxa"/>
          </w:tcPr>
          <w:p w:rsidR="00C70B44" w:rsidRDefault="007144E7" w:rsidP="007144E7">
            <w:r>
              <w:t>June Brassington, Helen Chamberlain</w:t>
            </w:r>
          </w:p>
        </w:tc>
        <w:tc>
          <w:tcPr>
            <w:tcW w:w="1450" w:type="dxa"/>
          </w:tcPr>
          <w:p w:rsidR="00C70B44" w:rsidRDefault="007144E7" w:rsidP="00BE6975">
            <w:r>
              <w:t>Ongoing</w:t>
            </w:r>
          </w:p>
        </w:tc>
      </w:tr>
      <w:tr w:rsidR="00BE6975" w:rsidTr="00BE6975">
        <w:tblPrEx>
          <w:tblLook w:val="0000" w:firstRow="0" w:lastRow="0" w:firstColumn="0" w:lastColumn="0" w:noHBand="0" w:noVBand="0"/>
        </w:tblPrEx>
        <w:trPr>
          <w:trHeight w:val="380"/>
        </w:trPr>
        <w:tc>
          <w:tcPr>
            <w:tcW w:w="3800" w:type="dxa"/>
            <w:gridSpan w:val="2"/>
          </w:tcPr>
          <w:p w:rsidR="00BE6975" w:rsidRDefault="00BE6975" w:rsidP="00BE6975">
            <w:r>
              <w:t>Developing library collections in local places, I,e, village halls</w:t>
            </w:r>
          </w:p>
          <w:p w:rsidR="00BE6975" w:rsidRDefault="00BE6975" w:rsidP="00BE6975"/>
          <w:p w:rsidR="00BE6975" w:rsidRDefault="00BE6975"/>
        </w:tc>
        <w:tc>
          <w:tcPr>
            <w:tcW w:w="3520" w:type="dxa"/>
          </w:tcPr>
          <w:p w:rsidR="00BE6975" w:rsidRDefault="007144E7" w:rsidP="00A0700C">
            <w:r>
              <w:t xml:space="preserve">Three community libraries have opened – Larkhall, Combe Hay and Chew Stoke, these collections and </w:t>
            </w:r>
            <w:r w:rsidR="00A0700C">
              <w:t>service</w:t>
            </w:r>
            <w:r>
              <w:t xml:space="preserve"> will be developed during 2013</w:t>
            </w:r>
          </w:p>
        </w:tc>
        <w:tc>
          <w:tcPr>
            <w:tcW w:w="3840" w:type="dxa"/>
            <w:gridSpan w:val="2"/>
          </w:tcPr>
          <w:p w:rsidR="00BE6975" w:rsidRDefault="00BE6975"/>
        </w:tc>
        <w:tc>
          <w:tcPr>
            <w:tcW w:w="1560" w:type="dxa"/>
          </w:tcPr>
          <w:p w:rsidR="00BE6975" w:rsidRDefault="007144E7">
            <w:r>
              <w:t>Ginny Anderson, Julia Burton</w:t>
            </w:r>
          </w:p>
        </w:tc>
        <w:tc>
          <w:tcPr>
            <w:tcW w:w="1464" w:type="dxa"/>
            <w:gridSpan w:val="2"/>
          </w:tcPr>
          <w:p w:rsidR="00BE6975" w:rsidRDefault="007144E7">
            <w:r>
              <w:t>Ongoing</w:t>
            </w:r>
          </w:p>
        </w:tc>
      </w:tr>
    </w:tbl>
    <w:p w:rsidR="006B2DF8" w:rsidRDefault="006B2DF8"/>
    <w:p w:rsidR="002B3B5C" w:rsidRDefault="002B3B5C"/>
    <w:p w:rsidR="002B3B5C" w:rsidRDefault="002B3B5C"/>
    <w:p w:rsidR="002B3B5C" w:rsidRDefault="002B3B5C">
      <w:pPr>
        <w:rPr>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0"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00EB3B11">
        <w:rPr>
          <w:sz w:val="28"/>
          <w:szCs w:val="28"/>
        </w:rPr>
        <w:t>D. Trigwell</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rsidR="002B3B5C" w:rsidRPr="002B3B5C" w:rsidRDefault="002B3B5C" w:rsidP="00543922">
      <w:pPr>
        <w:rPr>
          <w:b/>
          <w:sz w:val="28"/>
          <w:szCs w:val="28"/>
        </w:rPr>
      </w:pPr>
      <w:r w:rsidRPr="002B3B5C">
        <w:rPr>
          <w:b/>
          <w:sz w:val="28"/>
          <w:szCs w:val="28"/>
        </w:rPr>
        <w:t>Date:</w:t>
      </w:r>
      <w:r w:rsidR="00EB3B11">
        <w:rPr>
          <w:b/>
          <w:sz w:val="28"/>
          <w:szCs w:val="28"/>
        </w:rPr>
        <w:t xml:space="preserve">   10.6.13</w:t>
      </w:r>
    </w:p>
    <w:sectPr w:rsidR="002B3B5C" w:rsidRPr="002B3B5C" w:rsidSect="002B3B5C">
      <w:footerReference w:type="default" r:id="rId11"/>
      <w:headerReference w:type="first" r:id="rId12"/>
      <w:footerReference w:type="first" r:id="rId13"/>
      <w:pgSz w:w="16838" w:h="11906" w:orient="landscape"/>
      <w:pgMar w:top="1079" w:right="1440" w:bottom="1440" w:left="1440" w:header="72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uise Murphy" w:date="2013-06-13T11:06:00Z" w:initials="LM">
    <w:p w:rsidR="00FA4798" w:rsidRDefault="00FA4798">
      <w:pPr>
        <w:pStyle w:val="CommentText"/>
      </w:pPr>
      <w:r>
        <w:rPr>
          <w:rStyle w:val="CommentReference"/>
        </w:rPr>
        <w:annotationRef/>
      </w:r>
      <w:r>
        <w:t>Does this point conflict with the second bullet point – stops where people drive are to be cut?!</w:t>
      </w:r>
    </w:p>
  </w:comment>
  <w:comment w:id="2" w:author="June Brassington" w:date="2013-06-14T10:45:00Z" w:initials="JB">
    <w:p w:rsidR="00365C24" w:rsidRDefault="00365C24">
      <w:pPr>
        <w:pStyle w:val="CommentText"/>
      </w:pPr>
      <w:r>
        <w:rPr>
          <w:rStyle w:val="CommentReference"/>
        </w:rPr>
        <w:annotationRef/>
      </w:r>
      <w:r>
        <w:t>No conflict – The first is where readers drive to the mobile, therefore they could drive to another stop, the fourth point is that there are some places where the mobile parks which are potentially hazardous, i.e. it sticks out in the road/on a bend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B0" w:rsidRDefault="00DD68B0">
      <w:r>
        <w:separator/>
      </w:r>
    </w:p>
    <w:p w:rsidR="00DD68B0" w:rsidRDefault="00DD68B0"/>
    <w:p w:rsidR="00DD68B0" w:rsidRDefault="00DD68B0"/>
  </w:endnote>
  <w:endnote w:type="continuationSeparator" w:id="0">
    <w:p w:rsidR="00DD68B0" w:rsidRDefault="00DD68B0">
      <w:r>
        <w:continuationSeparator/>
      </w:r>
    </w:p>
    <w:p w:rsidR="00DD68B0" w:rsidRDefault="00DD68B0"/>
    <w:p w:rsidR="00DD68B0" w:rsidRDefault="00DD6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E7" w:rsidRDefault="007144E7">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60A0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60A03">
      <w:rPr>
        <w:noProof/>
        <w:snapToGrid w:val="0"/>
      </w:rPr>
      <w:t>9</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E7" w:rsidRDefault="00860A03">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B0" w:rsidRDefault="00DD68B0">
      <w:r>
        <w:separator/>
      </w:r>
    </w:p>
    <w:p w:rsidR="00DD68B0" w:rsidRDefault="00DD68B0"/>
    <w:p w:rsidR="00DD68B0" w:rsidRDefault="00DD68B0"/>
  </w:footnote>
  <w:footnote w:type="continuationSeparator" w:id="0">
    <w:p w:rsidR="00DD68B0" w:rsidRDefault="00DD68B0">
      <w:r>
        <w:continuationSeparator/>
      </w:r>
    </w:p>
    <w:p w:rsidR="00DD68B0" w:rsidRDefault="00DD68B0"/>
    <w:p w:rsidR="00DD68B0" w:rsidRDefault="00DD6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E7" w:rsidRPr="002E7EF8" w:rsidRDefault="007144E7">
    <w:pPr>
      <w:pStyle w:val="Header"/>
      <w:rPr>
        <w:sz w:val="56"/>
        <w:szCs w:val="56"/>
      </w:rPr>
    </w:pPr>
    <w:r>
      <w:rPr>
        <w:sz w:val="56"/>
        <w:szCs w:val="56"/>
      </w:rPr>
      <w:t xml:space="preserve"> </w:t>
    </w:r>
    <w:r w:rsidR="00860A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107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C743D3"/>
    <w:multiLevelType w:val="hybridMultilevel"/>
    <w:tmpl w:val="4CBE6662"/>
    <w:lvl w:ilvl="0" w:tplc="C1B84F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B72B00"/>
    <w:multiLevelType w:val="hybridMultilevel"/>
    <w:tmpl w:val="A01A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AF11ED"/>
    <w:multiLevelType w:val="hybridMultilevel"/>
    <w:tmpl w:val="C8249AB6"/>
    <w:lvl w:ilvl="0" w:tplc="08090001">
      <w:start w:val="1"/>
      <w:numFmt w:val="bullet"/>
      <w:lvlText w:val=""/>
      <w:lvlJc w:val="left"/>
      <w:pPr>
        <w:ind w:left="187" w:hanging="360"/>
      </w:pPr>
      <w:rPr>
        <w:rFonts w:ascii="Symbol" w:hAnsi="Symbol"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17">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9"/>
  </w:num>
  <w:num w:numId="4">
    <w:abstractNumId w:val="20"/>
  </w:num>
  <w:num w:numId="5">
    <w:abstractNumId w:val="22"/>
  </w:num>
  <w:num w:numId="6">
    <w:abstractNumId w:val="19"/>
  </w:num>
  <w:num w:numId="7">
    <w:abstractNumId w:val="21"/>
  </w:num>
  <w:num w:numId="8">
    <w:abstractNumId w:val="14"/>
  </w:num>
  <w:num w:numId="9">
    <w:abstractNumId w:val="4"/>
  </w:num>
  <w:num w:numId="10">
    <w:abstractNumId w:val="15"/>
  </w:num>
  <w:num w:numId="11">
    <w:abstractNumId w:val="6"/>
  </w:num>
  <w:num w:numId="12">
    <w:abstractNumId w:val="3"/>
  </w:num>
  <w:num w:numId="13">
    <w:abstractNumId w:val="13"/>
  </w:num>
  <w:num w:numId="14">
    <w:abstractNumId w:val="17"/>
  </w:num>
  <w:num w:numId="15">
    <w:abstractNumId w:val="7"/>
  </w:num>
  <w:num w:numId="16">
    <w:abstractNumId w:val="23"/>
  </w:num>
  <w:num w:numId="17">
    <w:abstractNumId w:val="10"/>
  </w:num>
  <w:num w:numId="18">
    <w:abstractNumId w:val="0"/>
  </w:num>
  <w:num w:numId="19">
    <w:abstractNumId w:val="1"/>
  </w:num>
  <w:num w:numId="20">
    <w:abstractNumId w:val="5"/>
  </w:num>
  <w:num w:numId="21">
    <w:abstractNumId w:val="8"/>
  </w:num>
  <w:num w:numId="22">
    <w:abstractNumId w:val="1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7611"/>
    <w:rsid w:val="00071C4B"/>
    <w:rsid w:val="000722BB"/>
    <w:rsid w:val="0009484C"/>
    <w:rsid w:val="000A184F"/>
    <w:rsid w:val="000A35B3"/>
    <w:rsid w:val="000C7AD2"/>
    <w:rsid w:val="000E51CA"/>
    <w:rsid w:val="0010752D"/>
    <w:rsid w:val="00142830"/>
    <w:rsid w:val="00163C4F"/>
    <w:rsid w:val="001734E3"/>
    <w:rsid w:val="00204772"/>
    <w:rsid w:val="00223636"/>
    <w:rsid w:val="00225A9B"/>
    <w:rsid w:val="00230F50"/>
    <w:rsid w:val="0023292D"/>
    <w:rsid w:val="0023474C"/>
    <w:rsid w:val="002524FE"/>
    <w:rsid w:val="00256E5A"/>
    <w:rsid w:val="00272C3A"/>
    <w:rsid w:val="002774E7"/>
    <w:rsid w:val="0028243B"/>
    <w:rsid w:val="002A17F4"/>
    <w:rsid w:val="002B3B5C"/>
    <w:rsid w:val="002B53E5"/>
    <w:rsid w:val="002C0763"/>
    <w:rsid w:val="002C1B75"/>
    <w:rsid w:val="002D33D2"/>
    <w:rsid w:val="002E7EF8"/>
    <w:rsid w:val="002F60CC"/>
    <w:rsid w:val="00307CB7"/>
    <w:rsid w:val="00343693"/>
    <w:rsid w:val="00346846"/>
    <w:rsid w:val="00362518"/>
    <w:rsid w:val="00365C24"/>
    <w:rsid w:val="003670ED"/>
    <w:rsid w:val="00381E3F"/>
    <w:rsid w:val="00391438"/>
    <w:rsid w:val="00391EBA"/>
    <w:rsid w:val="003A0A1D"/>
    <w:rsid w:val="003D031B"/>
    <w:rsid w:val="003D5896"/>
    <w:rsid w:val="004001AB"/>
    <w:rsid w:val="0041018B"/>
    <w:rsid w:val="00412820"/>
    <w:rsid w:val="00431237"/>
    <w:rsid w:val="0044186E"/>
    <w:rsid w:val="00446395"/>
    <w:rsid w:val="004860A1"/>
    <w:rsid w:val="004C1EB6"/>
    <w:rsid w:val="004C318C"/>
    <w:rsid w:val="004C4A15"/>
    <w:rsid w:val="004D2AB5"/>
    <w:rsid w:val="004E418F"/>
    <w:rsid w:val="004F5AC9"/>
    <w:rsid w:val="00500300"/>
    <w:rsid w:val="005060D2"/>
    <w:rsid w:val="00524F03"/>
    <w:rsid w:val="00532357"/>
    <w:rsid w:val="005365D0"/>
    <w:rsid w:val="00543922"/>
    <w:rsid w:val="005618FF"/>
    <w:rsid w:val="00565025"/>
    <w:rsid w:val="00573640"/>
    <w:rsid w:val="005A3B4C"/>
    <w:rsid w:val="005A4AA2"/>
    <w:rsid w:val="005D7C5F"/>
    <w:rsid w:val="005E0695"/>
    <w:rsid w:val="005F46E5"/>
    <w:rsid w:val="00603419"/>
    <w:rsid w:val="00647737"/>
    <w:rsid w:val="0065257C"/>
    <w:rsid w:val="006651F7"/>
    <w:rsid w:val="006B2DF8"/>
    <w:rsid w:val="006D0E8C"/>
    <w:rsid w:val="00713445"/>
    <w:rsid w:val="007144E7"/>
    <w:rsid w:val="00724863"/>
    <w:rsid w:val="007370BE"/>
    <w:rsid w:val="00744837"/>
    <w:rsid w:val="007A3E90"/>
    <w:rsid w:val="007A5063"/>
    <w:rsid w:val="007C694D"/>
    <w:rsid w:val="007D076A"/>
    <w:rsid w:val="007E2562"/>
    <w:rsid w:val="007F4C18"/>
    <w:rsid w:val="008075D3"/>
    <w:rsid w:val="0082170A"/>
    <w:rsid w:val="00840504"/>
    <w:rsid w:val="00842686"/>
    <w:rsid w:val="00844682"/>
    <w:rsid w:val="008520AA"/>
    <w:rsid w:val="00860A03"/>
    <w:rsid w:val="00867863"/>
    <w:rsid w:val="00897896"/>
    <w:rsid w:val="008B760D"/>
    <w:rsid w:val="008E79D1"/>
    <w:rsid w:val="009171DA"/>
    <w:rsid w:val="009214A3"/>
    <w:rsid w:val="00922FEE"/>
    <w:rsid w:val="00943384"/>
    <w:rsid w:val="00945FFB"/>
    <w:rsid w:val="00946D77"/>
    <w:rsid w:val="0096291D"/>
    <w:rsid w:val="009B5A08"/>
    <w:rsid w:val="009B5A1C"/>
    <w:rsid w:val="009C4D42"/>
    <w:rsid w:val="00A0700C"/>
    <w:rsid w:val="00A125C2"/>
    <w:rsid w:val="00A26DC2"/>
    <w:rsid w:val="00A322BE"/>
    <w:rsid w:val="00AA1B1B"/>
    <w:rsid w:val="00AF1F77"/>
    <w:rsid w:val="00B20637"/>
    <w:rsid w:val="00B51359"/>
    <w:rsid w:val="00B57865"/>
    <w:rsid w:val="00B83C6C"/>
    <w:rsid w:val="00B8565F"/>
    <w:rsid w:val="00B86FBE"/>
    <w:rsid w:val="00B94585"/>
    <w:rsid w:val="00BC0B1B"/>
    <w:rsid w:val="00BC3E3F"/>
    <w:rsid w:val="00BD1C09"/>
    <w:rsid w:val="00BE6975"/>
    <w:rsid w:val="00BE7DB2"/>
    <w:rsid w:val="00C045BC"/>
    <w:rsid w:val="00C14271"/>
    <w:rsid w:val="00C163FE"/>
    <w:rsid w:val="00C3370E"/>
    <w:rsid w:val="00C42998"/>
    <w:rsid w:val="00C4328A"/>
    <w:rsid w:val="00C56843"/>
    <w:rsid w:val="00C63343"/>
    <w:rsid w:val="00C64D7C"/>
    <w:rsid w:val="00C70B44"/>
    <w:rsid w:val="00C83741"/>
    <w:rsid w:val="00C915DA"/>
    <w:rsid w:val="00CB3CD8"/>
    <w:rsid w:val="00CB514F"/>
    <w:rsid w:val="00CE4875"/>
    <w:rsid w:val="00CE5648"/>
    <w:rsid w:val="00CF282A"/>
    <w:rsid w:val="00CF6171"/>
    <w:rsid w:val="00D34F21"/>
    <w:rsid w:val="00D36EE9"/>
    <w:rsid w:val="00D51631"/>
    <w:rsid w:val="00D54C36"/>
    <w:rsid w:val="00D64907"/>
    <w:rsid w:val="00D64ED8"/>
    <w:rsid w:val="00DD68B0"/>
    <w:rsid w:val="00E02A31"/>
    <w:rsid w:val="00E41F95"/>
    <w:rsid w:val="00E4699F"/>
    <w:rsid w:val="00E54AC2"/>
    <w:rsid w:val="00E62C69"/>
    <w:rsid w:val="00E65651"/>
    <w:rsid w:val="00E67B1F"/>
    <w:rsid w:val="00EB3B11"/>
    <w:rsid w:val="00ED5CED"/>
    <w:rsid w:val="00EE1489"/>
    <w:rsid w:val="00EE20BF"/>
    <w:rsid w:val="00EE50F5"/>
    <w:rsid w:val="00EF61CE"/>
    <w:rsid w:val="00F2703E"/>
    <w:rsid w:val="00F43499"/>
    <w:rsid w:val="00F538E8"/>
    <w:rsid w:val="00F60057"/>
    <w:rsid w:val="00F67000"/>
    <w:rsid w:val="00F714E6"/>
    <w:rsid w:val="00F93043"/>
    <w:rsid w:val="00FA4798"/>
    <w:rsid w:val="00FB1656"/>
    <w:rsid w:val="00FB3089"/>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legdslegrhslegp2text1">
    <w:name w:val="legds legrhs legp2text1"/>
    <w:rsid w:val="00C63343"/>
    <w:rPr>
      <w:vanish w:val="0"/>
      <w:webHidden w:val="0"/>
      <w:sz w:val="30"/>
      <w:szCs w:val="30"/>
      <w:shd w:val="clear" w:color="auto" w:fill="FFFFFF"/>
      <w:specVanish w:val="0"/>
    </w:rPr>
  </w:style>
  <w:style w:type="character" w:styleId="CommentReference">
    <w:name w:val="annotation reference"/>
    <w:uiPriority w:val="99"/>
    <w:semiHidden/>
    <w:unhideWhenUsed/>
    <w:rsid w:val="00D64907"/>
    <w:rPr>
      <w:sz w:val="16"/>
      <w:szCs w:val="16"/>
    </w:rPr>
  </w:style>
  <w:style w:type="paragraph" w:styleId="CommentText">
    <w:name w:val="annotation text"/>
    <w:basedOn w:val="Normal"/>
    <w:link w:val="CommentTextChar"/>
    <w:uiPriority w:val="99"/>
    <w:semiHidden/>
    <w:unhideWhenUsed/>
    <w:rsid w:val="00D64907"/>
    <w:rPr>
      <w:sz w:val="20"/>
      <w:szCs w:val="20"/>
    </w:rPr>
  </w:style>
  <w:style w:type="character" w:customStyle="1" w:styleId="CommentTextChar">
    <w:name w:val="Comment Text Char"/>
    <w:link w:val="CommentText"/>
    <w:uiPriority w:val="99"/>
    <w:semiHidden/>
    <w:rsid w:val="00D649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64907"/>
    <w:rPr>
      <w:b/>
      <w:bCs/>
    </w:rPr>
  </w:style>
  <w:style w:type="character" w:customStyle="1" w:styleId="CommentSubjectChar">
    <w:name w:val="Comment Subject Char"/>
    <w:link w:val="CommentSubject"/>
    <w:uiPriority w:val="99"/>
    <w:semiHidden/>
    <w:rsid w:val="00D6490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206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quality@bathnes.gov.u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E1C1-3F62-4D77-A0D4-C90DAC3F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5E2B0032.dotm</Template>
  <TotalTime>1</TotalTime>
  <Pages>9</Pages>
  <Words>2335</Words>
  <Characters>13313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15617</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 </dc:title>
  <dc:subject/>
  <dc:creator>robin.daly</dc:creator>
  <cp:keywords/>
  <cp:lastModifiedBy>Louise Murphy</cp:lastModifiedBy>
  <cp:revision>2</cp:revision>
  <cp:lastPrinted>2008-09-11T08:20:00Z</cp:lastPrinted>
  <dcterms:created xsi:type="dcterms:W3CDTF">2013-08-21T12:48:00Z</dcterms:created>
  <dcterms:modified xsi:type="dcterms:W3CDTF">2013-08-21T12:48:00Z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