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75663" w14:textId="77777777" w:rsidR="00EE6918" w:rsidRPr="001C647C" w:rsidRDefault="00EE6918">
      <w:pPr>
        <w:rPr>
          <w:rFonts w:ascii="Arial" w:hAnsi="Arial" w:cs="Arial"/>
        </w:rPr>
      </w:pPr>
    </w:p>
    <w:p w14:paraId="4A69FD8A" w14:textId="77777777" w:rsidR="00EE6918" w:rsidRPr="001C647C" w:rsidRDefault="00EE6918">
      <w:pPr>
        <w:rPr>
          <w:rFonts w:ascii="Arial" w:hAnsi="Arial" w:cs="Arial"/>
        </w:rPr>
      </w:pPr>
    </w:p>
    <w:p w14:paraId="5F306E59" w14:textId="77777777" w:rsidR="00EA0226" w:rsidRDefault="00EA0226" w:rsidP="00EE6918">
      <w:pPr>
        <w:rPr>
          <w:rFonts w:ascii="Arial" w:hAnsi="Arial" w:cs="Arial"/>
          <w:b/>
          <w:sz w:val="24"/>
          <w:szCs w:val="24"/>
          <w:u w:val="single"/>
        </w:rPr>
      </w:pPr>
    </w:p>
    <w:p w14:paraId="600636A7" w14:textId="77777777" w:rsidR="00EA0226" w:rsidRDefault="00EA0226" w:rsidP="00EE6918">
      <w:pPr>
        <w:rPr>
          <w:rFonts w:ascii="Arial" w:hAnsi="Arial" w:cs="Arial"/>
          <w:b/>
          <w:sz w:val="24"/>
          <w:szCs w:val="24"/>
          <w:u w:val="single"/>
        </w:rPr>
      </w:pPr>
      <w:r w:rsidRPr="00EA0226">
        <w:rPr>
          <w:noProof/>
        </w:rPr>
        <mc:AlternateContent>
          <mc:Choice Requires="wps">
            <w:drawing>
              <wp:anchor distT="0" distB="0" distL="114300" distR="114300" simplePos="0" relativeHeight="251659264" behindDoc="0" locked="0" layoutInCell="1" allowOverlap="1" wp14:anchorId="73A78B14" wp14:editId="0AE5A154">
                <wp:simplePos x="0" y="0"/>
                <wp:positionH relativeFrom="column">
                  <wp:posOffset>-83820</wp:posOffset>
                </wp:positionH>
                <wp:positionV relativeFrom="paragraph">
                  <wp:posOffset>128905</wp:posOffset>
                </wp:positionV>
                <wp:extent cx="6419850" cy="3714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371475"/>
                        </a:xfrm>
                        <a:prstGeom prst="rect">
                          <a:avLst/>
                        </a:prstGeom>
                        <a:noFill/>
                        <a:ln w="9525">
                          <a:noFill/>
                          <a:miter lim="800000"/>
                          <a:headEnd/>
                          <a:tailEnd/>
                        </a:ln>
                      </wps:spPr>
                      <wps:txbx>
                        <w:txbxContent>
                          <w:p w14:paraId="4B2356EB" w14:textId="096085A1" w:rsidR="00E7438B" w:rsidRPr="005D065A" w:rsidRDefault="00E7438B" w:rsidP="00EA0226">
                            <w:pPr>
                              <w:rPr>
                                <w:rFonts w:ascii="Arial" w:hAnsi="Arial" w:cs="Arial"/>
                                <w:b/>
                                <w:sz w:val="32"/>
                                <w:szCs w:val="24"/>
                              </w:rPr>
                            </w:pPr>
                            <w:r w:rsidRPr="005D065A">
                              <w:rPr>
                                <w:rFonts w:ascii="Arial" w:hAnsi="Arial" w:cs="Arial"/>
                                <w:b/>
                                <w:sz w:val="32"/>
                                <w:szCs w:val="24"/>
                              </w:rPr>
                              <w:t xml:space="preserve">Gender Pay Gap Report </w:t>
                            </w:r>
                            <w:r>
                              <w:rPr>
                                <w:rFonts w:ascii="Arial" w:hAnsi="Arial" w:cs="Arial"/>
                                <w:b/>
                                <w:sz w:val="32"/>
                                <w:szCs w:val="24"/>
                              </w:rPr>
                              <w:t>2020 (snapshot date of 31 March 2020)</w:t>
                            </w:r>
                          </w:p>
                          <w:p w14:paraId="25CA44F3" w14:textId="77777777" w:rsidR="00E7438B" w:rsidRDefault="00E7438B" w:rsidP="00EA02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78B14" id="_x0000_t202" coordsize="21600,21600" o:spt="202" path="m,l,21600r21600,l21600,xe">
                <v:stroke joinstyle="miter"/>
                <v:path gradientshapeok="t" o:connecttype="rect"/>
              </v:shapetype>
              <v:shape id="Text Box 2" o:spid="_x0000_s1026" type="#_x0000_t202" style="position:absolute;margin-left:-6.6pt;margin-top:10.15pt;width:505.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" filled="f" stroked="f">
                <v:textbox>
                  <w:txbxContent>
                    <w:p w14:paraId="4B2356EB" w14:textId="096085A1" w:rsidR="00E7438B" w:rsidRPr="005D065A" w:rsidRDefault="00E7438B" w:rsidP="00EA0226">
                      <w:pPr>
                        <w:rPr>
                          <w:rFonts w:ascii="Arial" w:hAnsi="Arial" w:cs="Arial"/>
                          <w:b/>
                          <w:sz w:val="32"/>
                          <w:szCs w:val="24"/>
                        </w:rPr>
                      </w:pPr>
                      <w:r w:rsidRPr="005D065A">
                        <w:rPr>
                          <w:rFonts w:ascii="Arial" w:hAnsi="Arial" w:cs="Arial"/>
                          <w:b/>
                          <w:sz w:val="32"/>
                          <w:szCs w:val="24"/>
                        </w:rPr>
                        <w:t xml:space="preserve">Gender Pay Gap Report </w:t>
                      </w:r>
                      <w:r>
                        <w:rPr>
                          <w:rFonts w:ascii="Arial" w:hAnsi="Arial" w:cs="Arial"/>
                          <w:b/>
                          <w:sz w:val="32"/>
                          <w:szCs w:val="24"/>
                        </w:rPr>
                        <w:t>2020 (snapshot date of 31 March 2020)</w:t>
                      </w:r>
                    </w:p>
                    <w:p w14:paraId="25CA44F3" w14:textId="77777777" w:rsidR="00E7438B" w:rsidRDefault="00E7438B" w:rsidP="00EA0226"/>
                  </w:txbxContent>
                </v:textbox>
              </v:shape>
            </w:pict>
          </mc:Fallback>
        </mc:AlternateContent>
      </w:r>
    </w:p>
    <w:p w14:paraId="696B9B34" w14:textId="77777777" w:rsidR="00EA0226" w:rsidRDefault="00EA0226" w:rsidP="00EE6918">
      <w:pPr>
        <w:rPr>
          <w:rFonts w:ascii="Arial" w:hAnsi="Arial" w:cs="Arial"/>
          <w:b/>
          <w:sz w:val="24"/>
          <w:szCs w:val="24"/>
          <w:u w:val="single"/>
        </w:rPr>
      </w:pPr>
    </w:p>
    <w:p w14:paraId="602E015D" w14:textId="77777777" w:rsidR="00EA0226" w:rsidRDefault="00EA0226" w:rsidP="00EE6918">
      <w:pPr>
        <w:rPr>
          <w:rFonts w:ascii="Arial" w:hAnsi="Arial" w:cs="Arial"/>
          <w:b/>
          <w:sz w:val="24"/>
          <w:szCs w:val="24"/>
          <w:u w:val="single"/>
        </w:rPr>
      </w:pPr>
    </w:p>
    <w:p w14:paraId="5FF74711" w14:textId="77777777" w:rsidR="007D7FA9" w:rsidRPr="007D7FA9" w:rsidRDefault="007D7FA9" w:rsidP="00EE6918">
      <w:pPr>
        <w:rPr>
          <w:rFonts w:ascii="Arial" w:hAnsi="Arial" w:cs="Arial"/>
          <w:sz w:val="10"/>
          <w:szCs w:val="24"/>
        </w:rPr>
      </w:pPr>
    </w:p>
    <w:p w14:paraId="2C6E41CD" w14:textId="77777777" w:rsidR="000267F0" w:rsidRPr="001C647C" w:rsidRDefault="00EE6918" w:rsidP="00EE6918">
      <w:pPr>
        <w:rPr>
          <w:rFonts w:ascii="Arial" w:hAnsi="Arial" w:cs="Arial"/>
          <w:sz w:val="24"/>
          <w:szCs w:val="24"/>
        </w:rPr>
      </w:pPr>
      <w:r w:rsidRPr="001C647C">
        <w:rPr>
          <w:rFonts w:ascii="Arial" w:hAnsi="Arial" w:cs="Arial"/>
          <w:sz w:val="24"/>
          <w:szCs w:val="24"/>
        </w:rPr>
        <w:t xml:space="preserve">The gender pay </w:t>
      </w:r>
      <w:r w:rsidR="0088753D">
        <w:rPr>
          <w:rFonts w:ascii="Arial" w:hAnsi="Arial" w:cs="Arial"/>
          <w:sz w:val="24"/>
          <w:szCs w:val="24"/>
        </w:rPr>
        <w:t xml:space="preserve">gap is different to equal pay. </w:t>
      </w:r>
      <w:r w:rsidRPr="001C647C">
        <w:rPr>
          <w:rFonts w:ascii="Arial" w:hAnsi="Arial" w:cs="Arial"/>
          <w:sz w:val="24"/>
          <w:szCs w:val="24"/>
        </w:rPr>
        <w:t>Equal pay relates to men and women recei</w:t>
      </w:r>
      <w:r w:rsidR="0088753D">
        <w:rPr>
          <w:rFonts w:ascii="Arial" w:hAnsi="Arial" w:cs="Arial"/>
          <w:sz w:val="24"/>
          <w:szCs w:val="24"/>
        </w:rPr>
        <w:t xml:space="preserve">ving equal pay for equal work. </w:t>
      </w:r>
      <w:r w:rsidRPr="001C647C">
        <w:rPr>
          <w:rFonts w:ascii="Arial" w:hAnsi="Arial" w:cs="Arial"/>
          <w:sz w:val="24"/>
          <w:szCs w:val="24"/>
        </w:rPr>
        <w:t xml:space="preserve">The gender pay gap is </w:t>
      </w:r>
      <w:r w:rsidR="000267F0" w:rsidRPr="001C647C">
        <w:rPr>
          <w:rFonts w:ascii="Arial" w:hAnsi="Arial" w:cs="Arial"/>
          <w:sz w:val="24"/>
          <w:szCs w:val="24"/>
        </w:rPr>
        <w:t>concerned with differences in the average earnings of men and women, regardle</w:t>
      </w:r>
      <w:r w:rsidR="0088753D">
        <w:rPr>
          <w:rFonts w:ascii="Arial" w:hAnsi="Arial" w:cs="Arial"/>
          <w:sz w:val="24"/>
          <w:szCs w:val="24"/>
        </w:rPr>
        <w:t xml:space="preserve">ss of their role or seniority. </w:t>
      </w:r>
      <w:r w:rsidR="000267F0" w:rsidRPr="001C647C">
        <w:rPr>
          <w:rFonts w:ascii="Arial" w:hAnsi="Arial" w:cs="Arial"/>
          <w:sz w:val="24"/>
          <w:szCs w:val="24"/>
        </w:rPr>
        <w:t>It is a broader measure that captures the pay inequalities resulting from differences in the sorts of jobs performed by men and women in the workforce.</w:t>
      </w:r>
    </w:p>
    <w:p w14:paraId="1CDF1B29" w14:textId="77777777" w:rsidR="000267F0" w:rsidRPr="001C647C" w:rsidRDefault="000267F0" w:rsidP="00EE6918">
      <w:pPr>
        <w:rPr>
          <w:rFonts w:ascii="Arial" w:hAnsi="Arial" w:cs="Arial"/>
          <w:sz w:val="24"/>
          <w:szCs w:val="24"/>
        </w:rPr>
      </w:pPr>
    </w:p>
    <w:p w14:paraId="3621A486" w14:textId="77777777" w:rsidR="00275DA6" w:rsidRPr="001C647C" w:rsidRDefault="00F51AF8" w:rsidP="00EE6918">
      <w:pPr>
        <w:rPr>
          <w:rFonts w:ascii="Arial" w:hAnsi="Arial" w:cs="Arial"/>
          <w:sz w:val="24"/>
          <w:szCs w:val="24"/>
        </w:rPr>
      </w:pPr>
      <w:r w:rsidRPr="001C647C">
        <w:rPr>
          <w:rFonts w:ascii="Arial" w:hAnsi="Arial" w:cs="Arial"/>
          <w:sz w:val="24"/>
          <w:szCs w:val="24"/>
        </w:rPr>
        <w:t>The data set out in this report has been calculated using the standard methodologies used in the Equality Act 2010 (Gender Pay Gap Information) Regulations 2017.</w:t>
      </w:r>
    </w:p>
    <w:p w14:paraId="43B17E19" w14:textId="77777777" w:rsidR="00275DA6" w:rsidRPr="001C647C" w:rsidRDefault="00275DA6" w:rsidP="00EE6918">
      <w:pPr>
        <w:rPr>
          <w:rFonts w:ascii="Arial" w:hAnsi="Arial" w:cs="Arial"/>
          <w:sz w:val="24"/>
          <w:szCs w:val="24"/>
        </w:rPr>
      </w:pPr>
    </w:p>
    <w:p w14:paraId="0B3F619F" w14:textId="77777777" w:rsidR="001C4976" w:rsidRDefault="001C4976" w:rsidP="00EE6918">
      <w:pPr>
        <w:rPr>
          <w:rFonts w:ascii="Arial" w:hAnsi="Arial" w:cs="Arial"/>
          <w:b/>
          <w:sz w:val="24"/>
          <w:szCs w:val="24"/>
        </w:rPr>
      </w:pPr>
    </w:p>
    <w:p w14:paraId="1990D0C1" w14:textId="77777777" w:rsidR="0088753D" w:rsidRPr="001C647C" w:rsidRDefault="00FB77F4" w:rsidP="00EE6918">
      <w:pPr>
        <w:rPr>
          <w:rFonts w:ascii="Arial" w:hAnsi="Arial" w:cs="Arial"/>
          <w:b/>
          <w:sz w:val="24"/>
          <w:szCs w:val="24"/>
        </w:rPr>
      </w:pPr>
      <w:r w:rsidRPr="001C647C">
        <w:rPr>
          <w:rFonts w:ascii="Arial" w:hAnsi="Arial" w:cs="Arial"/>
          <w:b/>
          <w:sz w:val="24"/>
          <w:szCs w:val="24"/>
        </w:rPr>
        <w:t>Workforce Profile</w:t>
      </w:r>
    </w:p>
    <w:p w14:paraId="63A5343C" w14:textId="77777777" w:rsidR="00FB77F4" w:rsidRPr="001C647C" w:rsidRDefault="00FB77F4" w:rsidP="00EE6918">
      <w:pPr>
        <w:rPr>
          <w:rFonts w:ascii="Arial" w:hAnsi="Arial" w:cs="Arial"/>
          <w:sz w:val="24"/>
          <w:szCs w:val="24"/>
        </w:rPr>
      </w:pPr>
    </w:p>
    <w:p w14:paraId="53D1BD82" w14:textId="1236D3BE" w:rsidR="00FB77F4" w:rsidRPr="001C647C" w:rsidRDefault="00FB77F4" w:rsidP="00EE6918">
      <w:pPr>
        <w:rPr>
          <w:rFonts w:ascii="Arial" w:hAnsi="Arial" w:cs="Arial"/>
          <w:sz w:val="24"/>
          <w:szCs w:val="24"/>
        </w:rPr>
      </w:pPr>
      <w:r w:rsidRPr="004457FB">
        <w:rPr>
          <w:rFonts w:ascii="Arial" w:hAnsi="Arial" w:cs="Arial"/>
          <w:sz w:val="24"/>
          <w:szCs w:val="24"/>
        </w:rPr>
        <w:t xml:space="preserve">There were </w:t>
      </w:r>
      <w:r w:rsidR="00044D5A">
        <w:rPr>
          <w:rFonts w:ascii="Arial" w:hAnsi="Arial" w:cs="Arial"/>
          <w:sz w:val="24"/>
          <w:szCs w:val="24"/>
        </w:rPr>
        <w:t>2221</w:t>
      </w:r>
      <w:r w:rsidR="00044D5A" w:rsidRPr="004457FB">
        <w:rPr>
          <w:rFonts w:ascii="Arial" w:hAnsi="Arial" w:cs="Arial"/>
          <w:sz w:val="24"/>
          <w:szCs w:val="24"/>
        </w:rPr>
        <w:t xml:space="preserve"> </w:t>
      </w:r>
      <w:r w:rsidRPr="004457FB">
        <w:rPr>
          <w:rFonts w:ascii="Arial" w:hAnsi="Arial" w:cs="Arial"/>
          <w:sz w:val="24"/>
          <w:szCs w:val="24"/>
        </w:rPr>
        <w:t xml:space="preserve">employees working on the snapshot date of 31 March </w:t>
      </w:r>
      <w:r w:rsidR="00E604AA">
        <w:rPr>
          <w:rFonts w:ascii="Arial" w:hAnsi="Arial" w:cs="Arial"/>
          <w:sz w:val="24"/>
          <w:szCs w:val="24"/>
        </w:rPr>
        <w:t>2020</w:t>
      </w:r>
      <w:r w:rsidR="006F3512">
        <w:rPr>
          <w:rFonts w:ascii="Arial" w:hAnsi="Arial" w:cs="Arial"/>
          <w:sz w:val="24"/>
          <w:szCs w:val="24"/>
        </w:rPr>
        <w:t xml:space="preserve">. </w:t>
      </w:r>
      <w:r w:rsidRPr="004457FB">
        <w:rPr>
          <w:rFonts w:ascii="Arial" w:hAnsi="Arial" w:cs="Arial"/>
          <w:sz w:val="24"/>
          <w:szCs w:val="24"/>
        </w:rPr>
        <w:t xml:space="preserve">At this date the workforce comprised of </w:t>
      </w:r>
      <w:r w:rsidR="00044D5A">
        <w:rPr>
          <w:rFonts w:ascii="Arial" w:hAnsi="Arial" w:cs="Arial"/>
          <w:sz w:val="24"/>
          <w:szCs w:val="24"/>
        </w:rPr>
        <w:t>57.9</w:t>
      </w:r>
      <w:r w:rsidRPr="004457FB">
        <w:rPr>
          <w:rFonts w:ascii="Arial" w:hAnsi="Arial" w:cs="Arial"/>
          <w:sz w:val="24"/>
          <w:szCs w:val="24"/>
        </w:rPr>
        <w:t xml:space="preserve">% female and </w:t>
      </w:r>
      <w:r w:rsidR="00044D5A">
        <w:rPr>
          <w:rFonts w:ascii="Arial" w:hAnsi="Arial" w:cs="Arial"/>
          <w:sz w:val="24"/>
          <w:szCs w:val="24"/>
        </w:rPr>
        <w:t>42.1</w:t>
      </w:r>
      <w:r w:rsidRPr="004457FB">
        <w:rPr>
          <w:rFonts w:ascii="Arial" w:hAnsi="Arial" w:cs="Arial"/>
          <w:sz w:val="24"/>
          <w:szCs w:val="24"/>
        </w:rPr>
        <w:t>% male</w:t>
      </w:r>
      <w:r w:rsidR="006F3512">
        <w:rPr>
          <w:rFonts w:ascii="Arial" w:hAnsi="Arial" w:cs="Arial"/>
          <w:sz w:val="24"/>
          <w:szCs w:val="24"/>
        </w:rPr>
        <w:t xml:space="preserve"> employees. </w:t>
      </w:r>
      <w:r w:rsidRPr="001C647C">
        <w:rPr>
          <w:rFonts w:ascii="Arial" w:hAnsi="Arial" w:cs="Arial"/>
          <w:sz w:val="24"/>
          <w:szCs w:val="24"/>
        </w:rPr>
        <w:t xml:space="preserve">Bath &amp; North East Somerset </w:t>
      </w:r>
      <w:r w:rsidR="005E34DD">
        <w:rPr>
          <w:rFonts w:ascii="Arial" w:hAnsi="Arial" w:cs="Arial"/>
          <w:sz w:val="24"/>
          <w:szCs w:val="24"/>
        </w:rPr>
        <w:t>(B&amp;NES)</w:t>
      </w:r>
      <w:r w:rsidR="005E34DD" w:rsidRPr="001C647C">
        <w:rPr>
          <w:rFonts w:ascii="Arial" w:hAnsi="Arial" w:cs="Arial"/>
          <w:sz w:val="24"/>
          <w:szCs w:val="24"/>
        </w:rPr>
        <w:t xml:space="preserve"> </w:t>
      </w:r>
      <w:r w:rsidRPr="001C647C">
        <w:rPr>
          <w:rFonts w:ascii="Arial" w:hAnsi="Arial" w:cs="Arial"/>
          <w:sz w:val="24"/>
          <w:szCs w:val="24"/>
        </w:rPr>
        <w:t>Council’s</w:t>
      </w:r>
      <w:r w:rsidR="005E34DD">
        <w:rPr>
          <w:rFonts w:ascii="Arial" w:hAnsi="Arial" w:cs="Arial"/>
          <w:sz w:val="24"/>
          <w:szCs w:val="24"/>
        </w:rPr>
        <w:t xml:space="preserve"> </w:t>
      </w:r>
      <w:r w:rsidRPr="001C647C">
        <w:rPr>
          <w:rFonts w:ascii="Arial" w:hAnsi="Arial" w:cs="Arial"/>
          <w:sz w:val="24"/>
          <w:szCs w:val="24"/>
        </w:rPr>
        <w:t>workforce is predominately female</w:t>
      </w:r>
      <w:r w:rsidR="00F6525A">
        <w:rPr>
          <w:rFonts w:ascii="Arial" w:hAnsi="Arial" w:cs="Arial"/>
          <w:sz w:val="24"/>
          <w:szCs w:val="24"/>
        </w:rPr>
        <w:t xml:space="preserve">, although </w:t>
      </w:r>
      <w:r w:rsidR="00044D5A">
        <w:rPr>
          <w:rFonts w:ascii="Arial" w:hAnsi="Arial" w:cs="Arial"/>
          <w:sz w:val="24"/>
          <w:szCs w:val="24"/>
        </w:rPr>
        <w:t xml:space="preserve">over the last years is steadily </w:t>
      </w:r>
      <w:r w:rsidR="00F6525A">
        <w:rPr>
          <w:rFonts w:ascii="Arial" w:hAnsi="Arial" w:cs="Arial"/>
          <w:sz w:val="24"/>
          <w:szCs w:val="24"/>
        </w:rPr>
        <w:t>evening out</w:t>
      </w:r>
      <w:r w:rsidR="000948C9">
        <w:rPr>
          <w:rFonts w:ascii="Arial" w:hAnsi="Arial" w:cs="Arial"/>
          <w:sz w:val="24"/>
          <w:szCs w:val="24"/>
        </w:rPr>
        <w:t xml:space="preserve"> (compared with 63%</w:t>
      </w:r>
      <w:r w:rsidR="00294D8A">
        <w:rPr>
          <w:rFonts w:ascii="Arial" w:hAnsi="Arial" w:cs="Arial"/>
          <w:sz w:val="24"/>
          <w:szCs w:val="24"/>
        </w:rPr>
        <w:t xml:space="preserve"> female</w:t>
      </w:r>
      <w:r w:rsidR="000948C9">
        <w:rPr>
          <w:rFonts w:ascii="Arial" w:hAnsi="Arial" w:cs="Arial"/>
          <w:sz w:val="24"/>
          <w:szCs w:val="24"/>
        </w:rPr>
        <w:t xml:space="preserve"> </w:t>
      </w:r>
      <w:r w:rsidR="003F34B4">
        <w:rPr>
          <w:rFonts w:ascii="Arial" w:hAnsi="Arial" w:cs="Arial"/>
          <w:sz w:val="24"/>
          <w:szCs w:val="24"/>
        </w:rPr>
        <w:t xml:space="preserve">at the </w:t>
      </w:r>
      <w:r w:rsidR="00B5633E">
        <w:rPr>
          <w:rFonts w:ascii="Arial" w:hAnsi="Arial" w:cs="Arial"/>
          <w:sz w:val="24"/>
          <w:szCs w:val="24"/>
        </w:rPr>
        <w:t xml:space="preserve">first snapshot date of </w:t>
      </w:r>
      <w:r w:rsidR="003F34B4">
        <w:rPr>
          <w:rFonts w:ascii="Arial" w:hAnsi="Arial" w:cs="Arial"/>
          <w:sz w:val="24"/>
          <w:szCs w:val="24"/>
        </w:rPr>
        <w:t xml:space="preserve">March </w:t>
      </w:r>
      <w:r w:rsidR="000948C9">
        <w:rPr>
          <w:rFonts w:ascii="Arial" w:hAnsi="Arial" w:cs="Arial"/>
          <w:sz w:val="24"/>
          <w:szCs w:val="24"/>
        </w:rPr>
        <w:t>2017</w:t>
      </w:r>
      <w:r w:rsidR="00B5633E">
        <w:rPr>
          <w:rFonts w:ascii="Arial" w:hAnsi="Arial" w:cs="Arial"/>
          <w:sz w:val="24"/>
          <w:szCs w:val="24"/>
        </w:rPr>
        <w:t>)</w:t>
      </w:r>
    </w:p>
    <w:p w14:paraId="30600AA8" w14:textId="77777777" w:rsidR="00FB77F4" w:rsidRPr="00FB70B4" w:rsidRDefault="00FB77F4" w:rsidP="00EE6918">
      <w:pPr>
        <w:rPr>
          <w:rFonts w:ascii="Arial" w:hAnsi="Arial" w:cs="Arial"/>
          <w:sz w:val="24"/>
          <w:szCs w:val="24"/>
        </w:rPr>
      </w:pPr>
    </w:p>
    <w:p w14:paraId="6F858E1E" w14:textId="1CEF6D20" w:rsidR="00FB70B4" w:rsidRDefault="00FB70B4" w:rsidP="00EE6918">
      <w:pPr>
        <w:rPr>
          <w:rFonts w:ascii="Arial" w:hAnsi="Arial" w:cs="Arial"/>
          <w:sz w:val="24"/>
          <w:szCs w:val="24"/>
          <w:lang w:val="en"/>
        </w:rPr>
      </w:pPr>
      <w:r w:rsidRPr="001C647C">
        <w:rPr>
          <w:rFonts w:ascii="Arial" w:hAnsi="Arial" w:cs="Arial"/>
          <w:sz w:val="24"/>
          <w:szCs w:val="24"/>
          <w:lang w:val="en"/>
        </w:rPr>
        <w:t xml:space="preserve">Of this headcount, </w:t>
      </w:r>
      <w:r w:rsidR="00044D5A">
        <w:rPr>
          <w:rFonts w:ascii="Arial" w:hAnsi="Arial" w:cs="Arial"/>
          <w:sz w:val="24"/>
          <w:szCs w:val="24"/>
          <w:lang w:val="en"/>
        </w:rPr>
        <w:t>2174</w:t>
      </w:r>
      <w:r w:rsidR="00044D5A" w:rsidRPr="001C647C">
        <w:rPr>
          <w:rFonts w:ascii="Arial" w:hAnsi="Arial" w:cs="Arial"/>
          <w:sz w:val="24"/>
          <w:szCs w:val="24"/>
          <w:lang w:val="en"/>
        </w:rPr>
        <w:t xml:space="preserve"> </w:t>
      </w:r>
      <w:r w:rsidRPr="001C647C">
        <w:rPr>
          <w:rFonts w:ascii="Arial" w:hAnsi="Arial" w:cs="Arial"/>
          <w:sz w:val="24"/>
          <w:szCs w:val="24"/>
          <w:lang w:val="en"/>
        </w:rPr>
        <w:t>employees were identified as ‘full pay relevant employees’</w:t>
      </w:r>
      <w:r w:rsidR="00891B84" w:rsidRPr="008B5D46">
        <w:rPr>
          <w:rStyle w:val="FootnoteReference"/>
          <w:rFonts w:ascii="Arial" w:hAnsi="Arial" w:cs="Arial"/>
          <w:sz w:val="24"/>
          <w:szCs w:val="24"/>
        </w:rPr>
        <w:footnoteReference w:id="1"/>
      </w:r>
      <w:r w:rsidRPr="001C647C">
        <w:rPr>
          <w:rFonts w:ascii="Arial" w:hAnsi="Arial" w:cs="Arial"/>
          <w:sz w:val="24"/>
          <w:szCs w:val="24"/>
          <w:lang w:val="en"/>
        </w:rPr>
        <w:t>, as set out in the regulations, and included in the calculations</w:t>
      </w:r>
      <w:r w:rsidR="00EF38B2">
        <w:rPr>
          <w:rFonts w:ascii="Arial" w:hAnsi="Arial" w:cs="Arial"/>
          <w:sz w:val="24"/>
          <w:szCs w:val="24"/>
          <w:lang w:val="en"/>
        </w:rPr>
        <w:t>.</w:t>
      </w:r>
    </w:p>
    <w:p w14:paraId="11C971F1" w14:textId="7AFA18D0" w:rsidR="00F34A50" w:rsidRDefault="00F34A50" w:rsidP="00EE6918">
      <w:pPr>
        <w:rPr>
          <w:rFonts w:ascii="Arial" w:hAnsi="Arial" w:cs="Arial"/>
          <w:sz w:val="24"/>
          <w:szCs w:val="24"/>
          <w:lang w:val="en"/>
        </w:rPr>
      </w:pPr>
    </w:p>
    <w:p w14:paraId="6796EF01" w14:textId="4E9580E4" w:rsidR="00F34A50" w:rsidRDefault="00F34A50" w:rsidP="00EE6918">
      <w:pPr>
        <w:rPr>
          <w:rFonts w:ascii="Arial" w:hAnsi="Arial" w:cs="Arial"/>
          <w:sz w:val="24"/>
          <w:szCs w:val="24"/>
          <w:lang w:val="en"/>
        </w:rPr>
      </w:pPr>
      <w:r>
        <w:rPr>
          <w:rFonts w:ascii="Arial" w:hAnsi="Arial" w:cs="Arial"/>
          <w:sz w:val="24"/>
          <w:szCs w:val="24"/>
          <w:lang w:val="en"/>
        </w:rPr>
        <w:t xml:space="preserve">During </w:t>
      </w:r>
      <w:r w:rsidR="00EF38B2">
        <w:rPr>
          <w:rFonts w:ascii="Arial" w:hAnsi="Arial" w:cs="Arial"/>
          <w:sz w:val="24"/>
          <w:szCs w:val="24"/>
          <w:lang w:val="en"/>
        </w:rPr>
        <w:t>the f</w:t>
      </w:r>
      <w:r>
        <w:rPr>
          <w:rFonts w:ascii="Arial" w:hAnsi="Arial" w:cs="Arial"/>
          <w:sz w:val="24"/>
          <w:szCs w:val="24"/>
          <w:lang w:val="en"/>
        </w:rPr>
        <w:t>inancial year of 2019</w:t>
      </w:r>
      <w:r w:rsidR="00E604AA">
        <w:rPr>
          <w:rFonts w:ascii="Arial" w:hAnsi="Arial" w:cs="Arial"/>
          <w:sz w:val="24"/>
          <w:szCs w:val="24"/>
          <w:lang w:val="en"/>
        </w:rPr>
        <w:t>/2020</w:t>
      </w:r>
      <w:r>
        <w:rPr>
          <w:rFonts w:ascii="Arial" w:hAnsi="Arial" w:cs="Arial"/>
          <w:sz w:val="24"/>
          <w:szCs w:val="24"/>
          <w:lang w:val="en"/>
        </w:rPr>
        <w:t xml:space="preserve"> there were the following staffing changes that will have had </w:t>
      </w:r>
      <w:r w:rsidR="00B5633E">
        <w:rPr>
          <w:rFonts w:ascii="Arial" w:hAnsi="Arial" w:cs="Arial"/>
          <w:sz w:val="24"/>
          <w:szCs w:val="24"/>
          <w:lang w:val="en"/>
        </w:rPr>
        <w:t>a small</w:t>
      </w:r>
      <w:r w:rsidR="00E604AA">
        <w:rPr>
          <w:rFonts w:ascii="Arial" w:hAnsi="Arial" w:cs="Arial"/>
          <w:sz w:val="24"/>
          <w:szCs w:val="24"/>
          <w:lang w:val="en"/>
        </w:rPr>
        <w:t xml:space="preserve"> </w:t>
      </w:r>
      <w:r>
        <w:rPr>
          <w:rFonts w:ascii="Arial" w:hAnsi="Arial" w:cs="Arial"/>
          <w:sz w:val="24"/>
          <w:szCs w:val="24"/>
          <w:lang w:val="en"/>
        </w:rPr>
        <w:t xml:space="preserve">impact on the </w:t>
      </w:r>
      <w:r w:rsidR="00E604AA">
        <w:rPr>
          <w:rFonts w:ascii="Arial" w:hAnsi="Arial" w:cs="Arial"/>
          <w:sz w:val="24"/>
          <w:szCs w:val="24"/>
          <w:lang w:val="en"/>
        </w:rPr>
        <w:t xml:space="preserve">2020 </w:t>
      </w:r>
      <w:r>
        <w:rPr>
          <w:rFonts w:ascii="Arial" w:hAnsi="Arial" w:cs="Arial"/>
          <w:sz w:val="24"/>
          <w:szCs w:val="24"/>
          <w:lang w:val="en"/>
        </w:rPr>
        <w:t>Gender Pay figures</w:t>
      </w:r>
      <w:r w:rsidR="00A50106">
        <w:rPr>
          <w:rFonts w:ascii="Arial" w:hAnsi="Arial" w:cs="Arial"/>
          <w:sz w:val="24"/>
          <w:szCs w:val="24"/>
          <w:lang w:val="en"/>
        </w:rPr>
        <w:t>.  However there were no major restructures or large scale redundancy exercises as per previous years</w:t>
      </w:r>
    </w:p>
    <w:p w14:paraId="613F326E" w14:textId="77777777" w:rsidR="00E8459F" w:rsidRDefault="00E8459F" w:rsidP="00EE6918">
      <w:pPr>
        <w:rPr>
          <w:rFonts w:ascii="Arial" w:hAnsi="Arial" w:cs="Arial"/>
          <w:sz w:val="24"/>
          <w:szCs w:val="24"/>
          <w:lang w:val="en"/>
        </w:rPr>
      </w:pPr>
    </w:p>
    <w:p w14:paraId="15D08AC9" w14:textId="769432B1" w:rsidR="00E604AA" w:rsidRDefault="00E604AA" w:rsidP="005B7E26">
      <w:pPr>
        <w:pStyle w:val="ListParagraph"/>
        <w:numPr>
          <w:ilvl w:val="0"/>
          <w:numId w:val="7"/>
        </w:numPr>
        <w:rPr>
          <w:rFonts w:ascii="Arial" w:hAnsi="Arial" w:cs="Arial"/>
          <w:sz w:val="24"/>
          <w:szCs w:val="24"/>
        </w:rPr>
      </w:pPr>
      <w:r>
        <w:rPr>
          <w:rFonts w:ascii="Arial" w:hAnsi="Arial" w:cs="Arial"/>
          <w:sz w:val="24"/>
          <w:szCs w:val="24"/>
        </w:rPr>
        <w:t xml:space="preserve">Set up of </w:t>
      </w:r>
      <w:proofErr w:type="spellStart"/>
      <w:r>
        <w:rPr>
          <w:rFonts w:ascii="Arial" w:hAnsi="Arial" w:cs="Arial"/>
          <w:sz w:val="24"/>
          <w:szCs w:val="24"/>
        </w:rPr>
        <w:t>Aequus</w:t>
      </w:r>
      <w:proofErr w:type="spellEnd"/>
      <w:r>
        <w:rPr>
          <w:rFonts w:ascii="Arial" w:hAnsi="Arial" w:cs="Arial"/>
          <w:sz w:val="24"/>
          <w:szCs w:val="24"/>
        </w:rPr>
        <w:t xml:space="preserve"> Developments Ltd and </w:t>
      </w:r>
      <w:proofErr w:type="spellStart"/>
      <w:r>
        <w:rPr>
          <w:rFonts w:ascii="Arial" w:hAnsi="Arial" w:cs="Arial"/>
          <w:sz w:val="24"/>
          <w:szCs w:val="24"/>
        </w:rPr>
        <w:t>Aequus</w:t>
      </w:r>
      <w:proofErr w:type="spellEnd"/>
      <w:r>
        <w:rPr>
          <w:rFonts w:ascii="Arial" w:hAnsi="Arial" w:cs="Arial"/>
          <w:sz w:val="24"/>
          <w:szCs w:val="24"/>
        </w:rPr>
        <w:t xml:space="preserve"> Construction Ltd (small TUPE transfer) to develop, deliver, own and manage property.</w:t>
      </w:r>
    </w:p>
    <w:p w14:paraId="71AA12DA" w14:textId="77777777" w:rsidR="00FB70B4" w:rsidRPr="001C647C" w:rsidRDefault="00FB70B4" w:rsidP="00C568E9">
      <w:pPr>
        <w:jc w:val="center"/>
        <w:rPr>
          <w:rFonts w:ascii="Arial" w:hAnsi="Arial" w:cs="Arial"/>
          <w:sz w:val="24"/>
          <w:szCs w:val="24"/>
        </w:rPr>
      </w:pPr>
    </w:p>
    <w:p w14:paraId="7D53F0B4" w14:textId="77777777" w:rsidR="00C213E3" w:rsidRDefault="00C213E3" w:rsidP="00EE6918">
      <w:pPr>
        <w:rPr>
          <w:rFonts w:ascii="Arial" w:hAnsi="Arial" w:cs="Arial"/>
          <w:b/>
          <w:sz w:val="24"/>
          <w:szCs w:val="24"/>
        </w:rPr>
      </w:pPr>
    </w:p>
    <w:p w14:paraId="7A1BC783" w14:textId="6D91FA40" w:rsidR="00FB77F4" w:rsidRDefault="00FB77F4" w:rsidP="00EE6918">
      <w:pPr>
        <w:rPr>
          <w:rFonts w:ascii="Arial" w:hAnsi="Arial" w:cs="Arial"/>
          <w:b/>
          <w:sz w:val="24"/>
          <w:szCs w:val="24"/>
        </w:rPr>
      </w:pPr>
      <w:r w:rsidRPr="001C647C">
        <w:rPr>
          <w:rFonts w:ascii="Arial" w:hAnsi="Arial" w:cs="Arial"/>
          <w:b/>
          <w:sz w:val="24"/>
          <w:szCs w:val="24"/>
        </w:rPr>
        <w:t>Gender Pay Gap</w:t>
      </w:r>
      <w:r w:rsidR="008B5D46">
        <w:rPr>
          <w:rFonts w:ascii="Arial" w:hAnsi="Arial" w:cs="Arial"/>
          <w:b/>
          <w:sz w:val="24"/>
          <w:szCs w:val="24"/>
        </w:rPr>
        <w:t xml:space="preserve"> </w:t>
      </w:r>
      <w:r w:rsidR="00044D5A">
        <w:rPr>
          <w:rFonts w:ascii="Arial" w:hAnsi="Arial" w:cs="Arial"/>
          <w:b/>
          <w:sz w:val="24"/>
          <w:szCs w:val="24"/>
        </w:rPr>
        <w:t>2020</w:t>
      </w:r>
    </w:p>
    <w:p w14:paraId="16C1D8CA" w14:textId="77777777" w:rsidR="0059225B" w:rsidRPr="001C647C" w:rsidRDefault="0059225B" w:rsidP="00EE6918">
      <w:pPr>
        <w:rPr>
          <w:rFonts w:ascii="Arial" w:hAnsi="Arial" w:cs="Arial"/>
          <w:b/>
          <w:sz w:val="24"/>
          <w:szCs w:val="24"/>
        </w:rPr>
      </w:pPr>
    </w:p>
    <w:p w14:paraId="50A12808" w14:textId="729D5B83" w:rsidR="000A316B" w:rsidRDefault="00C568E9" w:rsidP="00693FA0">
      <w:pPr>
        <w:shd w:val="clear" w:color="auto" w:fill="FFFFFF" w:themeFill="background1"/>
        <w:rPr>
          <w:rFonts w:ascii="Arial" w:hAnsi="Arial" w:cs="Arial"/>
          <w:sz w:val="24"/>
          <w:szCs w:val="24"/>
        </w:rPr>
      </w:pPr>
      <w:r w:rsidRPr="00C568E9">
        <w:rPr>
          <w:rFonts w:ascii="Arial" w:hAnsi="Arial" w:cs="Arial"/>
          <w:sz w:val="24"/>
          <w:szCs w:val="24"/>
        </w:rPr>
        <w:t xml:space="preserve">New analysis reveals that </w:t>
      </w:r>
      <w:r w:rsidR="00A50106">
        <w:rPr>
          <w:rFonts w:ascii="Arial" w:hAnsi="Arial" w:cs="Arial"/>
          <w:sz w:val="24"/>
          <w:szCs w:val="24"/>
        </w:rPr>
        <w:t>as at 31/03/2020</w:t>
      </w:r>
      <w:r w:rsidR="00A50106" w:rsidRPr="00C568E9">
        <w:rPr>
          <w:rFonts w:ascii="Arial" w:hAnsi="Arial" w:cs="Arial"/>
          <w:sz w:val="24"/>
          <w:szCs w:val="24"/>
        </w:rPr>
        <w:t xml:space="preserve"> </w:t>
      </w:r>
      <w:r w:rsidRPr="00C568E9">
        <w:rPr>
          <w:rFonts w:ascii="Arial" w:hAnsi="Arial" w:cs="Arial"/>
          <w:sz w:val="24"/>
          <w:szCs w:val="24"/>
        </w:rPr>
        <w:t xml:space="preserve">the mean average hourly rate of pay of female employees across the council was </w:t>
      </w:r>
      <w:r w:rsidRPr="00257D9D">
        <w:rPr>
          <w:rFonts w:ascii="Arial" w:hAnsi="Arial" w:cs="Arial"/>
          <w:sz w:val="24"/>
          <w:szCs w:val="24"/>
        </w:rPr>
        <w:t>£</w:t>
      </w:r>
      <w:r w:rsidR="00B5633E">
        <w:rPr>
          <w:rFonts w:ascii="Arial" w:hAnsi="Arial" w:cs="Arial"/>
          <w:sz w:val="24"/>
          <w:szCs w:val="24"/>
        </w:rPr>
        <w:t>15.12</w:t>
      </w:r>
      <w:r w:rsidRPr="00C568E9">
        <w:rPr>
          <w:rFonts w:ascii="Arial" w:hAnsi="Arial" w:cs="Arial"/>
          <w:sz w:val="24"/>
          <w:szCs w:val="24"/>
        </w:rPr>
        <w:t xml:space="preserve"> while the </w:t>
      </w:r>
      <w:r w:rsidR="00A50106">
        <w:rPr>
          <w:rFonts w:ascii="Arial" w:hAnsi="Arial" w:cs="Arial"/>
          <w:sz w:val="24"/>
          <w:szCs w:val="24"/>
        </w:rPr>
        <w:t xml:space="preserve">mean </w:t>
      </w:r>
      <w:r w:rsidRPr="00C568E9">
        <w:rPr>
          <w:rFonts w:ascii="Arial" w:hAnsi="Arial" w:cs="Arial"/>
          <w:sz w:val="24"/>
          <w:szCs w:val="24"/>
        </w:rPr>
        <w:t xml:space="preserve">average hourly rate of </w:t>
      </w:r>
      <w:r w:rsidR="00A50106">
        <w:rPr>
          <w:rFonts w:ascii="Arial" w:hAnsi="Arial" w:cs="Arial"/>
          <w:sz w:val="24"/>
          <w:szCs w:val="24"/>
        </w:rPr>
        <w:t>male employees</w:t>
      </w:r>
      <w:r w:rsidR="00A50106" w:rsidRPr="00C568E9">
        <w:rPr>
          <w:rFonts w:ascii="Arial" w:hAnsi="Arial" w:cs="Arial"/>
          <w:sz w:val="24"/>
          <w:szCs w:val="24"/>
        </w:rPr>
        <w:t xml:space="preserve"> </w:t>
      </w:r>
      <w:r w:rsidRPr="00C568E9">
        <w:rPr>
          <w:rFonts w:ascii="Arial" w:hAnsi="Arial" w:cs="Arial"/>
          <w:sz w:val="24"/>
          <w:szCs w:val="24"/>
        </w:rPr>
        <w:t xml:space="preserve">was </w:t>
      </w:r>
      <w:r w:rsidRPr="00257D9D">
        <w:rPr>
          <w:rFonts w:ascii="Arial" w:hAnsi="Arial" w:cs="Arial"/>
          <w:sz w:val="24"/>
          <w:szCs w:val="24"/>
        </w:rPr>
        <w:t>£</w:t>
      </w:r>
      <w:r w:rsidR="00F6525A" w:rsidRPr="00257D9D">
        <w:rPr>
          <w:rFonts w:ascii="Arial" w:hAnsi="Arial" w:cs="Arial"/>
          <w:sz w:val="24"/>
          <w:szCs w:val="24"/>
        </w:rPr>
        <w:t>15.</w:t>
      </w:r>
      <w:r w:rsidR="00B5633E" w:rsidRPr="00693FA0">
        <w:rPr>
          <w:rFonts w:ascii="Arial" w:hAnsi="Arial" w:cs="Arial"/>
          <w:sz w:val="24"/>
          <w:szCs w:val="24"/>
        </w:rPr>
        <w:t>5</w:t>
      </w:r>
      <w:r w:rsidR="00F6525A" w:rsidRPr="00257D9D">
        <w:rPr>
          <w:rFonts w:ascii="Arial" w:hAnsi="Arial" w:cs="Arial"/>
          <w:sz w:val="24"/>
          <w:szCs w:val="24"/>
        </w:rPr>
        <w:t>0</w:t>
      </w:r>
      <w:r w:rsidR="00494A1B">
        <w:rPr>
          <w:rFonts w:ascii="Arial" w:hAnsi="Arial" w:cs="Arial"/>
          <w:sz w:val="24"/>
          <w:szCs w:val="24"/>
        </w:rPr>
        <w:t xml:space="preserve">. </w:t>
      </w:r>
      <w:r w:rsidRPr="00C568E9">
        <w:rPr>
          <w:rFonts w:ascii="Arial" w:hAnsi="Arial" w:cs="Arial"/>
          <w:sz w:val="24"/>
          <w:szCs w:val="24"/>
        </w:rPr>
        <w:t xml:space="preserve">It means that the </w:t>
      </w:r>
      <w:r w:rsidR="0021470B">
        <w:rPr>
          <w:rFonts w:ascii="Arial" w:hAnsi="Arial" w:cs="Arial"/>
          <w:sz w:val="24"/>
          <w:szCs w:val="24"/>
        </w:rPr>
        <w:t xml:space="preserve">mean </w:t>
      </w:r>
      <w:r w:rsidRPr="00C568E9">
        <w:rPr>
          <w:rFonts w:ascii="Arial" w:hAnsi="Arial" w:cs="Arial"/>
          <w:sz w:val="24"/>
          <w:szCs w:val="24"/>
        </w:rPr>
        <w:t>gender pay gap</w:t>
      </w:r>
      <w:r w:rsidR="00EF38B2">
        <w:rPr>
          <w:rFonts w:ascii="Arial" w:hAnsi="Arial" w:cs="Arial"/>
          <w:sz w:val="24"/>
          <w:szCs w:val="24"/>
        </w:rPr>
        <w:t xml:space="preserve"> (</w:t>
      </w:r>
      <w:proofErr w:type="spellStart"/>
      <w:r w:rsidR="00EF38B2">
        <w:rPr>
          <w:rFonts w:ascii="Arial" w:hAnsi="Arial" w:cs="Arial"/>
          <w:sz w:val="24"/>
          <w:szCs w:val="24"/>
        </w:rPr>
        <w:t>ie</w:t>
      </w:r>
      <w:proofErr w:type="spellEnd"/>
      <w:r w:rsidR="00EF38B2">
        <w:rPr>
          <w:rFonts w:ascii="Arial" w:hAnsi="Arial" w:cs="Arial"/>
          <w:sz w:val="24"/>
          <w:szCs w:val="24"/>
        </w:rPr>
        <w:t>.</w:t>
      </w:r>
      <w:r w:rsidRPr="00C568E9">
        <w:rPr>
          <w:rFonts w:ascii="Arial" w:hAnsi="Arial" w:cs="Arial"/>
          <w:sz w:val="24"/>
          <w:szCs w:val="24"/>
        </w:rPr>
        <w:t xml:space="preserve"> the </w:t>
      </w:r>
      <w:r w:rsidRPr="00257D9D">
        <w:rPr>
          <w:rFonts w:ascii="Arial" w:hAnsi="Arial" w:cs="Arial"/>
          <w:sz w:val="24"/>
          <w:szCs w:val="24"/>
        </w:rPr>
        <w:t>difference in average earnings between men and women</w:t>
      </w:r>
      <w:r w:rsidR="00EF38B2" w:rsidRPr="00257D9D">
        <w:rPr>
          <w:rFonts w:ascii="Arial" w:hAnsi="Arial" w:cs="Arial"/>
          <w:sz w:val="24"/>
          <w:szCs w:val="24"/>
        </w:rPr>
        <w:t>)</w:t>
      </w:r>
      <w:r w:rsidR="00B5633E" w:rsidRPr="00257D9D">
        <w:rPr>
          <w:rFonts w:ascii="Arial" w:hAnsi="Arial" w:cs="Arial"/>
          <w:sz w:val="24"/>
          <w:szCs w:val="24"/>
        </w:rPr>
        <w:t xml:space="preserve"> is 38 pence (This </w:t>
      </w:r>
      <w:r w:rsidRPr="00257D9D">
        <w:rPr>
          <w:rFonts w:ascii="Arial" w:hAnsi="Arial" w:cs="Arial"/>
          <w:sz w:val="24"/>
          <w:szCs w:val="24"/>
        </w:rPr>
        <w:t xml:space="preserve">reduced </w:t>
      </w:r>
      <w:r w:rsidR="0021470B" w:rsidRPr="00257D9D">
        <w:rPr>
          <w:rFonts w:ascii="Arial" w:hAnsi="Arial" w:cs="Arial"/>
          <w:sz w:val="24"/>
          <w:szCs w:val="24"/>
        </w:rPr>
        <w:t>from 96 pence</w:t>
      </w:r>
      <w:r w:rsidR="00B5633E" w:rsidRPr="00257D9D">
        <w:rPr>
          <w:rFonts w:ascii="Arial" w:hAnsi="Arial" w:cs="Arial"/>
          <w:sz w:val="24"/>
          <w:szCs w:val="24"/>
        </w:rPr>
        <w:t xml:space="preserve"> (2018)</w:t>
      </w:r>
      <w:r w:rsidR="0021470B" w:rsidRPr="00257D9D">
        <w:rPr>
          <w:rFonts w:ascii="Arial" w:hAnsi="Arial" w:cs="Arial"/>
          <w:sz w:val="24"/>
          <w:szCs w:val="24"/>
        </w:rPr>
        <w:t xml:space="preserve"> </w:t>
      </w:r>
      <w:r w:rsidR="00F6525A" w:rsidRPr="00257D9D">
        <w:rPr>
          <w:rFonts w:ascii="Arial" w:hAnsi="Arial" w:cs="Arial"/>
          <w:sz w:val="24"/>
          <w:szCs w:val="24"/>
        </w:rPr>
        <w:t>to 36</w:t>
      </w:r>
      <w:r w:rsidR="00EF38B2" w:rsidRPr="00257D9D">
        <w:rPr>
          <w:rFonts w:ascii="Arial" w:hAnsi="Arial" w:cs="Arial"/>
          <w:sz w:val="24"/>
          <w:szCs w:val="24"/>
        </w:rPr>
        <w:t xml:space="preserve"> </w:t>
      </w:r>
      <w:r w:rsidR="00F6525A" w:rsidRPr="00257D9D">
        <w:rPr>
          <w:rFonts w:ascii="Arial" w:hAnsi="Arial" w:cs="Arial"/>
          <w:sz w:val="24"/>
          <w:szCs w:val="24"/>
        </w:rPr>
        <w:t>pence</w:t>
      </w:r>
      <w:r w:rsidR="00B5633E" w:rsidRPr="00257D9D">
        <w:rPr>
          <w:rFonts w:ascii="Arial" w:hAnsi="Arial" w:cs="Arial"/>
          <w:sz w:val="24"/>
          <w:szCs w:val="24"/>
        </w:rPr>
        <w:t xml:space="preserve"> (2019).</w:t>
      </w:r>
    </w:p>
    <w:p w14:paraId="25757C90" w14:textId="77777777" w:rsidR="000A316B" w:rsidRDefault="000A316B" w:rsidP="00C568E9">
      <w:pPr>
        <w:rPr>
          <w:rFonts w:ascii="Arial" w:hAnsi="Arial" w:cs="Arial"/>
          <w:sz w:val="24"/>
          <w:szCs w:val="24"/>
        </w:rPr>
      </w:pPr>
    </w:p>
    <w:p w14:paraId="38C393EA" w14:textId="19CCABB3" w:rsidR="004257B8" w:rsidRPr="004257B8" w:rsidRDefault="004257B8" w:rsidP="004257B8">
      <w:pPr>
        <w:rPr>
          <w:rFonts w:ascii="Arial" w:hAnsi="Arial" w:cs="Arial"/>
          <w:sz w:val="24"/>
          <w:szCs w:val="24"/>
        </w:rPr>
      </w:pPr>
      <w:r w:rsidRPr="004257B8">
        <w:rPr>
          <w:rFonts w:ascii="Arial" w:hAnsi="Arial" w:cs="Arial"/>
          <w:sz w:val="24"/>
          <w:szCs w:val="24"/>
        </w:rPr>
        <w:t xml:space="preserve">The median average gap has </w:t>
      </w:r>
      <w:r w:rsidR="00B5633E">
        <w:rPr>
          <w:rFonts w:ascii="Arial" w:hAnsi="Arial" w:cs="Arial"/>
          <w:sz w:val="24"/>
          <w:szCs w:val="24"/>
        </w:rPr>
        <w:t>reduced</w:t>
      </w:r>
      <w:r w:rsidR="00044D5A" w:rsidRPr="004257B8">
        <w:rPr>
          <w:rFonts w:ascii="Arial" w:hAnsi="Arial" w:cs="Arial"/>
          <w:sz w:val="24"/>
          <w:szCs w:val="24"/>
        </w:rPr>
        <w:t xml:space="preserve"> </w:t>
      </w:r>
      <w:r w:rsidRPr="004257B8">
        <w:rPr>
          <w:rFonts w:ascii="Arial" w:hAnsi="Arial" w:cs="Arial"/>
          <w:sz w:val="24"/>
          <w:szCs w:val="24"/>
        </w:rPr>
        <w:t>with a mid-point hourly rate gap of -</w:t>
      </w:r>
      <w:r w:rsidR="00044D5A">
        <w:rPr>
          <w:rFonts w:ascii="Arial" w:hAnsi="Arial" w:cs="Arial"/>
          <w:sz w:val="24"/>
          <w:szCs w:val="24"/>
        </w:rPr>
        <w:t>5.99</w:t>
      </w:r>
      <w:r w:rsidRPr="004257B8">
        <w:rPr>
          <w:rFonts w:ascii="Arial" w:hAnsi="Arial" w:cs="Arial"/>
          <w:sz w:val="24"/>
          <w:szCs w:val="24"/>
        </w:rPr>
        <w:t>% which shows that the mid-point of our female employees is £</w:t>
      </w:r>
      <w:r w:rsidR="00B5633E">
        <w:rPr>
          <w:rFonts w:ascii="Arial" w:hAnsi="Arial" w:cs="Arial"/>
          <w:sz w:val="24"/>
          <w:szCs w:val="24"/>
        </w:rPr>
        <w:t>0.77</w:t>
      </w:r>
      <w:r w:rsidRPr="004257B8">
        <w:rPr>
          <w:rFonts w:ascii="Arial" w:hAnsi="Arial" w:cs="Arial"/>
          <w:sz w:val="24"/>
          <w:szCs w:val="24"/>
        </w:rPr>
        <w:t xml:space="preserve"> hour higher than the mid-point of our males. </w:t>
      </w:r>
    </w:p>
    <w:p w14:paraId="23439C05" w14:textId="73C534B8" w:rsidR="004257B8" w:rsidRDefault="004257B8" w:rsidP="00C568E9">
      <w:pPr>
        <w:rPr>
          <w:rFonts w:ascii="Arial" w:hAnsi="Arial" w:cs="Arial"/>
          <w:sz w:val="24"/>
          <w:szCs w:val="24"/>
        </w:rPr>
      </w:pPr>
    </w:p>
    <w:p w14:paraId="07AECD6E" w14:textId="7392A894" w:rsidR="006F3512" w:rsidRPr="006F3512" w:rsidRDefault="006F3512" w:rsidP="006F3512">
      <w:pPr>
        <w:rPr>
          <w:rFonts w:ascii="Arial" w:hAnsi="Arial" w:cs="Arial"/>
          <w:sz w:val="24"/>
          <w:szCs w:val="24"/>
        </w:rPr>
      </w:pPr>
      <w:r w:rsidRPr="006F3512">
        <w:rPr>
          <w:rFonts w:ascii="Arial" w:hAnsi="Arial" w:cs="Arial"/>
          <w:sz w:val="24"/>
          <w:szCs w:val="24"/>
        </w:rPr>
        <w:t xml:space="preserve">Mean - Average hourly rate of pay and the percentage difference </w:t>
      </w:r>
    </w:p>
    <w:p w14:paraId="580BADFB" w14:textId="77777777" w:rsidR="006F3512" w:rsidRPr="006F3512" w:rsidRDefault="006F3512" w:rsidP="006F3512">
      <w:pPr>
        <w:rPr>
          <w:rFonts w:ascii="Arial" w:hAnsi="Arial" w:cs="Arial"/>
          <w:sz w:val="24"/>
          <w:szCs w:val="24"/>
        </w:rPr>
      </w:pPr>
    </w:p>
    <w:p w14:paraId="531E58CA" w14:textId="0C0045AA" w:rsidR="006F3512" w:rsidRPr="00257D9D" w:rsidRDefault="006F3512" w:rsidP="006F3512">
      <w:pPr>
        <w:rPr>
          <w:rFonts w:ascii="Arial" w:hAnsi="Arial" w:cs="Arial"/>
          <w:sz w:val="24"/>
          <w:szCs w:val="24"/>
        </w:rPr>
      </w:pPr>
      <w:r w:rsidRPr="00257D9D">
        <w:rPr>
          <w:rFonts w:ascii="Arial" w:hAnsi="Arial" w:cs="Arial"/>
          <w:sz w:val="24"/>
          <w:szCs w:val="24"/>
        </w:rPr>
        <w:lastRenderedPageBreak/>
        <w:t xml:space="preserve">Female = </w:t>
      </w:r>
      <w:r w:rsidR="00F6525A" w:rsidRPr="00257D9D">
        <w:rPr>
          <w:rFonts w:ascii="Arial" w:hAnsi="Arial" w:cs="Arial"/>
          <w:sz w:val="24"/>
          <w:szCs w:val="24"/>
        </w:rPr>
        <w:t>£</w:t>
      </w:r>
      <w:r w:rsidR="00B5633E" w:rsidRPr="00693FA0">
        <w:rPr>
          <w:rFonts w:ascii="Arial" w:hAnsi="Arial" w:cs="Arial"/>
          <w:sz w:val="24"/>
          <w:szCs w:val="24"/>
        </w:rPr>
        <w:t>15.12</w:t>
      </w:r>
      <w:r w:rsidR="00F6525A" w:rsidRPr="00257D9D">
        <w:rPr>
          <w:rFonts w:ascii="Arial" w:hAnsi="Arial" w:cs="Arial"/>
          <w:sz w:val="24"/>
          <w:szCs w:val="24"/>
        </w:rPr>
        <w:t xml:space="preserve">   </w:t>
      </w:r>
      <w:r w:rsidR="001A6625">
        <w:rPr>
          <w:rFonts w:ascii="Arial" w:hAnsi="Arial" w:cs="Arial"/>
          <w:sz w:val="24"/>
          <w:szCs w:val="24"/>
        </w:rPr>
        <w:tab/>
      </w:r>
      <w:r w:rsidR="00F6525A" w:rsidRPr="00257D9D">
        <w:rPr>
          <w:rFonts w:ascii="Arial" w:hAnsi="Arial" w:cs="Arial"/>
          <w:sz w:val="24"/>
          <w:szCs w:val="24"/>
        </w:rPr>
        <w:t xml:space="preserve">(previously </w:t>
      </w:r>
      <w:r w:rsidRPr="00257D9D">
        <w:rPr>
          <w:rFonts w:ascii="Arial" w:hAnsi="Arial" w:cs="Arial"/>
          <w:sz w:val="24"/>
          <w:szCs w:val="24"/>
        </w:rPr>
        <w:t>£</w:t>
      </w:r>
      <w:r w:rsidR="00B5633E" w:rsidRPr="00693FA0">
        <w:rPr>
          <w:rFonts w:ascii="Arial" w:hAnsi="Arial" w:cs="Arial"/>
          <w:sz w:val="24"/>
          <w:szCs w:val="24"/>
        </w:rPr>
        <w:t>14.74</w:t>
      </w:r>
      <w:r w:rsidR="00F6525A" w:rsidRPr="00257D9D">
        <w:rPr>
          <w:rFonts w:ascii="Arial" w:hAnsi="Arial" w:cs="Arial"/>
          <w:sz w:val="24"/>
          <w:szCs w:val="24"/>
        </w:rPr>
        <w:t>)</w:t>
      </w:r>
    </w:p>
    <w:p w14:paraId="4E4118B8" w14:textId="3AACEDC8" w:rsidR="006F3512" w:rsidRPr="00257D9D" w:rsidRDefault="006F3512" w:rsidP="006F3512">
      <w:pPr>
        <w:rPr>
          <w:rFonts w:ascii="Arial" w:hAnsi="Arial" w:cs="Arial"/>
          <w:sz w:val="24"/>
          <w:szCs w:val="24"/>
        </w:rPr>
      </w:pPr>
      <w:r w:rsidRPr="00257D9D">
        <w:rPr>
          <w:rFonts w:ascii="Arial" w:hAnsi="Arial" w:cs="Arial"/>
          <w:sz w:val="24"/>
          <w:szCs w:val="24"/>
        </w:rPr>
        <w:t>Male =</w:t>
      </w:r>
      <w:r w:rsidR="00F6525A" w:rsidRPr="00257D9D">
        <w:rPr>
          <w:rFonts w:ascii="Arial" w:hAnsi="Arial" w:cs="Arial"/>
          <w:sz w:val="24"/>
          <w:szCs w:val="24"/>
        </w:rPr>
        <w:t xml:space="preserve"> </w:t>
      </w:r>
      <w:r w:rsidR="00BA03FB" w:rsidRPr="00257D9D">
        <w:rPr>
          <w:rFonts w:ascii="Arial" w:hAnsi="Arial" w:cs="Arial"/>
          <w:sz w:val="24"/>
          <w:szCs w:val="24"/>
        </w:rPr>
        <w:t xml:space="preserve"> </w:t>
      </w:r>
      <w:r w:rsidR="00F6525A" w:rsidRPr="00257D9D">
        <w:rPr>
          <w:rFonts w:ascii="Arial" w:hAnsi="Arial" w:cs="Arial"/>
          <w:sz w:val="24"/>
          <w:szCs w:val="24"/>
        </w:rPr>
        <w:t>£</w:t>
      </w:r>
      <w:r w:rsidR="00BA03FB" w:rsidRPr="00257D9D">
        <w:rPr>
          <w:rFonts w:ascii="Arial" w:hAnsi="Arial" w:cs="Arial"/>
          <w:sz w:val="24"/>
          <w:szCs w:val="24"/>
        </w:rPr>
        <w:t>15.</w:t>
      </w:r>
      <w:r w:rsidR="00B5633E" w:rsidRPr="00693FA0">
        <w:rPr>
          <w:rFonts w:ascii="Arial" w:hAnsi="Arial" w:cs="Arial"/>
          <w:sz w:val="24"/>
          <w:szCs w:val="24"/>
        </w:rPr>
        <w:t>5</w:t>
      </w:r>
      <w:r w:rsidR="00BA03FB" w:rsidRPr="00257D9D">
        <w:rPr>
          <w:rFonts w:ascii="Arial" w:hAnsi="Arial" w:cs="Arial"/>
          <w:sz w:val="24"/>
          <w:szCs w:val="24"/>
        </w:rPr>
        <w:t xml:space="preserve">0  </w:t>
      </w:r>
      <w:r w:rsidR="001A6625">
        <w:rPr>
          <w:rFonts w:ascii="Arial" w:hAnsi="Arial" w:cs="Arial"/>
          <w:sz w:val="24"/>
          <w:szCs w:val="24"/>
        </w:rPr>
        <w:tab/>
      </w:r>
      <w:r w:rsidR="00BA03FB" w:rsidRPr="00257D9D">
        <w:rPr>
          <w:rFonts w:ascii="Arial" w:hAnsi="Arial" w:cs="Arial"/>
          <w:sz w:val="24"/>
          <w:szCs w:val="24"/>
        </w:rPr>
        <w:t>(previously</w:t>
      </w:r>
      <w:r w:rsidRPr="00257D9D">
        <w:rPr>
          <w:rFonts w:ascii="Arial" w:hAnsi="Arial" w:cs="Arial"/>
          <w:sz w:val="24"/>
          <w:szCs w:val="24"/>
        </w:rPr>
        <w:t xml:space="preserve"> £</w:t>
      </w:r>
      <w:r w:rsidR="00B5633E" w:rsidRPr="00693FA0">
        <w:rPr>
          <w:rFonts w:ascii="Arial" w:hAnsi="Arial" w:cs="Arial"/>
          <w:sz w:val="24"/>
          <w:szCs w:val="24"/>
        </w:rPr>
        <w:t>15.10</w:t>
      </w:r>
      <w:r w:rsidR="00BA03FB" w:rsidRPr="00257D9D">
        <w:rPr>
          <w:rFonts w:ascii="Arial" w:hAnsi="Arial" w:cs="Arial"/>
          <w:sz w:val="24"/>
          <w:szCs w:val="24"/>
        </w:rPr>
        <w:t>)</w:t>
      </w:r>
    </w:p>
    <w:p w14:paraId="325E34CB" w14:textId="7DC6C969" w:rsidR="006F3512" w:rsidRPr="00257D9D" w:rsidRDefault="006F3512" w:rsidP="006F3512">
      <w:pPr>
        <w:rPr>
          <w:rFonts w:ascii="Arial" w:hAnsi="Arial" w:cs="Arial"/>
          <w:sz w:val="24"/>
          <w:szCs w:val="24"/>
        </w:rPr>
      </w:pPr>
      <w:r w:rsidRPr="00257D9D">
        <w:rPr>
          <w:rFonts w:ascii="Arial" w:hAnsi="Arial" w:cs="Arial"/>
          <w:sz w:val="24"/>
          <w:szCs w:val="24"/>
        </w:rPr>
        <w:t xml:space="preserve">Gap = </w:t>
      </w:r>
      <w:r w:rsidR="00BA03FB" w:rsidRPr="00257D9D">
        <w:rPr>
          <w:rFonts w:ascii="Arial" w:hAnsi="Arial" w:cs="Arial"/>
          <w:sz w:val="24"/>
          <w:szCs w:val="24"/>
        </w:rPr>
        <w:t>2.</w:t>
      </w:r>
      <w:r w:rsidR="00B5633E" w:rsidRPr="00693FA0">
        <w:rPr>
          <w:rFonts w:ascii="Arial" w:hAnsi="Arial" w:cs="Arial"/>
          <w:sz w:val="24"/>
          <w:szCs w:val="24"/>
        </w:rPr>
        <w:t>4</w:t>
      </w:r>
      <w:r w:rsidR="00B5633E" w:rsidRPr="00257D9D">
        <w:rPr>
          <w:rFonts w:ascii="Arial" w:hAnsi="Arial" w:cs="Arial"/>
          <w:sz w:val="24"/>
          <w:szCs w:val="24"/>
        </w:rPr>
        <w:t>8</w:t>
      </w:r>
      <w:r w:rsidR="00BA03FB" w:rsidRPr="00257D9D">
        <w:rPr>
          <w:rFonts w:ascii="Arial" w:hAnsi="Arial" w:cs="Arial"/>
          <w:sz w:val="24"/>
          <w:szCs w:val="24"/>
        </w:rPr>
        <w:t xml:space="preserve">% </w:t>
      </w:r>
      <w:r w:rsidR="00BA03FB" w:rsidRPr="00693FA0">
        <w:rPr>
          <w:rFonts w:ascii="Arial" w:hAnsi="Arial" w:cs="Arial"/>
          <w:b/>
          <w:bCs/>
          <w:sz w:val="24"/>
          <w:szCs w:val="24"/>
        </w:rPr>
        <w:t>£0.3</w:t>
      </w:r>
      <w:r w:rsidR="00B5633E" w:rsidRPr="00693FA0">
        <w:rPr>
          <w:rFonts w:ascii="Arial" w:hAnsi="Arial" w:cs="Arial"/>
          <w:b/>
          <w:bCs/>
          <w:sz w:val="24"/>
          <w:szCs w:val="24"/>
        </w:rPr>
        <w:t>8</w:t>
      </w:r>
      <w:r w:rsidR="00BA03FB" w:rsidRPr="00257D9D">
        <w:rPr>
          <w:rFonts w:ascii="Arial" w:hAnsi="Arial" w:cs="Arial"/>
          <w:sz w:val="24"/>
          <w:szCs w:val="24"/>
        </w:rPr>
        <w:t xml:space="preserve">  (previously </w:t>
      </w:r>
      <w:r w:rsidR="00B5633E" w:rsidRPr="00693FA0">
        <w:rPr>
          <w:rFonts w:ascii="Arial" w:hAnsi="Arial" w:cs="Arial"/>
          <w:sz w:val="24"/>
          <w:szCs w:val="24"/>
        </w:rPr>
        <w:t>2.38</w:t>
      </w:r>
      <w:r w:rsidRPr="00257D9D">
        <w:rPr>
          <w:rFonts w:ascii="Arial" w:hAnsi="Arial" w:cs="Arial"/>
          <w:sz w:val="24"/>
          <w:szCs w:val="24"/>
        </w:rPr>
        <w:t>%  £ 0.</w:t>
      </w:r>
      <w:r w:rsidR="00B5633E" w:rsidRPr="00693FA0">
        <w:rPr>
          <w:rFonts w:ascii="Arial" w:hAnsi="Arial" w:cs="Arial"/>
          <w:sz w:val="24"/>
          <w:szCs w:val="24"/>
        </w:rPr>
        <w:t>36</w:t>
      </w:r>
      <w:r w:rsidR="00BA03FB" w:rsidRPr="00257D9D">
        <w:rPr>
          <w:rFonts w:ascii="Arial" w:hAnsi="Arial" w:cs="Arial"/>
          <w:sz w:val="24"/>
          <w:szCs w:val="24"/>
        </w:rPr>
        <w:t>)</w:t>
      </w:r>
    </w:p>
    <w:p w14:paraId="631C2370" w14:textId="77777777" w:rsidR="006F3512" w:rsidRPr="00257D9D" w:rsidRDefault="006F3512" w:rsidP="006F3512">
      <w:pPr>
        <w:rPr>
          <w:rFonts w:ascii="Arial" w:hAnsi="Arial" w:cs="Arial"/>
          <w:sz w:val="24"/>
          <w:szCs w:val="24"/>
        </w:rPr>
      </w:pPr>
    </w:p>
    <w:p w14:paraId="49887BC5" w14:textId="77777777" w:rsidR="006F3512" w:rsidRPr="00257D9D" w:rsidRDefault="006F3512" w:rsidP="006F3512">
      <w:pPr>
        <w:rPr>
          <w:rFonts w:ascii="Arial" w:hAnsi="Arial" w:cs="Arial"/>
          <w:sz w:val="24"/>
          <w:szCs w:val="24"/>
        </w:rPr>
      </w:pPr>
      <w:r w:rsidRPr="00257D9D">
        <w:rPr>
          <w:rFonts w:ascii="Arial" w:hAnsi="Arial" w:cs="Arial"/>
          <w:sz w:val="24"/>
          <w:szCs w:val="24"/>
        </w:rPr>
        <w:t xml:space="preserve">Median – Middle hourly rate of pay and the percentage difference </w:t>
      </w:r>
    </w:p>
    <w:p w14:paraId="1401069E" w14:textId="77777777" w:rsidR="006F3512" w:rsidRPr="00257D9D" w:rsidRDefault="006F3512" w:rsidP="006F3512">
      <w:pPr>
        <w:rPr>
          <w:rFonts w:ascii="Arial" w:hAnsi="Arial" w:cs="Arial"/>
          <w:sz w:val="24"/>
          <w:szCs w:val="24"/>
        </w:rPr>
      </w:pPr>
    </w:p>
    <w:p w14:paraId="06678AE8" w14:textId="30088664" w:rsidR="006F3512" w:rsidRPr="00257D9D" w:rsidRDefault="006F3512" w:rsidP="006F3512">
      <w:pPr>
        <w:rPr>
          <w:rFonts w:ascii="Arial" w:hAnsi="Arial" w:cs="Arial"/>
          <w:sz w:val="24"/>
          <w:szCs w:val="24"/>
        </w:rPr>
      </w:pPr>
      <w:r w:rsidRPr="00257D9D">
        <w:rPr>
          <w:rFonts w:ascii="Arial" w:hAnsi="Arial" w:cs="Arial"/>
          <w:sz w:val="24"/>
          <w:szCs w:val="24"/>
        </w:rPr>
        <w:t xml:space="preserve">Female = </w:t>
      </w:r>
      <w:r w:rsidR="00694672" w:rsidRPr="00257D9D">
        <w:rPr>
          <w:rFonts w:ascii="Arial" w:hAnsi="Arial" w:cs="Arial"/>
          <w:sz w:val="24"/>
          <w:szCs w:val="24"/>
        </w:rPr>
        <w:t>£</w:t>
      </w:r>
      <w:r w:rsidR="00257D9D" w:rsidRPr="00693FA0">
        <w:rPr>
          <w:rFonts w:ascii="Arial" w:hAnsi="Arial" w:cs="Arial"/>
          <w:sz w:val="24"/>
          <w:szCs w:val="24"/>
        </w:rPr>
        <w:t>13.63</w:t>
      </w:r>
      <w:r w:rsidR="00694672" w:rsidRPr="00257D9D">
        <w:rPr>
          <w:rFonts w:ascii="Arial" w:hAnsi="Arial" w:cs="Arial"/>
          <w:sz w:val="24"/>
          <w:szCs w:val="24"/>
        </w:rPr>
        <w:t xml:space="preserve"> </w:t>
      </w:r>
      <w:r w:rsidR="001A6625">
        <w:rPr>
          <w:rFonts w:ascii="Arial" w:hAnsi="Arial" w:cs="Arial"/>
          <w:sz w:val="24"/>
          <w:szCs w:val="24"/>
        </w:rPr>
        <w:tab/>
      </w:r>
      <w:r w:rsidR="00694672" w:rsidRPr="00257D9D">
        <w:rPr>
          <w:rFonts w:ascii="Arial" w:hAnsi="Arial" w:cs="Arial"/>
          <w:sz w:val="24"/>
          <w:szCs w:val="24"/>
        </w:rPr>
        <w:t xml:space="preserve">(previously </w:t>
      </w:r>
      <w:r w:rsidRPr="00257D9D">
        <w:rPr>
          <w:rFonts w:ascii="Arial" w:hAnsi="Arial" w:cs="Arial"/>
          <w:sz w:val="24"/>
          <w:szCs w:val="24"/>
        </w:rPr>
        <w:t>£</w:t>
      </w:r>
      <w:r w:rsidR="00257D9D" w:rsidRPr="00693FA0">
        <w:rPr>
          <w:rFonts w:ascii="Arial" w:hAnsi="Arial" w:cs="Arial"/>
          <w:sz w:val="24"/>
          <w:szCs w:val="24"/>
        </w:rPr>
        <w:t>13.19</w:t>
      </w:r>
      <w:r w:rsidR="00694672" w:rsidRPr="00257D9D">
        <w:rPr>
          <w:rFonts w:ascii="Arial" w:hAnsi="Arial" w:cs="Arial"/>
          <w:sz w:val="24"/>
          <w:szCs w:val="24"/>
        </w:rPr>
        <w:t>)</w:t>
      </w:r>
    </w:p>
    <w:p w14:paraId="4D489FE7" w14:textId="1156DA03" w:rsidR="006F3512" w:rsidRPr="00257D9D" w:rsidRDefault="006F3512" w:rsidP="006F3512">
      <w:pPr>
        <w:rPr>
          <w:rFonts w:ascii="Arial" w:hAnsi="Arial" w:cs="Arial"/>
          <w:sz w:val="24"/>
          <w:szCs w:val="24"/>
        </w:rPr>
      </w:pPr>
      <w:r w:rsidRPr="00257D9D">
        <w:rPr>
          <w:rFonts w:ascii="Arial" w:hAnsi="Arial" w:cs="Arial"/>
          <w:sz w:val="24"/>
          <w:szCs w:val="24"/>
        </w:rPr>
        <w:t xml:space="preserve">Male = </w:t>
      </w:r>
      <w:r w:rsidR="00694672" w:rsidRPr="00257D9D">
        <w:rPr>
          <w:rFonts w:ascii="Arial" w:hAnsi="Arial" w:cs="Arial"/>
          <w:sz w:val="24"/>
          <w:szCs w:val="24"/>
        </w:rPr>
        <w:t>£12.</w:t>
      </w:r>
      <w:r w:rsidR="00257D9D" w:rsidRPr="00693FA0">
        <w:rPr>
          <w:rFonts w:ascii="Arial" w:hAnsi="Arial" w:cs="Arial"/>
          <w:sz w:val="24"/>
          <w:szCs w:val="24"/>
        </w:rPr>
        <w:t>86</w:t>
      </w:r>
      <w:r w:rsidR="00694672" w:rsidRPr="00257D9D">
        <w:rPr>
          <w:rFonts w:ascii="Arial" w:hAnsi="Arial" w:cs="Arial"/>
          <w:sz w:val="24"/>
          <w:szCs w:val="24"/>
        </w:rPr>
        <w:t xml:space="preserve"> </w:t>
      </w:r>
      <w:r w:rsidR="001A6625">
        <w:rPr>
          <w:rFonts w:ascii="Arial" w:hAnsi="Arial" w:cs="Arial"/>
          <w:sz w:val="24"/>
          <w:szCs w:val="24"/>
        </w:rPr>
        <w:tab/>
      </w:r>
      <w:r w:rsidR="00694672" w:rsidRPr="00257D9D">
        <w:rPr>
          <w:rFonts w:ascii="Arial" w:hAnsi="Arial" w:cs="Arial"/>
          <w:sz w:val="24"/>
          <w:szCs w:val="24"/>
        </w:rPr>
        <w:t xml:space="preserve">(previously </w:t>
      </w:r>
      <w:r w:rsidRPr="00257D9D">
        <w:rPr>
          <w:rFonts w:ascii="Arial" w:hAnsi="Arial" w:cs="Arial"/>
          <w:sz w:val="24"/>
          <w:szCs w:val="24"/>
        </w:rPr>
        <w:t>£12.0</w:t>
      </w:r>
      <w:r w:rsidR="00257D9D" w:rsidRPr="00693FA0">
        <w:rPr>
          <w:rFonts w:ascii="Arial" w:hAnsi="Arial" w:cs="Arial"/>
          <w:sz w:val="24"/>
          <w:szCs w:val="24"/>
        </w:rPr>
        <w:t>9</w:t>
      </w:r>
      <w:r w:rsidR="00694672" w:rsidRPr="00257D9D">
        <w:rPr>
          <w:rFonts w:ascii="Arial" w:hAnsi="Arial" w:cs="Arial"/>
          <w:sz w:val="24"/>
          <w:szCs w:val="24"/>
        </w:rPr>
        <w:t>)</w:t>
      </w:r>
    </w:p>
    <w:p w14:paraId="762B2E8A" w14:textId="674E51C9" w:rsidR="006F3512" w:rsidRDefault="006F3512" w:rsidP="006F3512">
      <w:pPr>
        <w:rPr>
          <w:rFonts w:ascii="Arial" w:hAnsi="Arial" w:cs="Arial"/>
          <w:sz w:val="24"/>
          <w:szCs w:val="24"/>
        </w:rPr>
      </w:pPr>
      <w:r w:rsidRPr="00257D9D">
        <w:rPr>
          <w:rFonts w:ascii="Arial" w:hAnsi="Arial" w:cs="Arial"/>
          <w:sz w:val="24"/>
          <w:szCs w:val="24"/>
        </w:rPr>
        <w:t xml:space="preserve">Gap = </w:t>
      </w:r>
      <w:r w:rsidR="00694672" w:rsidRPr="00257D9D">
        <w:rPr>
          <w:rFonts w:ascii="Arial" w:hAnsi="Arial" w:cs="Arial"/>
          <w:sz w:val="24"/>
          <w:szCs w:val="24"/>
        </w:rPr>
        <w:t>-</w:t>
      </w:r>
      <w:r w:rsidR="001A6625">
        <w:rPr>
          <w:rFonts w:ascii="Arial" w:hAnsi="Arial" w:cs="Arial"/>
          <w:sz w:val="24"/>
          <w:szCs w:val="24"/>
        </w:rPr>
        <w:t xml:space="preserve"> </w:t>
      </w:r>
      <w:r w:rsidR="00B5633E" w:rsidRPr="00693FA0">
        <w:rPr>
          <w:rFonts w:ascii="Arial" w:hAnsi="Arial" w:cs="Arial"/>
          <w:sz w:val="24"/>
          <w:szCs w:val="24"/>
        </w:rPr>
        <w:t>5.99</w:t>
      </w:r>
      <w:r w:rsidR="00694672" w:rsidRPr="00257D9D">
        <w:rPr>
          <w:rFonts w:ascii="Arial" w:hAnsi="Arial" w:cs="Arial"/>
          <w:sz w:val="24"/>
          <w:szCs w:val="24"/>
        </w:rPr>
        <w:t xml:space="preserve">% </w:t>
      </w:r>
      <w:r w:rsidR="001A6625">
        <w:rPr>
          <w:rFonts w:ascii="Arial" w:hAnsi="Arial" w:cs="Arial"/>
          <w:b/>
          <w:bCs/>
          <w:sz w:val="24"/>
          <w:szCs w:val="24"/>
        </w:rPr>
        <w:t>£0.77</w:t>
      </w:r>
      <w:r w:rsidR="00694672" w:rsidRPr="00257D9D">
        <w:rPr>
          <w:rFonts w:ascii="Arial" w:hAnsi="Arial" w:cs="Arial"/>
          <w:sz w:val="24"/>
          <w:szCs w:val="24"/>
        </w:rPr>
        <w:t xml:space="preserve"> (previously </w:t>
      </w:r>
      <w:r w:rsidRPr="00257D9D">
        <w:rPr>
          <w:rFonts w:ascii="Arial" w:hAnsi="Arial" w:cs="Arial"/>
          <w:sz w:val="24"/>
          <w:szCs w:val="24"/>
        </w:rPr>
        <w:t xml:space="preserve"> </w:t>
      </w:r>
      <w:r w:rsidR="00B5633E" w:rsidRPr="00693FA0">
        <w:rPr>
          <w:rFonts w:ascii="Arial" w:hAnsi="Arial" w:cs="Arial"/>
          <w:sz w:val="24"/>
          <w:szCs w:val="24"/>
        </w:rPr>
        <w:t>-9.1%</w:t>
      </w:r>
      <w:r w:rsidRPr="00257D9D">
        <w:rPr>
          <w:rFonts w:ascii="Arial" w:hAnsi="Arial" w:cs="Arial"/>
          <w:sz w:val="24"/>
          <w:szCs w:val="24"/>
        </w:rPr>
        <w:t xml:space="preserve">%   £ </w:t>
      </w:r>
      <w:r w:rsidR="00257D9D" w:rsidRPr="00693FA0">
        <w:rPr>
          <w:rFonts w:ascii="Arial" w:hAnsi="Arial" w:cs="Arial"/>
          <w:sz w:val="24"/>
          <w:szCs w:val="24"/>
        </w:rPr>
        <w:t>1.10</w:t>
      </w:r>
      <w:r w:rsidR="00694672" w:rsidRPr="00257D9D">
        <w:rPr>
          <w:rFonts w:ascii="Arial" w:hAnsi="Arial" w:cs="Arial"/>
          <w:sz w:val="24"/>
          <w:szCs w:val="24"/>
        </w:rPr>
        <w:t>)</w:t>
      </w:r>
    </w:p>
    <w:p w14:paraId="786AEA03" w14:textId="38A07C56" w:rsidR="0027216B" w:rsidRDefault="0027216B" w:rsidP="006F3512">
      <w:pPr>
        <w:rPr>
          <w:rFonts w:ascii="Arial" w:hAnsi="Arial" w:cs="Arial"/>
          <w:sz w:val="24"/>
          <w:szCs w:val="24"/>
        </w:rPr>
      </w:pPr>
    </w:p>
    <w:p w14:paraId="7FCEC3D5" w14:textId="64D77DA8" w:rsidR="0027216B" w:rsidRPr="00693FA0" w:rsidRDefault="0027216B" w:rsidP="006F3512">
      <w:pPr>
        <w:rPr>
          <w:rFonts w:ascii="Arial" w:hAnsi="Arial" w:cs="Arial"/>
          <w:b/>
          <w:bCs/>
        </w:rPr>
      </w:pPr>
      <w:r w:rsidRPr="00693FA0">
        <w:rPr>
          <w:rFonts w:ascii="Arial" w:hAnsi="Arial" w:cs="Arial"/>
          <w:b/>
          <w:bCs/>
        </w:rPr>
        <w:t>Figure 1.</w:t>
      </w:r>
    </w:p>
    <w:p w14:paraId="71A56B3A" w14:textId="77777777" w:rsidR="006F3512" w:rsidRDefault="006F3512" w:rsidP="00C568E9">
      <w:pPr>
        <w:rPr>
          <w:rFonts w:ascii="Arial" w:hAnsi="Arial" w:cs="Arial"/>
          <w:sz w:val="24"/>
          <w:szCs w:val="24"/>
        </w:rPr>
      </w:pPr>
    </w:p>
    <w:p w14:paraId="573EC048" w14:textId="3F417485" w:rsidR="005D065A" w:rsidRDefault="00A50106" w:rsidP="00C568E9">
      <w:pPr>
        <w:rPr>
          <w:rFonts w:ascii="Arial" w:hAnsi="Arial" w:cs="Arial"/>
          <w:sz w:val="24"/>
          <w:szCs w:val="24"/>
        </w:rPr>
      </w:pPr>
      <w:r>
        <w:rPr>
          <w:noProof/>
        </w:rPr>
        <w:drawing>
          <wp:inline distT="0" distB="0" distL="0" distR="0" wp14:anchorId="47F918D9" wp14:editId="2CE8F91F">
            <wp:extent cx="6337935" cy="213804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7935" cy="2138045"/>
                    </a:xfrm>
                    <a:prstGeom prst="rect">
                      <a:avLst/>
                    </a:prstGeom>
                    <a:noFill/>
                    <a:ln>
                      <a:noFill/>
                    </a:ln>
                  </pic:spPr>
                </pic:pic>
              </a:graphicData>
            </a:graphic>
          </wp:inline>
        </w:drawing>
      </w:r>
    </w:p>
    <w:p w14:paraId="53D4BEA9" w14:textId="77777777" w:rsidR="000854FA" w:rsidRDefault="000854FA" w:rsidP="00FE363F">
      <w:pPr>
        <w:rPr>
          <w:rFonts w:ascii="Arial" w:hAnsi="Arial" w:cs="Arial"/>
          <w:b/>
          <w:sz w:val="24"/>
        </w:rPr>
      </w:pPr>
    </w:p>
    <w:p w14:paraId="6B35F1D0" w14:textId="1D07EB25" w:rsidR="007D3A7D" w:rsidRPr="00FE363F" w:rsidRDefault="00B526B7" w:rsidP="00FE363F">
      <w:pPr>
        <w:rPr>
          <w:rFonts w:ascii="Arial" w:hAnsi="Arial" w:cs="Arial"/>
          <w:color w:val="000000"/>
          <w:sz w:val="22"/>
          <w:szCs w:val="22"/>
        </w:rPr>
      </w:pPr>
      <w:r w:rsidRPr="00FE363F">
        <w:rPr>
          <w:rFonts w:ascii="Arial" w:hAnsi="Arial" w:cs="Arial"/>
          <w:b/>
          <w:sz w:val="24"/>
        </w:rPr>
        <w:t>Comparison</w:t>
      </w:r>
      <w:r w:rsidR="00510A2E">
        <w:rPr>
          <w:rFonts w:ascii="Arial" w:hAnsi="Arial" w:cs="Arial"/>
          <w:b/>
          <w:sz w:val="24"/>
        </w:rPr>
        <w:t xml:space="preserve"> with other Local Authorities</w:t>
      </w:r>
      <w:r w:rsidR="00257EB9">
        <w:rPr>
          <w:rFonts w:ascii="Arial" w:hAnsi="Arial" w:cs="Arial"/>
          <w:b/>
          <w:sz w:val="24"/>
        </w:rPr>
        <w:t xml:space="preserve"> </w:t>
      </w:r>
    </w:p>
    <w:p w14:paraId="0F8AB3E6" w14:textId="77777777" w:rsidR="007D3A7D" w:rsidRPr="001C647C" w:rsidRDefault="007D3A7D" w:rsidP="00E60784">
      <w:pPr>
        <w:pStyle w:val="Default"/>
      </w:pPr>
    </w:p>
    <w:p w14:paraId="23229050" w14:textId="0B84FEC0" w:rsidR="00721DCD" w:rsidRDefault="00FB2103">
      <w:pPr>
        <w:pStyle w:val="Default"/>
      </w:pPr>
      <w:r w:rsidRPr="001C647C">
        <w:t>The mean gend</w:t>
      </w:r>
      <w:r w:rsidR="008B5D46">
        <w:t>er pay gap in local government</w:t>
      </w:r>
      <w:r w:rsidR="00B65FA6">
        <w:t xml:space="preserve"> for </w:t>
      </w:r>
      <w:r w:rsidR="00BA1522">
        <w:t>31 March 2018</w:t>
      </w:r>
      <w:r w:rsidR="00E604AA">
        <w:t xml:space="preserve"> </w:t>
      </w:r>
      <w:r w:rsidR="00BA1522">
        <w:t>was</w:t>
      </w:r>
      <w:r w:rsidRPr="001C647C">
        <w:t xml:space="preserve"> 6.</w:t>
      </w:r>
      <w:r w:rsidR="00B65FA6">
        <w:t>1</w:t>
      </w:r>
      <w:r w:rsidRPr="001C647C">
        <w:t xml:space="preserve">% and the median gap </w:t>
      </w:r>
      <w:r w:rsidR="00BA1522">
        <w:t>was</w:t>
      </w:r>
      <w:r w:rsidR="00BA1522" w:rsidRPr="001C647C">
        <w:t xml:space="preserve"> </w:t>
      </w:r>
      <w:r w:rsidR="00B65FA6">
        <w:t>4</w:t>
      </w:r>
      <w:r w:rsidRPr="001C647C">
        <w:t xml:space="preserve">% so B&amp;NES Council compares favourably to this. </w:t>
      </w:r>
      <w:r w:rsidR="00B136D6" w:rsidRPr="001C647C">
        <w:rPr>
          <w:rStyle w:val="FootnoteReference"/>
        </w:rPr>
        <w:footnoteReference w:id="2"/>
      </w:r>
      <w:r w:rsidR="00733B4A">
        <w:t xml:space="preserve">  </w:t>
      </w:r>
    </w:p>
    <w:p w14:paraId="289B1513" w14:textId="77777777" w:rsidR="00721DCD" w:rsidRDefault="00721DCD">
      <w:pPr>
        <w:pStyle w:val="Default"/>
      </w:pPr>
    </w:p>
    <w:p w14:paraId="1ED1CA60" w14:textId="21C2D8C0" w:rsidR="003E6355" w:rsidRDefault="00721DCD">
      <w:pPr>
        <w:pStyle w:val="Default"/>
      </w:pPr>
      <w:r>
        <w:rPr>
          <w:bCs/>
        </w:rPr>
        <w:t xml:space="preserve">There was no </w:t>
      </w:r>
      <w:r w:rsidRPr="000C4055">
        <w:rPr>
          <w:bCs/>
        </w:rPr>
        <w:t>LGA</w:t>
      </w:r>
      <w:r>
        <w:rPr>
          <w:bCs/>
        </w:rPr>
        <w:t xml:space="preserve"> summary</w:t>
      </w:r>
      <w:r w:rsidRPr="000C4055">
        <w:rPr>
          <w:bCs/>
        </w:rPr>
        <w:t xml:space="preserve"> </w:t>
      </w:r>
      <w:r>
        <w:rPr>
          <w:bCs/>
        </w:rPr>
        <w:t xml:space="preserve">data published for the snapshot date of 31 March 2019.  The Government Equalities Office and the Equality and Human Right Commission (EHRC) suspended gender pay gap reporting regulations for the snapshot date of 31 March 2019 due to the coronavirus pandemic. </w:t>
      </w:r>
      <w:r w:rsidR="00733B4A" w:rsidRPr="00AC13A8">
        <w:t xml:space="preserve">Data for 2020 is not </w:t>
      </w:r>
      <w:r w:rsidR="00823207" w:rsidRPr="00AC13A8">
        <w:t>expected until late</w:t>
      </w:r>
      <w:r>
        <w:t xml:space="preserve"> </w:t>
      </w:r>
      <w:r w:rsidR="00823207" w:rsidRPr="00AC13A8">
        <w:t>202</w:t>
      </w:r>
      <w:r w:rsidR="00FF0EFC">
        <w:t>1</w:t>
      </w:r>
      <w:r w:rsidR="00823207" w:rsidRPr="00AC13A8">
        <w:t xml:space="preserve"> due to the date for reporting being extended until 5 October 202</w:t>
      </w:r>
      <w:r w:rsidR="00FF0EFC">
        <w:t>1</w:t>
      </w:r>
      <w:r w:rsidR="00823207" w:rsidRPr="00AC13A8">
        <w:t>.</w:t>
      </w:r>
    </w:p>
    <w:p w14:paraId="787D873A" w14:textId="02B9AD5E" w:rsidR="003E6355" w:rsidRDefault="003E6355">
      <w:pPr>
        <w:pStyle w:val="Default"/>
      </w:pPr>
    </w:p>
    <w:p w14:paraId="283C94D7" w14:textId="60A5D067" w:rsidR="003E6355" w:rsidRDefault="003E6355">
      <w:pPr>
        <w:pStyle w:val="Default"/>
      </w:pPr>
      <w:r>
        <w:t xml:space="preserve">Variations in pay gap between authorities are likely to be due at least in part to differences in structures, types of services provided and the extent of </w:t>
      </w:r>
      <w:r w:rsidR="00FF0EFC">
        <w:t>insourcing/</w:t>
      </w:r>
      <w:r>
        <w:t>outsourcing</w:t>
      </w:r>
      <w:r w:rsidR="00FF0EFC">
        <w:t xml:space="preserve"> activity</w:t>
      </w:r>
      <w:r>
        <w:t>.</w:t>
      </w:r>
    </w:p>
    <w:p w14:paraId="6A76F7E0" w14:textId="71104708" w:rsidR="00C612DD" w:rsidRDefault="00C612DD">
      <w:pPr>
        <w:pStyle w:val="Default"/>
      </w:pPr>
    </w:p>
    <w:tbl>
      <w:tblPr>
        <w:tblW w:w="10343" w:type="dxa"/>
        <w:tblInd w:w="113" w:type="dxa"/>
        <w:tblLook w:val="04A0" w:firstRow="1" w:lastRow="0" w:firstColumn="1" w:lastColumn="0" w:noHBand="0" w:noVBand="1"/>
      </w:tblPr>
      <w:tblGrid>
        <w:gridCol w:w="2200"/>
        <w:gridCol w:w="1056"/>
        <w:gridCol w:w="1134"/>
        <w:gridCol w:w="992"/>
        <w:gridCol w:w="1134"/>
        <w:gridCol w:w="992"/>
        <w:gridCol w:w="905"/>
        <w:gridCol w:w="938"/>
        <w:gridCol w:w="992"/>
      </w:tblGrid>
      <w:tr w:rsidR="00610E89" w:rsidRPr="00FF0EFC" w14:paraId="197B9B10" w14:textId="77777777" w:rsidTr="00693FA0">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D3E22" w14:textId="77777777" w:rsidR="00610E89" w:rsidRPr="00693FA0" w:rsidRDefault="00610E89" w:rsidP="00610E89">
            <w:pPr>
              <w:rPr>
                <w:rFonts w:ascii="Arial" w:hAnsi="Arial" w:cs="Arial"/>
                <w:color w:val="000000"/>
              </w:rPr>
            </w:pPr>
          </w:p>
        </w:tc>
        <w:tc>
          <w:tcPr>
            <w:tcW w:w="1056" w:type="dxa"/>
            <w:tcBorders>
              <w:top w:val="single" w:sz="4" w:space="0" w:color="auto"/>
              <w:left w:val="nil"/>
              <w:bottom w:val="single" w:sz="4" w:space="0" w:color="auto"/>
              <w:right w:val="single" w:sz="4" w:space="0" w:color="auto"/>
            </w:tcBorders>
            <w:shd w:val="clear" w:color="000000" w:fill="BDD7EE"/>
            <w:noWrap/>
            <w:hideMark/>
          </w:tcPr>
          <w:p w14:paraId="783551D3" w14:textId="77777777" w:rsidR="00610E89" w:rsidRPr="00693FA0" w:rsidRDefault="00610E89" w:rsidP="00610E89">
            <w:pPr>
              <w:jc w:val="center"/>
              <w:rPr>
                <w:rFonts w:ascii="Arial" w:hAnsi="Arial" w:cs="Arial"/>
                <w:b/>
                <w:bCs/>
                <w:color w:val="000000"/>
              </w:rPr>
            </w:pPr>
            <w:r w:rsidRPr="00693FA0">
              <w:rPr>
                <w:rFonts w:ascii="Arial" w:hAnsi="Arial" w:cs="Arial"/>
                <w:b/>
                <w:bCs/>
                <w:color w:val="000000"/>
              </w:rPr>
              <w:t xml:space="preserve">2017 Mean </w:t>
            </w:r>
          </w:p>
        </w:tc>
        <w:tc>
          <w:tcPr>
            <w:tcW w:w="1134" w:type="dxa"/>
            <w:tcBorders>
              <w:top w:val="single" w:sz="4" w:space="0" w:color="auto"/>
              <w:left w:val="nil"/>
              <w:bottom w:val="single" w:sz="4" w:space="0" w:color="auto"/>
              <w:right w:val="single" w:sz="4" w:space="0" w:color="auto"/>
            </w:tcBorders>
            <w:shd w:val="clear" w:color="000000" w:fill="BDD7EE"/>
            <w:noWrap/>
            <w:hideMark/>
          </w:tcPr>
          <w:p w14:paraId="309103B0" w14:textId="77777777" w:rsidR="00610E89" w:rsidRPr="00693FA0" w:rsidRDefault="00610E89" w:rsidP="00610E89">
            <w:pPr>
              <w:jc w:val="center"/>
              <w:rPr>
                <w:rFonts w:ascii="Arial" w:hAnsi="Arial" w:cs="Arial"/>
                <w:b/>
                <w:bCs/>
                <w:color w:val="000000"/>
              </w:rPr>
            </w:pPr>
            <w:r w:rsidRPr="00693FA0">
              <w:rPr>
                <w:rFonts w:ascii="Arial" w:hAnsi="Arial" w:cs="Arial"/>
                <w:b/>
                <w:bCs/>
                <w:color w:val="000000"/>
              </w:rPr>
              <w:t>2017 Median</w:t>
            </w:r>
          </w:p>
        </w:tc>
        <w:tc>
          <w:tcPr>
            <w:tcW w:w="992" w:type="dxa"/>
            <w:tcBorders>
              <w:top w:val="single" w:sz="4" w:space="0" w:color="auto"/>
              <w:left w:val="nil"/>
              <w:bottom w:val="single" w:sz="4" w:space="0" w:color="auto"/>
              <w:right w:val="single" w:sz="4" w:space="0" w:color="auto"/>
            </w:tcBorders>
            <w:shd w:val="clear" w:color="000000" w:fill="BDD7EE"/>
            <w:noWrap/>
            <w:hideMark/>
          </w:tcPr>
          <w:p w14:paraId="4647507A" w14:textId="77777777" w:rsidR="00610E89" w:rsidRPr="00693FA0" w:rsidRDefault="00610E89" w:rsidP="00610E89">
            <w:pPr>
              <w:jc w:val="center"/>
              <w:rPr>
                <w:rFonts w:ascii="Arial" w:hAnsi="Arial" w:cs="Arial"/>
                <w:b/>
                <w:bCs/>
                <w:color w:val="000000"/>
              </w:rPr>
            </w:pPr>
            <w:r w:rsidRPr="00693FA0">
              <w:rPr>
                <w:rFonts w:ascii="Arial" w:hAnsi="Arial" w:cs="Arial"/>
                <w:b/>
                <w:bCs/>
                <w:color w:val="000000"/>
              </w:rPr>
              <w:t>2018 Mean</w:t>
            </w:r>
          </w:p>
        </w:tc>
        <w:tc>
          <w:tcPr>
            <w:tcW w:w="1134" w:type="dxa"/>
            <w:tcBorders>
              <w:top w:val="single" w:sz="4" w:space="0" w:color="auto"/>
              <w:left w:val="nil"/>
              <w:bottom w:val="single" w:sz="4" w:space="0" w:color="auto"/>
              <w:right w:val="single" w:sz="4" w:space="0" w:color="auto"/>
            </w:tcBorders>
            <w:shd w:val="clear" w:color="000000" w:fill="BDD7EE"/>
            <w:noWrap/>
            <w:hideMark/>
          </w:tcPr>
          <w:p w14:paraId="38E7347C" w14:textId="77777777" w:rsidR="00610E89" w:rsidRPr="00693FA0" w:rsidRDefault="00610E89" w:rsidP="00610E89">
            <w:pPr>
              <w:jc w:val="center"/>
              <w:rPr>
                <w:rFonts w:ascii="Arial" w:hAnsi="Arial" w:cs="Arial"/>
                <w:b/>
                <w:bCs/>
                <w:color w:val="000000"/>
              </w:rPr>
            </w:pPr>
            <w:r w:rsidRPr="00693FA0">
              <w:rPr>
                <w:rFonts w:ascii="Arial" w:hAnsi="Arial" w:cs="Arial"/>
                <w:b/>
                <w:bCs/>
                <w:color w:val="000000"/>
              </w:rPr>
              <w:t>2018 Median</w:t>
            </w:r>
          </w:p>
        </w:tc>
        <w:tc>
          <w:tcPr>
            <w:tcW w:w="992" w:type="dxa"/>
            <w:tcBorders>
              <w:top w:val="single" w:sz="4" w:space="0" w:color="auto"/>
              <w:left w:val="nil"/>
              <w:bottom w:val="single" w:sz="4" w:space="0" w:color="auto"/>
              <w:right w:val="single" w:sz="4" w:space="0" w:color="auto"/>
            </w:tcBorders>
            <w:shd w:val="clear" w:color="000000" w:fill="BDD7EE"/>
            <w:noWrap/>
            <w:hideMark/>
          </w:tcPr>
          <w:p w14:paraId="18D53C8F" w14:textId="77777777" w:rsidR="00610E89" w:rsidRPr="00693FA0" w:rsidRDefault="00610E89" w:rsidP="00610E89">
            <w:pPr>
              <w:jc w:val="center"/>
              <w:rPr>
                <w:rFonts w:ascii="Arial" w:hAnsi="Arial" w:cs="Arial"/>
                <w:b/>
                <w:bCs/>
                <w:color w:val="000000"/>
              </w:rPr>
            </w:pPr>
            <w:r w:rsidRPr="00693FA0">
              <w:rPr>
                <w:rFonts w:ascii="Arial" w:hAnsi="Arial" w:cs="Arial"/>
                <w:b/>
                <w:bCs/>
                <w:color w:val="000000"/>
              </w:rPr>
              <w:t>2019 Mean</w:t>
            </w:r>
          </w:p>
        </w:tc>
        <w:tc>
          <w:tcPr>
            <w:tcW w:w="905" w:type="dxa"/>
            <w:tcBorders>
              <w:top w:val="single" w:sz="4" w:space="0" w:color="auto"/>
              <w:left w:val="nil"/>
              <w:bottom w:val="single" w:sz="4" w:space="0" w:color="auto"/>
              <w:right w:val="single" w:sz="4" w:space="0" w:color="auto"/>
            </w:tcBorders>
            <w:shd w:val="clear" w:color="000000" w:fill="BDD7EE"/>
            <w:noWrap/>
            <w:hideMark/>
          </w:tcPr>
          <w:p w14:paraId="478106AD" w14:textId="77777777" w:rsidR="00610E89" w:rsidRPr="00693FA0" w:rsidRDefault="00610E89" w:rsidP="00610E89">
            <w:pPr>
              <w:jc w:val="center"/>
              <w:rPr>
                <w:rFonts w:ascii="Arial" w:hAnsi="Arial" w:cs="Arial"/>
                <w:b/>
                <w:bCs/>
                <w:color w:val="000000"/>
              </w:rPr>
            </w:pPr>
            <w:r w:rsidRPr="00693FA0">
              <w:rPr>
                <w:rFonts w:ascii="Arial" w:hAnsi="Arial" w:cs="Arial"/>
                <w:b/>
                <w:bCs/>
                <w:color w:val="000000"/>
              </w:rPr>
              <w:t>2019 Median</w:t>
            </w:r>
          </w:p>
        </w:tc>
        <w:tc>
          <w:tcPr>
            <w:tcW w:w="938" w:type="dxa"/>
            <w:tcBorders>
              <w:top w:val="single" w:sz="4" w:space="0" w:color="auto"/>
              <w:left w:val="nil"/>
              <w:bottom w:val="single" w:sz="4" w:space="0" w:color="auto"/>
              <w:right w:val="single" w:sz="4" w:space="0" w:color="auto"/>
            </w:tcBorders>
            <w:shd w:val="clear" w:color="000000" w:fill="BDD7EE"/>
            <w:noWrap/>
            <w:hideMark/>
          </w:tcPr>
          <w:p w14:paraId="3BE9F4B0" w14:textId="77777777" w:rsidR="00610E89" w:rsidRPr="00693FA0" w:rsidRDefault="00610E89" w:rsidP="00610E89">
            <w:pPr>
              <w:jc w:val="center"/>
              <w:rPr>
                <w:rFonts w:ascii="Arial" w:hAnsi="Arial" w:cs="Arial"/>
                <w:b/>
                <w:bCs/>
                <w:color w:val="000000"/>
              </w:rPr>
            </w:pPr>
            <w:r w:rsidRPr="00693FA0">
              <w:rPr>
                <w:rFonts w:ascii="Arial" w:hAnsi="Arial" w:cs="Arial"/>
                <w:b/>
                <w:bCs/>
                <w:color w:val="000000"/>
              </w:rPr>
              <w:t>2020 Mean</w:t>
            </w:r>
          </w:p>
        </w:tc>
        <w:tc>
          <w:tcPr>
            <w:tcW w:w="992" w:type="dxa"/>
            <w:tcBorders>
              <w:top w:val="single" w:sz="4" w:space="0" w:color="auto"/>
              <w:left w:val="nil"/>
              <w:bottom w:val="single" w:sz="4" w:space="0" w:color="auto"/>
              <w:right w:val="single" w:sz="4" w:space="0" w:color="auto"/>
            </w:tcBorders>
            <w:shd w:val="clear" w:color="000000" w:fill="BDD7EE"/>
            <w:noWrap/>
            <w:hideMark/>
          </w:tcPr>
          <w:p w14:paraId="195CD59D" w14:textId="77777777" w:rsidR="00610E89" w:rsidRPr="00693FA0" w:rsidRDefault="00610E89" w:rsidP="00610E89">
            <w:pPr>
              <w:jc w:val="center"/>
              <w:rPr>
                <w:rFonts w:ascii="Arial" w:hAnsi="Arial" w:cs="Arial"/>
                <w:b/>
                <w:bCs/>
                <w:color w:val="000000"/>
              </w:rPr>
            </w:pPr>
            <w:r w:rsidRPr="00693FA0">
              <w:rPr>
                <w:rFonts w:ascii="Arial" w:hAnsi="Arial" w:cs="Arial"/>
                <w:b/>
                <w:bCs/>
                <w:color w:val="000000"/>
              </w:rPr>
              <w:t>2020 Median</w:t>
            </w:r>
          </w:p>
        </w:tc>
      </w:tr>
      <w:tr w:rsidR="00610E89" w:rsidRPr="00FF0EFC" w14:paraId="37D3A6BC" w14:textId="77777777" w:rsidTr="00693FA0">
        <w:trPr>
          <w:trHeight w:val="600"/>
        </w:trPr>
        <w:tc>
          <w:tcPr>
            <w:tcW w:w="2200" w:type="dxa"/>
            <w:tcBorders>
              <w:top w:val="nil"/>
              <w:left w:val="single" w:sz="4" w:space="0" w:color="auto"/>
              <w:bottom w:val="single" w:sz="4" w:space="0" w:color="auto"/>
              <w:right w:val="single" w:sz="4" w:space="0" w:color="auto"/>
            </w:tcBorders>
            <w:shd w:val="clear" w:color="000000" w:fill="FFF2CC"/>
            <w:vAlign w:val="bottom"/>
            <w:hideMark/>
          </w:tcPr>
          <w:p w14:paraId="35F8830A" w14:textId="78A17CA4" w:rsidR="00610E89" w:rsidRPr="00693FA0" w:rsidRDefault="00610E89" w:rsidP="00610E89">
            <w:pPr>
              <w:rPr>
                <w:rFonts w:ascii="Arial" w:hAnsi="Arial" w:cs="Arial"/>
                <w:b/>
                <w:bCs/>
                <w:color w:val="000000"/>
              </w:rPr>
            </w:pPr>
            <w:r w:rsidRPr="00693FA0">
              <w:rPr>
                <w:rFonts w:ascii="Arial" w:hAnsi="Arial" w:cs="Arial"/>
                <w:b/>
                <w:bCs/>
                <w:color w:val="000000"/>
              </w:rPr>
              <w:t>LGA (across 32</w:t>
            </w:r>
            <w:r>
              <w:rPr>
                <w:rFonts w:ascii="Arial" w:hAnsi="Arial" w:cs="Arial"/>
                <w:b/>
                <w:bCs/>
                <w:color w:val="000000"/>
              </w:rPr>
              <w:t>2</w:t>
            </w:r>
            <w:r w:rsidRPr="00693FA0">
              <w:rPr>
                <w:rFonts w:ascii="Arial" w:hAnsi="Arial" w:cs="Arial"/>
                <w:b/>
                <w:bCs/>
                <w:color w:val="000000"/>
              </w:rPr>
              <w:t xml:space="preserve"> </w:t>
            </w:r>
            <w:r>
              <w:rPr>
                <w:rFonts w:ascii="Arial" w:hAnsi="Arial" w:cs="Arial"/>
                <w:b/>
                <w:bCs/>
                <w:color w:val="000000"/>
              </w:rPr>
              <w:t>Local Authorities)</w:t>
            </w:r>
          </w:p>
        </w:tc>
        <w:tc>
          <w:tcPr>
            <w:tcW w:w="1056" w:type="dxa"/>
            <w:tcBorders>
              <w:top w:val="nil"/>
              <w:left w:val="nil"/>
              <w:bottom w:val="single" w:sz="4" w:space="0" w:color="auto"/>
              <w:right w:val="single" w:sz="4" w:space="0" w:color="auto"/>
            </w:tcBorders>
            <w:shd w:val="clear" w:color="000000" w:fill="FFF2CC"/>
            <w:noWrap/>
            <w:hideMark/>
          </w:tcPr>
          <w:p w14:paraId="19C7E263" w14:textId="77777777" w:rsidR="00610E89" w:rsidRPr="00693FA0" w:rsidRDefault="00610E89" w:rsidP="00610E89">
            <w:pPr>
              <w:jc w:val="center"/>
              <w:rPr>
                <w:rFonts w:ascii="Arial" w:hAnsi="Arial" w:cs="Arial"/>
                <w:color w:val="000000"/>
              </w:rPr>
            </w:pPr>
            <w:r w:rsidRPr="00693FA0">
              <w:rPr>
                <w:rFonts w:ascii="Arial" w:hAnsi="Arial" w:cs="Arial"/>
                <w:color w:val="000000"/>
              </w:rPr>
              <w:t>6.8%</w:t>
            </w:r>
          </w:p>
        </w:tc>
        <w:tc>
          <w:tcPr>
            <w:tcW w:w="1134" w:type="dxa"/>
            <w:tcBorders>
              <w:top w:val="nil"/>
              <w:left w:val="nil"/>
              <w:bottom w:val="single" w:sz="4" w:space="0" w:color="auto"/>
              <w:right w:val="single" w:sz="4" w:space="0" w:color="auto"/>
            </w:tcBorders>
            <w:shd w:val="clear" w:color="000000" w:fill="FFF2CC"/>
            <w:noWrap/>
            <w:hideMark/>
          </w:tcPr>
          <w:p w14:paraId="2444BBF2" w14:textId="77777777" w:rsidR="00610E89" w:rsidRPr="00693FA0" w:rsidRDefault="00610E89" w:rsidP="00610E89">
            <w:pPr>
              <w:jc w:val="center"/>
              <w:rPr>
                <w:rFonts w:ascii="Arial" w:hAnsi="Arial" w:cs="Arial"/>
                <w:color w:val="000000"/>
              </w:rPr>
            </w:pPr>
            <w:r w:rsidRPr="00693FA0">
              <w:rPr>
                <w:rFonts w:ascii="Arial" w:hAnsi="Arial" w:cs="Arial"/>
                <w:color w:val="000000"/>
              </w:rPr>
              <w:t>5%</w:t>
            </w:r>
          </w:p>
        </w:tc>
        <w:tc>
          <w:tcPr>
            <w:tcW w:w="992" w:type="dxa"/>
            <w:tcBorders>
              <w:top w:val="nil"/>
              <w:left w:val="nil"/>
              <w:bottom w:val="single" w:sz="4" w:space="0" w:color="auto"/>
              <w:right w:val="single" w:sz="4" w:space="0" w:color="auto"/>
            </w:tcBorders>
            <w:shd w:val="clear" w:color="000000" w:fill="FFF2CC"/>
            <w:noWrap/>
            <w:hideMark/>
          </w:tcPr>
          <w:p w14:paraId="7BEAED6E" w14:textId="77777777" w:rsidR="00610E89" w:rsidRPr="00693FA0" w:rsidRDefault="00610E89" w:rsidP="00610E89">
            <w:pPr>
              <w:jc w:val="center"/>
              <w:rPr>
                <w:rFonts w:ascii="Arial" w:hAnsi="Arial" w:cs="Arial"/>
                <w:color w:val="000000"/>
              </w:rPr>
            </w:pPr>
            <w:r w:rsidRPr="00693FA0">
              <w:rPr>
                <w:rFonts w:ascii="Arial" w:hAnsi="Arial" w:cs="Arial"/>
                <w:color w:val="000000"/>
              </w:rPr>
              <w:t>6.1%</w:t>
            </w:r>
          </w:p>
        </w:tc>
        <w:tc>
          <w:tcPr>
            <w:tcW w:w="1134" w:type="dxa"/>
            <w:tcBorders>
              <w:top w:val="nil"/>
              <w:left w:val="nil"/>
              <w:bottom w:val="single" w:sz="4" w:space="0" w:color="auto"/>
              <w:right w:val="single" w:sz="4" w:space="0" w:color="auto"/>
            </w:tcBorders>
            <w:shd w:val="clear" w:color="000000" w:fill="FFF2CC"/>
            <w:noWrap/>
            <w:hideMark/>
          </w:tcPr>
          <w:p w14:paraId="7EA38FD7" w14:textId="77777777" w:rsidR="00610E89" w:rsidRPr="00693FA0" w:rsidRDefault="00610E89" w:rsidP="00610E89">
            <w:pPr>
              <w:jc w:val="center"/>
              <w:rPr>
                <w:rFonts w:ascii="Arial" w:hAnsi="Arial" w:cs="Arial"/>
                <w:color w:val="000000"/>
              </w:rPr>
            </w:pPr>
            <w:r w:rsidRPr="00693FA0">
              <w:rPr>
                <w:rFonts w:ascii="Arial" w:hAnsi="Arial" w:cs="Arial"/>
                <w:color w:val="000000"/>
              </w:rPr>
              <w:t>4%</w:t>
            </w:r>
          </w:p>
        </w:tc>
        <w:tc>
          <w:tcPr>
            <w:tcW w:w="992" w:type="dxa"/>
            <w:tcBorders>
              <w:top w:val="nil"/>
              <w:left w:val="nil"/>
              <w:bottom w:val="single" w:sz="4" w:space="0" w:color="auto"/>
              <w:right w:val="single" w:sz="4" w:space="0" w:color="auto"/>
            </w:tcBorders>
            <w:shd w:val="clear" w:color="000000" w:fill="FFF2CC"/>
            <w:noWrap/>
            <w:hideMark/>
          </w:tcPr>
          <w:p w14:paraId="63D2271C" w14:textId="77777777" w:rsidR="00610E89" w:rsidRPr="00693FA0" w:rsidRDefault="00610E89" w:rsidP="00610E89">
            <w:pPr>
              <w:jc w:val="center"/>
              <w:rPr>
                <w:rFonts w:ascii="Arial" w:hAnsi="Arial" w:cs="Arial"/>
                <w:color w:val="000000"/>
              </w:rPr>
            </w:pPr>
            <w:r w:rsidRPr="00693FA0">
              <w:rPr>
                <w:rFonts w:ascii="Arial" w:hAnsi="Arial" w:cs="Arial"/>
                <w:color w:val="000000"/>
              </w:rPr>
              <w:t>no data</w:t>
            </w:r>
          </w:p>
        </w:tc>
        <w:tc>
          <w:tcPr>
            <w:tcW w:w="905" w:type="dxa"/>
            <w:tcBorders>
              <w:top w:val="nil"/>
              <w:left w:val="nil"/>
              <w:bottom w:val="single" w:sz="4" w:space="0" w:color="auto"/>
              <w:right w:val="single" w:sz="4" w:space="0" w:color="auto"/>
            </w:tcBorders>
            <w:shd w:val="clear" w:color="000000" w:fill="FFF2CC"/>
            <w:noWrap/>
            <w:hideMark/>
          </w:tcPr>
          <w:p w14:paraId="10334EB1" w14:textId="77777777" w:rsidR="00610E89" w:rsidRPr="00693FA0" w:rsidRDefault="00610E89" w:rsidP="00610E89">
            <w:pPr>
              <w:jc w:val="center"/>
              <w:rPr>
                <w:rFonts w:ascii="Arial" w:hAnsi="Arial" w:cs="Arial"/>
                <w:color w:val="000000"/>
              </w:rPr>
            </w:pPr>
            <w:r w:rsidRPr="00693FA0">
              <w:rPr>
                <w:rFonts w:ascii="Arial" w:hAnsi="Arial" w:cs="Arial"/>
                <w:color w:val="000000"/>
              </w:rPr>
              <w:t>no data</w:t>
            </w:r>
          </w:p>
        </w:tc>
        <w:tc>
          <w:tcPr>
            <w:tcW w:w="938" w:type="dxa"/>
            <w:tcBorders>
              <w:top w:val="nil"/>
              <w:left w:val="nil"/>
              <w:bottom w:val="single" w:sz="4" w:space="0" w:color="auto"/>
              <w:right w:val="single" w:sz="4" w:space="0" w:color="auto"/>
            </w:tcBorders>
            <w:shd w:val="clear" w:color="000000" w:fill="FFF2CC"/>
            <w:noWrap/>
            <w:hideMark/>
          </w:tcPr>
          <w:p w14:paraId="1B5E96E6" w14:textId="77777777" w:rsidR="00610E89" w:rsidRPr="00693FA0" w:rsidRDefault="00610E89" w:rsidP="00610E89">
            <w:pPr>
              <w:jc w:val="center"/>
              <w:rPr>
                <w:rFonts w:ascii="Arial" w:hAnsi="Arial" w:cs="Arial"/>
                <w:color w:val="000000"/>
              </w:rPr>
            </w:pPr>
            <w:r w:rsidRPr="00693FA0">
              <w:rPr>
                <w:rFonts w:ascii="Arial" w:hAnsi="Arial" w:cs="Arial"/>
                <w:color w:val="000000"/>
              </w:rPr>
              <w:t>tbc</w:t>
            </w:r>
          </w:p>
        </w:tc>
        <w:tc>
          <w:tcPr>
            <w:tcW w:w="992" w:type="dxa"/>
            <w:tcBorders>
              <w:top w:val="nil"/>
              <w:left w:val="nil"/>
              <w:bottom w:val="single" w:sz="4" w:space="0" w:color="auto"/>
              <w:right w:val="single" w:sz="4" w:space="0" w:color="auto"/>
            </w:tcBorders>
            <w:shd w:val="clear" w:color="000000" w:fill="FFF2CC"/>
            <w:noWrap/>
            <w:hideMark/>
          </w:tcPr>
          <w:p w14:paraId="16CFAAAF" w14:textId="77777777" w:rsidR="00610E89" w:rsidRPr="00693FA0" w:rsidRDefault="00610E89" w:rsidP="00610E89">
            <w:pPr>
              <w:jc w:val="center"/>
              <w:rPr>
                <w:rFonts w:ascii="Arial" w:hAnsi="Arial" w:cs="Arial"/>
                <w:color w:val="000000"/>
              </w:rPr>
            </w:pPr>
            <w:r w:rsidRPr="00693FA0">
              <w:rPr>
                <w:rFonts w:ascii="Arial" w:hAnsi="Arial" w:cs="Arial"/>
                <w:color w:val="000000"/>
              </w:rPr>
              <w:t>tbc</w:t>
            </w:r>
          </w:p>
        </w:tc>
      </w:tr>
      <w:tr w:rsidR="00610E89" w:rsidRPr="00FF0EFC" w14:paraId="44B56A6C" w14:textId="77777777" w:rsidTr="00693FA0">
        <w:trPr>
          <w:trHeight w:val="300"/>
        </w:trPr>
        <w:tc>
          <w:tcPr>
            <w:tcW w:w="2200" w:type="dxa"/>
            <w:tcBorders>
              <w:top w:val="nil"/>
              <w:left w:val="single" w:sz="4" w:space="0" w:color="auto"/>
              <w:bottom w:val="single" w:sz="4" w:space="0" w:color="auto"/>
              <w:right w:val="single" w:sz="4" w:space="0" w:color="auto"/>
            </w:tcBorders>
            <w:shd w:val="clear" w:color="000000" w:fill="C6E0B4"/>
            <w:noWrap/>
            <w:vAlign w:val="bottom"/>
            <w:hideMark/>
          </w:tcPr>
          <w:p w14:paraId="4DAA4FB6" w14:textId="77777777" w:rsidR="00610E89" w:rsidRPr="00FF0EFC" w:rsidRDefault="00610E89" w:rsidP="00610E89">
            <w:pPr>
              <w:rPr>
                <w:rFonts w:ascii="Arial" w:hAnsi="Arial" w:cs="Arial"/>
                <w:b/>
                <w:bCs/>
                <w:color w:val="000000"/>
              </w:rPr>
            </w:pPr>
            <w:r w:rsidRPr="00693FA0">
              <w:rPr>
                <w:rFonts w:ascii="Arial" w:hAnsi="Arial" w:cs="Arial"/>
                <w:b/>
                <w:bCs/>
                <w:color w:val="000000"/>
              </w:rPr>
              <w:t>B&amp;NES Council</w:t>
            </w:r>
          </w:p>
          <w:p w14:paraId="4DB045C0" w14:textId="1827E5DF" w:rsidR="00610E89" w:rsidRPr="00693FA0" w:rsidRDefault="00610E89" w:rsidP="00610E89">
            <w:pPr>
              <w:rPr>
                <w:rFonts w:ascii="Arial" w:hAnsi="Arial" w:cs="Arial"/>
                <w:b/>
                <w:bCs/>
                <w:color w:val="000000"/>
              </w:rPr>
            </w:pPr>
          </w:p>
        </w:tc>
        <w:tc>
          <w:tcPr>
            <w:tcW w:w="1056" w:type="dxa"/>
            <w:tcBorders>
              <w:top w:val="nil"/>
              <w:left w:val="nil"/>
              <w:bottom w:val="single" w:sz="4" w:space="0" w:color="auto"/>
              <w:right w:val="single" w:sz="4" w:space="0" w:color="auto"/>
            </w:tcBorders>
            <w:shd w:val="clear" w:color="000000" w:fill="C6E0B4"/>
            <w:noWrap/>
            <w:hideMark/>
          </w:tcPr>
          <w:p w14:paraId="7E70AD37" w14:textId="77777777" w:rsidR="00610E89" w:rsidRPr="00693FA0" w:rsidRDefault="00610E89" w:rsidP="00610E89">
            <w:pPr>
              <w:jc w:val="center"/>
              <w:rPr>
                <w:rFonts w:ascii="Arial" w:hAnsi="Arial" w:cs="Arial"/>
                <w:color w:val="000000"/>
              </w:rPr>
            </w:pPr>
            <w:r w:rsidRPr="00693FA0">
              <w:rPr>
                <w:rFonts w:ascii="Arial" w:hAnsi="Arial" w:cs="Arial"/>
                <w:color w:val="000000"/>
              </w:rPr>
              <w:t>8.41%</w:t>
            </w:r>
          </w:p>
        </w:tc>
        <w:tc>
          <w:tcPr>
            <w:tcW w:w="1134" w:type="dxa"/>
            <w:tcBorders>
              <w:top w:val="nil"/>
              <w:left w:val="nil"/>
              <w:bottom w:val="single" w:sz="4" w:space="0" w:color="auto"/>
              <w:right w:val="single" w:sz="4" w:space="0" w:color="auto"/>
            </w:tcBorders>
            <w:shd w:val="clear" w:color="000000" w:fill="C6E0B4"/>
            <w:noWrap/>
            <w:hideMark/>
          </w:tcPr>
          <w:p w14:paraId="43B20859" w14:textId="77777777" w:rsidR="00610E89" w:rsidRPr="00693FA0" w:rsidRDefault="00610E89" w:rsidP="00610E89">
            <w:pPr>
              <w:jc w:val="center"/>
              <w:rPr>
                <w:rFonts w:ascii="Arial" w:hAnsi="Arial" w:cs="Arial"/>
                <w:color w:val="000000"/>
              </w:rPr>
            </w:pPr>
            <w:r w:rsidRPr="00693FA0">
              <w:rPr>
                <w:rFonts w:ascii="Arial" w:hAnsi="Arial" w:cs="Arial"/>
                <w:color w:val="000000"/>
              </w:rPr>
              <w:t>-0.6%</w:t>
            </w:r>
          </w:p>
        </w:tc>
        <w:tc>
          <w:tcPr>
            <w:tcW w:w="992" w:type="dxa"/>
            <w:tcBorders>
              <w:top w:val="nil"/>
              <w:left w:val="nil"/>
              <w:bottom w:val="single" w:sz="4" w:space="0" w:color="auto"/>
              <w:right w:val="single" w:sz="4" w:space="0" w:color="auto"/>
            </w:tcBorders>
            <w:shd w:val="clear" w:color="000000" w:fill="C6E0B4"/>
            <w:noWrap/>
            <w:hideMark/>
          </w:tcPr>
          <w:p w14:paraId="1FF7116E" w14:textId="77777777" w:rsidR="00610E89" w:rsidRPr="00693FA0" w:rsidRDefault="00610E89" w:rsidP="00610E89">
            <w:pPr>
              <w:jc w:val="center"/>
              <w:rPr>
                <w:rFonts w:ascii="Arial" w:hAnsi="Arial" w:cs="Arial"/>
                <w:color w:val="000000"/>
              </w:rPr>
            </w:pPr>
            <w:r w:rsidRPr="00693FA0">
              <w:rPr>
                <w:rFonts w:ascii="Arial" w:hAnsi="Arial" w:cs="Arial"/>
                <w:color w:val="000000"/>
              </w:rPr>
              <w:t>6.61%</w:t>
            </w:r>
          </w:p>
        </w:tc>
        <w:tc>
          <w:tcPr>
            <w:tcW w:w="1134" w:type="dxa"/>
            <w:tcBorders>
              <w:top w:val="nil"/>
              <w:left w:val="nil"/>
              <w:bottom w:val="single" w:sz="4" w:space="0" w:color="auto"/>
              <w:right w:val="single" w:sz="4" w:space="0" w:color="auto"/>
            </w:tcBorders>
            <w:shd w:val="clear" w:color="000000" w:fill="C6E0B4"/>
            <w:noWrap/>
            <w:hideMark/>
          </w:tcPr>
          <w:p w14:paraId="64646D4B" w14:textId="77777777" w:rsidR="00610E89" w:rsidRPr="00693FA0" w:rsidRDefault="00610E89" w:rsidP="00610E89">
            <w:pPr>
              <w:jc w:val="center"/>
              <w:rPr>
                <w:rFonts w:ascii="Arial" w:hAnsi="Arial" w:cs="Arial"/>
                <w:color w:val="000000"/>
              </w:rPr>
            </w:pPr>
            <w:r w:rsidRPr="00693FA0">
              <w:rPr>
                <w:rFonts w:ascii="Arial" w:hAnsi="Arial" w:cs="Arial"/>
                <w:color w:val="000000"/>
              </w:rPr>
              <w:t>-0.5%</w:t>
            </w:r>
          </w:p>
        </w:tc>
        <w:tc>
          <w:tcPr>
            <w:tcW w:w="992" w:type="dxa"/>
            <w:tcBorders>
              <w:top w:val="nil"/>
              <w:left w:val="nil"/>
              <w:bottom w:val="single" w:sz="4" w:space="0" w:color="auto"/>
              <w:right w:val="single" w:sz="4" w:space="0" w:color="auto"/>
            </w:tcBorders>
            <w:shd w:val="clear" w:color="000000" w:fill="C6E0B4"/>
            <w:noWrap/>
            <w:hideMark/>
          </w:tcPr>
          <w:p w14:paraId="7BC1C942" w14:textId="77777777" w:rsidR="00610E89" w:rsidRPr="00693FA0" w:rsidRDefault="00610E89" w:rsidP="00610E89">
            <w:pPr>
              <w:jc w:val="center"/>
              <w:rPr>
                <w:rFonts w:ascii="Arial" w:hAnsi="Arial" w:cs="Arial"/>
                <w:color w:val="000000"/>
              </w:rPr>
            </w:pPr>
            <w:r w:rsidRPr="00693FA0">
              <w:rPr>
                <w:rFonts w:ascii="Arial" w:hAnsi="Arial" w:cs="Arial"/>
                <w:color w:val="000000"/>
              </w:rPr>
              <w:t>2.38%</w:t>
            </w:r>
          </w:p>
        </w:tc>
        <w:tc>
          <w:tcPr>
            <w:tcW w:w="905" w:type="dxa"/>
            <w:tcBorders>
              <w:top w:val="nil"/>
              <w:left w:val="nil"/>
              <w:bottom w:val="single" w:sz="4" w:space="0" w:color="auto"/>
              <w:right w:val="single" w:sz="4" w:space="0" w:color="auto"/>
            </w:tcBorders>
            <w:shd w:val="clear" w:color="000000" w:fill="C6E0B4"/>
            <w:noWrap/>
            <w:hideMark/>
          </w:tcPr>
          <w:p w14:paraId="5452E236" w14:textId="77777777" w:rsidR="00610E89" w:rsidRPr="00693FA0" w:rsidRDefault="00610E89" w:rsidP="00610E89">
            <w:pPr>
              <w:jc w:val="center"/>
              <w:rPr>
                <w:rFonts w:ascii="Arial" w:hAnsi="Arial" w:cs="Arial"/>
                <w:color w:val="000000"/>
              </w:rPr>
            </w:pPr>
            <w:r w:rsidRPr="00693FA0">
              <w:rPr>
                <w:rFonts w:ascii="Arial" w:hAnsi="Arial" w:cs="Arial"/>
                <w:color w:val="000000"/>
              </w:rPr>
              <w:t>-9.1%</w:t>
            </w:r>
          </w:p>
        </w:tc>
        <w:tc>
          <w:tcPr>
            <w:tcW w:w="938" w:type="dxa"/>
            <w:tcBorders>
              <w:top w:val="nil"/>
              <w:left w:val="nil"/>
              <w:bottom w:val="single" w:sz="4" w:space="0" w:color="auto"/>
              <w:right w:val="single" w:sz="4" w:space="0" w:color="auto"/>
            </w:tcBorders>
            <w:shd w:val="clear" w:color="000000" w:fill="C6E0B4"/>
            <w:noWrap/>
            <w:hideMark/>
          </w:tcPr>
          <w:p w14:paraId="0ABD0790" w14:textId="77777777" w:rsidR="00610E89" w:rsidRPr="00693FA0" w:rsidRDefault="00610E89" w:rsidP="00610E89">
            <w:pPr>
              <w:jc w:val="center"/>
              <w:rPr>
                <w:rFonts w:ascii="Arial" w:hAnsi="Arial" w:cs="Arial"/>
                <w:color w:val="000000"/>
              </w:rPr>
            </w:pPr>
            <w:r w:rsidRPr="00693FA0">
              <w:rPr>
                <w:rFonts w:ascii="Arial" w:hAnsi="Arial" w:cs="Arial"/>
                <w:color w:val="000000"/>
              </w:rPr>
              <w:t>2.48%</w:t>
            </w:r>
          </w:p>
        </w:tc>
        <w:tc>
          <w:tcPr>
            <w:tcW w:w="992" w:type="dxa"/>
            <w:tcBorders>
              <w:top w:val="nil"/>
              <w:left w:val="nil"/>
              <w:bottom w:val="single" w:sz="4" w:space="0" w:color="auto"/>
              <w:right w:val="single" w:sz="4" w:space="0" w:color="auto"/>
            </w:tcBorders>
            <w:shd w:val="clear" w:color="000000" w:fill="C6E0B4"/>
            <w:noWrap/>
            <w:hideMark/>
          </w:tcPr>
          <w:p w14:paraId="10D7DFE7" w14:textId="77777777" w:rsidR="00610E89" w:rsidRPr="00693FA0" w:rsidRDefault="00610E89" w:rsidP="00610E89">
            <w:pPr>
              <w:jc w:val="center"/>
              <w:rPr>
                <w:rFonts w:ascii="Arial" w:hAnsi="Arial" w:cs="Arial"/>
                <w:color w:val="000000"/>
              </w:rPr>
            </w:pPr>
            <w:r w:rsidRPr="00693FA0">
              <w:rPr>
                <w:rFonts w:ascii="Arial" w:hAnsi="Arial" w:cs="Arial"/>
                <w:color w:val="000000"/>
              </w:rPr>
              <w:t>-5.99%</w:t>
            </w:r>
          </w:p>
        </w:tc>
      </w:tr>
    </w:tbl>
    <w:p w14:paraId="1881E503" w14:textId="77777777" w:rsidR="00C612DD" w:rsidRPr="00693FA0" w:rsidRDefault="00C612DD">
      <w:pPr>
        <w:pStyle w:val="Default"/>
        <w:rPr>
          <w:sz w:val="20"/>
          <w:szCs w:val="20"/>
        </w:rPr>
      </w:pPr>
    </w:p>
    <w:p w14:paraId="352B71EC" w14:textId="77777777" w:rsidR="00835665" w:rsidRPr="001C647C" w:rsidRDefault="00835665">
      <w:pPr>
        <w:rPr>
          <w:rFonts w:ascii="Arial" w:hAnsi="Arial" w:cs="Arial"/>
          <w:b/>
          <w:sz w:val="24"/>
          <w:szCs w:val="24"/>
        </w:rPr>
      </w:pPr>
    </w:p>
    <w:p w14:paraId="4CF40F8B" w14:textId="77777777" w:rsidR="00FF0EFC" w:rsidRDefault="00FF0EFC" w:rsidP="00835665">
      <w:pPr>
        <w:rPr>
          <w:rFonts w:ascii="Arial" w:hAnsi="Arial" w:cs="Arial"/>
          <w:b/>
          <w:sz w:val="24"/>
          <w:szCs w:val="24"/>
        </w:rPr>
      </w:pPr>
    </w:p>
    <w:p w14:paraId="6A4449AC" w14:textId="26B6F90E" w:rsidR="00835665" w:rsidRPr="001C647C" w:rsidRDefault="00835665" w:rsidP="00835665">
      <w:pPr>
        <w:rPr>
          <w:rFonts w:ascii="Arial" w:hAnsi="Arial" w:cs="Arial"/>
          <w:b/>
          <w:sz w:val="24"/>
          <w:szCs w:val="24"/>
        </w:rPr>
      </w:pPr>
      <w:r w:rsidRPr="001C647C">
        <w:rPr>
          <w:rFonts w:ascii="Arial" w:hAnsi="Arial" w:cs="Arial"/>
          <w:b/>
          <w:sz w:val="24"/>
          <w:szCs w:val="24"/>
        </w:rPr>
        <w:lastRenderedPageBreak/>
        <w:t xml:space="preserve">Proportion of Men and Women Receiving </w:t>
      </w:r>
      <w:r w:rsidRPr="007E4C44">
        <w:rPr>
          <w:rFonts w:ascii="Arial" w:hAnsi="Arial" w:cs="Arial"/>
          <w:b/>
          <w:sz w:val="24"/>
          <w:szCs w:val="24"/>
        </w:rPr>
        <w:t>Bonus Pay</w:t>
      </w:r>
      <w:r w:rsidR="007C7AD6">
        <w:rPr>
          <w:rStyle w:val="FootnoteReference"/>
          <w:rFonts w:ascii="Arial" w:hAnsi="Arial" w:cs="Arial"/>
          <w:b/>
          <w:sz w:val="24"/>
          <w:szCs w:val="24"/>
        </w:rPr>
        <w:footnoteReference w:customMarkFollows="1" w:id="3"/>
        <w:t>3</w:t>
      </w:r>
    </w:p>
    <w:p w14:paraId="58CB4072" w14:textId="77777777" w:rsidR="00835665" w:rsidRPr="001C647C" w:rsidRDefault="00835665" w:rsidP="00835665">
      <w:pPr>
        <w:rPr>
          <w:rFonts w:ascii="Arial" w:hAnsi="Arial" w:cs="Arial"/>
          <w:sz w:val="24"/>
          <w:szCs w:val="24"/>
        </w:rPr>
      </w:pPr>
    </w:p>
    <w:p w14:paraId="1085BE98" w14:textId="65B1A400" w:rsidR="00CB2993" w:rsidRDefault="00C568E9" w:rsidP="00C568E9">
      <w:pPr>
        <w:rPr>
          <w:rFonts w:ascii="Arial" w:hAnsi="Arial" w:cs="Arial"/>
          <w:sz w:val="24"/>
          <w:szCs w:val="24"/>
        </w:rPr>
      </w:pPr>
      <w:r w:rsidRPr="00C568E9">
        <w:rPr>
          <w:rFonts w:ascii="Arial" w:hAnsi="Arial" w:cs="Arial"/>
          <w:sz w:val="24"/>
          <w:szCs w:val="24"/>
        </w:rPr>
        <w:t>Whilst the Council doesn’t pay ‘bonus’ payments in the traditional sense, there are a small number of one off payments (</w:t>
      </w:r>
      <w:proofErr w:type="spellStart"/>
      <w:r w:rsidRPr="00C568E9">
        <w:rPr>
          <w:rFonts w:ascii="Arial" w:hAnsi="Arial" w:cs="Arial"/>
          <w:sz w:val="24"/>
          <w:szCs w:val="24"/>
        </w:rPr>
        <w:t>eg</w:t>
      </w:r>
      <w:proofErr w:type="spellEnd"/>
      <w:r w:rsidRPr="00C568E9">
        <w:rPr>
          <w:rFonts w:ascii="Arial" w:hAnsi="Arial" w:cs="Arial"/>
          <w:sz w:val="24"/>
          <w:szCs w:val="24"/>
        </w:rPr>
        <w:t xml:space="preserve"> long service awards, recruitment and retention allowances) that, in the spirit of transpar</w:t>
      </w:r>
      <w:r w:rsidR="00DE095D">
        <w:rPr>
          <w:rFonts w:ascii="Arial" w:hAnsi="Arial" w:cs="Arial"/>
          <w:sz w:val="24"/>
          <w:szCs w:val="24"/>
        </w:rPr>
        <w:t xml:space="preserve">ency, </w:t>
      </w:r>
      <w:r w:rsidR="001D2119">
        <w:rPr>
          <w:rFonts w:ascii="Arial" w:hAnsi="Arial" w:cs="Arial"/>
          <w:sz w:val="24"/>
          <w:szCs w:val="24"/>
        </w:rPr>
        <w:t>are identified</w:t>
      </w:r>
      <w:r w:rsidR="00DE095D">
        <w:rPr>
          <w:rFonts w:ascii="Arial" w:hAnsi="Arial" w:cs="Arial"/>
          <w:sz w:val="24"/>
          <w:szCs w:val="24"/>
        </w:rPr>
        <w:t xml:space="preserve"> separately. </w:t>
      </w:r>
    </w:p>
    <w:p w14:paraId="70140FE1" w14:textId="4CB21E81" w:rsidR="00A362CE" w:rsidRDefault="00A362CE" w:rsidP="00C568E9">
      <w:pPr>
        <w:rPr>
          <w:rFonts w:ascii="Arial" w:hAnsi="Arial" w:cs="Arial"/>
          <w:sz w:val="24"/>
          <w:szCs w:val="24"/>
        </w:rPr>
      </w:pPr>
    </w:p>
    <w:p w14:paraId="684906C3" w14:textId="637044CF" w:rsidR="00A362CE" w:rsidRDefault="00A362CE" w:rsidP="00C568E9">
      <w:pPr>
        <w:rPr>
          <w:rFonts w:ascii="Arial" w:hAnsi="Arial" w:cs="Arial"/>
          <w:sz w:val="24"/>
          <w:szCs w:val="24"/>
        </w:rPr>
      </w:pPr>
      <w:r>
        <w:rPr>
          <w:rFonts w:ascii="Arial" w:hAnsi="Arial" w:cs="Arial"/>
          <w:sz w:val="24"/>
          <w:szCs w:val="24"/>
        </w:rPr>
        <w:t>Closer scrutiny of these payments highlight</w:t>
      </w:r>
      <w:r w:rsidR="00DB1018">
        <w:rPr>
          <w:rFonts w:ascii="Arial" w:hAnsi="Arial" w:cs="Arial"/>
          <w:sz w:val="24"/>
          <w:szCs w:val="24"/>
        </w:rPr>
        <w:t>ed</w:t>
      </w:r>
      <w:r>
        <w:rPr>
          <w:rFonts w:ascii="Arial" w:hAnsi="Arial" w:cs="Arial"/>
          <w:sz w:val="24"/>
          <w:szCs w:val="24"/>
        </w:rPr>
        <w:t xml:space="preserve"> that many of these actually relate to ‘acting up’, ad hoc ‘cover’ arrangements and reflective supervision for newly qualified professionals (</w:t>
      </w:r>
      <w:proofErr w:type="spellStart"/>
      <w:r>
        <w:rPr>
          <w:rFonts w:ascii="Arial" w:hAnsi="Arial" w:cs="Arial"/>
          <w:sz w:val="24"/>
          <w:szCs w:val="24"/>
        </w:rPr>
        <w:t>ie</w:t>
      </w:r>
      <w:proofErr w:type="spellEnd"/>
      <w:r>
        <w:rPr>
          <w:rFonts w:ascii="Arial" w:hAnsi="Arial" w:cs="Arial"/>
          <w:sz w:val="24"/>
          <w:szCs w:val="24"/>
        </w:rPr>
        <w:t xml:space="preserve"> social workers).  </w:t>
      </w:r>
      <w:r w:rsidR="007C7AD6">
        <w:rPr>
          <w:rFonts w:ascii="Arial" w:hAnsi="Arial" w:cs="Arial"/>
          <w:sz w:val="24"/>
          <w:szCs w:val="24"/>
        </w:rPr>
        <w:t xml:space="preserve">In December 2019 the </w:t>
      </w:r>
      <w:r w:rsidR="00DB1018">
        <w:rPr>
          <w:rFonts w:ascii="Arial" w:hAnsi="Arial" w:cs="Arial"/>
          <w:sz w:val="24"/>
          <w:szCs w:val="24"/>
        </w:rPr>
        <w:t>HR</w:t>
      </w:r>
      <w:r w:rsidR="007C7AD6">
        <w:rPr>
          <w:rFonts w:ascii="Arial" w:hAnsi="Arial" w:cs="Arial"/>
          <w:sz w:val="24"/>
          <w:szCs w:val="24"/>
        </w:rPr>
        <w:t>/</w:t>
      </w:r>
      <w:r w:rsidR="00DB1018">
        <w:rPr>
          <w:rFonts w:ascii="Arial" w:hAnsi="Arial" w:cs="Arial"/>
          <w:sz w:val="24"/>
          <w:szCs w:val="24"/>
        </w:rPr>
        <w:t>P</w:t>
      </w:r>
      <w:r w:rsidR="007C7AD6">
        <w:rPr>
          <w:rFonts w:ascii="Arial" w:hAnsi="Arial" w:cs="Arial"/>
          <w:sz w:val="24"/>
          <w:szCs w:val="24"/>
        </w:rPr>
        <w:t xml:space="preserve">ayroll </w:t>
      </w:r>
      <w:r w:rsidR="00847BB5">
        <w:rPr>
          <w:rFonts w:ascii="Arial" w:hAnsi="Arial" w:cs="Arial"/>
          <w:sz w:val="24"/>
          <w:szCs w:val="24"/>
        </w:rPr>
        <w:t>process</w:t>
      </w:r>
      <w:r>
        <w:rPr>
          <w:rFonts w:ascii="Arial" w:hAnsi="Arial" w:cs="Arial"/>
          <w:sz w:val="24"/>
          <w:szCs w:val="24"/>
        </w:rPr>
        <w:t xml:space="preserve"> </w:t>
      </w:r>
      <w:r w:rsidR="00847BB5">
        <w:rPr>
          <w:rFonts w:ascii="Arial" w:hAnsi="Arial" w:cs="Arial"/>
          <w:sz w:val="24"/>
          <w:szCs w:val="24"/>
        </w:rPr>
        <w:t xml:space="preserve">changed to help </w:t>
      </w:r>
      <w:r>
        <w:rPr>
          <w:rFonts w:ascii="Arial" w:hAnsi="Arial" w:cs="Arial"/>
          <w:sz w:val="24"/>
          <w:szCs w:val="24"/>
        </w:rPr>
        <w:t xml:space="preserve">ensure </w:t>
      </w:r>
      <w:r w:rsidR="00DB1018">
        <w:rPr>
          <w:rFonts w:ascii="Arial" w:hAnsi="Arial" w:cs="Arial"/>
          <w:sz w:val="24"/>
          <w:szCs w:val="24"/>
        </w:rPr>
        <w:t xml:space="preserve">some of </w:t>
      </w:r>
      <w:r>
        <w:rPr>
          <w:rFonts w:ascii="Arial" w:hAnsi="Arial" w:cs="Arial"/>
          <w:sz w:val="24"/>
          <w:szCs w:val="24"/>
        </w:rPr>
        <w:t xml:space="preserve">these </w:t>
      </w:r>
      <w:r w:rsidR="00847BB5">
        <w:rPr>
          <w:rFonts w:ascii="Arial" w:hAnsi="Arial" w:cs="Arial"/>
          <w:sz w:val="24"/>
          <w:szCs w:val="24"/>
        </w:rPr>
        <w:t xml:space="preserve">payments </w:t>
      </w:r>
      <w:r>
        <w:rPr>
          <w:rFonts w:ascii="Arial" w:hAnsi="Arial" w:cs="Arial"/>
          <w:sz w:val="24"/>
          <w:szCs w:val="24"/>
        </w:rPr>
        <w:t>are</w:t>
      </w:r>
      <w:r w:rsidR="00847BB5">
        <w:rPr>
          <w:rFonts w:ascii="Arial" w:hAnsi="Arial" w:cs="Arial"/>
          <w:sz w:val="24"/>
          <w:szCs w:val="24"/>
        </w:rPr>
        <w:t xml:space="preserve"> no longer treated as</w:t>
      </w:r>
      <w:r>
        <w:rPr>
          <w:rFonts w:ascii="Arial" w:hAnsi="Arial" w:cs="Arial"/>
          <w:sz w:val="24"/>
          <w:szCs w:val="24"/>
        </w:rPr>
        <w:t xml:space="preserve"> ‘ex gratia’ and </w:t>
      </w:r>
      <w:r w:rsidR="00847BB5">
        <w:rPr>
          <w:rFonts w:ascii="Arial" w:hAnsi="Arial" w:cs="Arial"/>
          <w:sz w:val="24"/>
          <w:szCs w:val="24"/>
        </w:rPr>
        <w:t xml:space="preserve">are paid in a </w:t>
      </w:r>
      <w:r>
        <w:rPr>
          <w:rFonts w:ascii="Arial" w:hAnsi="Arial" w:cs="Arial"/>
          <w:sz w:val="24"/>
          <w:szCs w:val="24"/>
        </w:rPr>
        <w:t>more appropriate way</w:t>
      </w:r>
      <w:r w:rsidR="00847BB5">
        <w:rPr>
          <w:rFonts w:ascii="Arial" w:hAnsi="Arial" w:cs="Arial"/>
          <w:sz w:val="24"/>
          <w:szCs w:val="24"/>
        </w:rPr>
        <w:t xml:space="preserve">.  This will ultimately mean the amount </w:t>
      </w:r>
      <w:r>
        <w:rPr>
          <w:rFonts w:ascii="Arial" w:hAnsi="Arial" w:cs="Arial"/>
          <w:sz w:val="24"/>
          <w:szCs w:val="24"/>
        </w:rPr>
        <w:t>will be reflected in the</w:t>
      </w:r>
      <w:r w:rsidR="00710A87">
        <w:rPr>
          <w:rFonts w:ascii="Arial" w:hAnsi="Arial" w:cs="Arial"/>
          <w:sz w:val="24"/>
          <w:szCs w:val="24"/>
        </w:rPr>
        <w:t xml:space="preserve"> overall</w:t>
      </w:r>
      <w:r>
        <w:rPr>
          <w:rFonts w:ascii="Arial" w:hAnsi="Arial" w:cs="Arial"/>
          <w:sz w:val="24"/>
          <w:szCs w:val="24"/>
        </w:rPr>
        <w:t xml:space="preserve"> ‘hourly rate’ </w:t>
      </w:r>
      <w:r w:rsidR="00710A87">
        <w:rPr>
          <w:rFonts w:ascii="Arial" w:hAnsi="Arial" w:cs="Arial"/>
          <w:sz w:val="24"/>
          <w:szCs w:val="24"/>
        </w:rPr>
        <w:t xml:space="preserve">figure </w:t>
      </w:r>
      <w:r>
        <w:rPr>
          <w:rFonts w:ascii="Arial" w:hAnsi="Arial" w:cs="Arial"/>
          <w:sz w:val="24"/>
          <w:szCs w:val="24"/>
        </w:rPr>
        <w:t>rather than as a ‘bonus’ payment.</w:t>
      </w:r>
    </w:p>
    <w:p w14:paraId="32104E1D" w14:textId="77777777" w:rsidR="00CB2993" w:rsidRDefault="00CB2993" w:rsidP="00C568E9">
      <w:pPr>
        <w:rPr>
          <w:rFonts w:ascii="Arial" w:hAnsi="Arial" w:cs="Arial"/>
          <w:sz w:val="24"/>
          <w:szCs w:val="24"/>
        </w:rPr>
      </w:pPr>
    </w:p>
    <w:p w14:paraId="08744403" w14:textId="60C856E7" w:rsidR="00C568E9" w:rsidRPr="007E4C44" w:rsidRDefault="00C568E9" w:rsidP="00C568E9">
      <w:pPr>
        <w:rPr>
          <w:rFonts w:ascii="Arial" w:hAnsi="Arial" w:cs="Arial"/>
          <w:sz w:val="24"/>
          <w:szCs w:val="24"/>
        </w:rPr>
      </w:pPr>
      <w:r w:rsidRPr="00C568E9">
        <w:rPr>
          <w:rFonts w:ascii="Arial" w:hAnsi="Arial" w:cs="Arial"/>
          <w:sz w:val="24"/>
          <w:szCs w:val="24"/>
        </w:rPr>
        <w:t xml:space="preserve">The </w:t>
      </w:r>
      <w:r w:rsidR="004127CE">
        <w:rPr>
          <w:rFonts w:ascii="Arial" w:hAnsi="Arial" w:cs="Arial"/>
          <w:sz w:val="24"/>
          <w:szCs w:val="24"/>
        </w:rPr>
        <w:t xml:space="preserve">2020 </w:t>
      </w:r>
      <w:r w:rsidRPr="00C568E9">
        <w:rPr>
          <w:rFonts w:ascii="Arial" w:hAnsi="Arial" w:cs="Arial"/>
          <w:sz w:val="24"/>
          <w:szCs w:val="24"/>
        </w:rPr>
        <w:t xml:space="preserve">data shows </w:t>
      </w:r>
      <w:r w:rsidR="004127CE">
        <w:rPr>
          <w:rFonts w:ascii="Arial" w:hAnsi="Arial" w:cs="Arial"/>
          <w:sz w:val="24"/>
          <w:szCs w:val="24"/>
        </w:rPr>
        <w:t xml:space="preserve">an overall reduction in the average </w:t>
      </w:r>
      <w:r w:rsidR="00DB1018">
        <w:rPr>
          <w:rFonts w:ascii="Arial" w:hAnsi="Arial" w:cs="Arial"/>
          <w:sz w:val="24"/>
          <w:szCs w:val="24"/>
        </w:rPr>
        <w:t>amounts</w:t>
      </w:r>
      <w:r w:rsidR="004127CE">
        <w:rPr>
          <w:rFonts w:ascii="Arial" w:hAnsi="Arial" w:cs="Arial"/>
          <w:sz w:val="24"/>
          <w:szCs w:val="24"/>
        </w:rPr>
        <w:t xml:space="preserve"> and median gap, yet a</w:t>
      </w:r>
      <w:r w:rsidR="00A362CE">
        <w:rPr>
          <w:rFonts w:ascii="Arial" w:hAnsi="Arial" w:cs="Arial"/>
          <w:sz w:val="24"/>
          <w:szCs w:val="24"/>
        </w:rPr>
        <w:t xml:space="preserve"> widening gap of the mean</w:t>
      </w:r>
      <w:r w:rsidRPr="00C568E9">
        <w:rPr>
          <w:rFonts w:ascii="Arial" w:hAnsi="Arial" w:cs="Arial"/>
          <w:sz w:val="24"/>
          <w:szCs w:val="24"/>
        </w:rPr>
        <w:t xml:space="preserve"> average difference</w:t>
      </w:r>
      <w:r w:rsidR="00DB1018">
        <w:rPr>
          <w:rFonts w:ascii="Arial" w:hAnsi="Arial" w:cs="Arial"/>
          <w:sz w:val="24"/>
          <w:szCs w:val="24"/>
        </w:rPr>
        <w:t>,</w:t>
      </w:r>
      <w:r w:rsidRPr="00C568E9">
        <w:rPr>
          <w:rFonts w:ascii="Arial" w:hAnsi="Arial" w:cs="Arial"/>
          <w:sz w:val="24"/>
          <w:szCs w:val="24"/>
        </w:rPr>
        <w:t xml:space="preserve"> in favour of males.  The proportion of both male and females receiving such payments remains small at </w:t>
      </w:r>
      <w:r w:rsidR="004127CE">
        <w:rPr>
          <w:rFonts w:ascii="Arial" w:hAnsi="Arial" w:cs="Arial"/>
          <w:sz w:val="24"/>
          <w:szCs w:val="24"/>
        </w:rPr>
        <w:t>4</w:t>
      </w:r>
      <w:r w:rsidR="00000443">
        <w:rPr>
          <w:rFonts w:ascii="Arial" w:hAnsi="Arial" w:cs="Arial"/>
          <w:sz w:val="24"/>
          <w:szCs w:val="24"/>
        </w:rPr>
        <w:t>.1%</w:t>
      </w:r>
      <w:r w:rsidRPr="007E4C44">
        <w:rPr>
          <w:rFonts w:ascii="Arial" w:hAnsi="Arial" w:cs="Arial"/>
          <w:sz w:val="24"/>
          <w:szCs w:val="24"/>
        </w:rPr>
        <w:t xml:space="preserve"> and </w:t>
      </w:r>
      <w:r w:rsidR="004127CE">
        <w:rPr>
          <w:rFonts w:ascii="Arial" w:hAnsi="Arial" w:cs="Arial"/>
          <w:sz w:val="24"/>
          <w:szCs w:val="24"/>
        </w:rPr>
        <w:t>3.7</w:t>
      </w:r>
      <w:r w:rsidRPr="007E4C44">
        <w:rPr>
          <w:rFonts w:ascii="Arial" w:hAnsi="Arial" w:cs="Arial"/>
          <w:sz w:val="24"/>
          <w:szCs w:val="24"/>
        </w:rPr>
        <w:t>%</w:t>
      </w:r>
      <w:r w:rsidR="00847BB5">
        <w:rPr>
          <w:rFonts w:ascii="Arial" w:hAnsi="Arial" w:cs="Arial"/>
          <w:sz w:val="24"/>
          <w:szCs w:val="24"/>
        </w:rPr>
        <w:t>,</w:t>
      </w:r>
      <w:r w:rsidRPr="007E4C44">
        <w:rPr>
          <w:rFonts w:ascii="Arial" w:hAnsi="Arial" w:cs="Arial"/>
          <w:sz w:val="24"/>
          <w:szCs w:val="24"/>
        </w:rPr>
        <w:t xml:space="preserve"> </w:t>
      </w:r>
      <w:r w:rsidR="009375B5">
        <w:rPr>
          <w:rFonts w:ascii="Arial" w:hAnsi="Arial" w:cs="Arial"/>
          <w:sz w:val="24"/>
          <w:szCs w:val="24"/>
        </w:rPr>
        <w:t>(</w:t>
      </w:r>
      <w:r w:rsidR="004127CE">
        <w:rPr>
          <w:rFonts w:ascii="Arial" w:hAnsi="Arial" w:cs="Arial"/>
          <w:sz w:val="24"/>
          <w:szCs w:val="24"/>
        </w:rPr>
        <w:t xml:space="preserve">38 </w:t>
      </w:r>
      <w:r w:rsidR="009375B5">
        <w:rPr>
          <w:rFonts w:ascii="Arial" w:hAnsi="Arial" w:cs="Arial"/>
          <w:sz w:val="24"/>
          <w:szCs w:val="24"/>
        </w:rPr>
        <w:t xml:space="preserve">males and </w:t>
      </w:r>
      <w:r w:rsidR="004127CE">
        <w:rPr>
          <w:rFonts w:ascii="Arial" w:hAnsi="Arial" w:cs="Arial"/>
          <w:sz w:val="24"/>
          <w:szCs w:val="24"/>
        </w:rPr>
        <w:t>4</w:t>
      </w:r>
      <w:r w:rsidR="00000443">
        <w:rPr>
          <w:rFonts w:ascii="Arial" w:hAnsi="Arial" w:cs="Arial"/>
          <w:sz w:val="24"/>
          <w:szCs w:val="24"/>
        </w:rPr>
        <w:t>8</w:t>
      </w:r>
      <w:r w:rsidR="004127CE">
        <w:rPr>
          <w:rFonts w:ascii="Arial" w:hAnsi="Arial" w:cs="Arial"/>
          <w:sz w:val="24"/>
          <w:szCs w:val="24"/>
        </w:rPr>
        <w:t xml:space="preserve"> </w:t>
      </w:r>
      <w:r w:rsidR="009375B5">
        <w:rPr>
          <w:rFonts w:ascii="Arial" w:hAnsi="Arial" w:cs="Arial"/>
          <w:sz w:val="24"/>
          <w:szCs w:val="24"/>
        </w:rPr>
        <w:t>females)</w:t>
      </w:r>
      <w:r w:rsidR="00847BB5">
        <w:rPr>
          <w:rFonts w:ascii="Arial" w:hAnsi="Arial" w:cs="Arial"/>
          <w:sz w:val="24"/>
          <w:szCs w:val="24"/>
        </w:rPr>
        <w:t>.</w:t>
      </w:r>
    </w:p>
    <w:p w14:paraId="18A037A0" w14:textId="77777777" w:rsidR="001C4976" w:rsidRDefault="001C4976" w:rsidP="00835665">
      <w:pPr>
        <w:rPr>
          <w:rFonts w:ascii="Arial" w:hAnsi="Arial" w:cs="Arial"/>
          <w:sz w:val="24"/>
          <w:szCs w:val="24"/>
        </w:rPr>
      </w:pPr>
    </w:p>
    <w:p w14:paraId="5582B82F" w14:textId="59C9BFEC" w:rsidR="00835665" w:rsidRPr="007E4C44" w:rsidRDefault="00835665" w:rsidP="00835665">
      <w:pPr>
        <w:rPr>
          <w:rFonts w:ascii="Arial" w:hAnsi="Arial" w:cs="Arial"/>
          <w:sz w:val="24"/>
          <w:szCs w:val="24"/>
        </w:rPr>
      </w:pPr>
      <w:r w:rsidRPr="007E4C44">
        <w:rPr>
          <w:rFonts w:ascii="Arial" w:hAnsi="Arial" w:cs="Arial"/>
          <w:sz w:val="24"/>
          <w:szCs w:val="24"/>
        </w:rPr>
        <w:t xml:space="preserve">Mean - Average </w:t>
      </w:r>
      <w:r w:rsidR="009375B5">
        <w:rPr>
          <w:rFonts w:ascii="Arial" w:hAnsi="Arial" w:cs="Arial"/>
          <w:sz w:val="24"/>
          <w:szCs w:val="24"/>
        </w:rPr>
        <w:t xml:space="preserve">annual </w:t>
      </w:r>
      <w:r w:rsidRPr="007E4C44">
        <w:rPr>
          <w:rFonts w:ascii="Arial" w:hAnsi="Arial" w:cs="Arial"/>
          <w:sz w:val="24"/>
          <w:szCs w:val="24"/>
        </w:rPr>
        <w:t>bonus payment and the percentage difference between</w:t>
      </w:r>
    </w:p>
    <w:p w14:paraId="12E0D2B8" w14:textId="77777777" w:rsidR="00835665" w:rsidRPr="007E4C44" w:rsidRDefault="00835665" w:rsidP="00835665">
      <w:pPr>
        <w:rPr>
          <w:rFonts w:ascii="Arial" w:hAnsi="Arial" w:cs="Arial"/>
          <w:sz w:val="24"/>
          <w:szCs w:val="24"/>
        </w:rPr>
      </w:pPr>
    </w:p>
    <w:p w14:paraId="5600A90B" w14:textId="2490AB63" w:rsidR="00835665" w:rsidRPr="00AC13A8" w:rsidRDefault="00835665" w:rsidP="00835665">
      <w:pPr>
        <w:rPr>
          <w:rFonts w:ascii="Arial" w:hAnsi="Arial" w:cs="Arial"/>
          <w:sz w:val="24"/>
          <w:szCs w:val="24"/>
        </w:rPr>
      </w:pPr>
      <w:r w:rsidRPr="00AC13A8">
        <w:rPr>
          <w:rFonts w:ascii="Arial" w:hAnsi="Arial" w:cs="Arial"/>
          <w:sz w:val="24"/>
          <w:szCs w:val="24"/>
        </w:rPr>
        <w:t>Female</w:t>
      </w:r>
      <w:r w:rsidR="000C4055" w:rsidRPr="00AC13A8">
        <w:rPr>
          <w:rFonts w:ascii="Arial" w:hAnsi="Arial" w:cs="Arial"/>
          <w:sz w:val="24"/>
          <w:szCs w:val="24"/>
        </w:rPr>
        <w:tab/>
      </w:r>
      <w:r w:rsidR="008F13D8" w:rsidRPr="00AC13A8">
        <w:rPr>
          <w:rFonts w:ascii="Arial" w:hAnsi="Arial" w:cs="Arial"/>
          <w:sz w:val="24"/>
          <w:szCs w:val="24"/>
        </w:rPr>
        <w:t>=</w:t>
      </w:r>
      <w:r w:rsidRPr="00AC13A8">
        <w:rPr>
          <w:rFonts w:ascii="Arial" w:hAnsi="Arial" w:cs="Arial"/>
          <w:sz w:val="24"/>
          <w:szCs w:val="24"/>
        </w:rPr>
        <w:t xml:space="preserve"> </w:t>
      </w:r>
      <w:r w:rsidR="004127CE" w:rsidRPr="00693FA0">
        <w:rPr>
          <w:rFonts w:ascii="Arial" w:hAnsi="Arial" w:cs="Arial"/>
          <w:sz w:val="24"/>
          <w:szCs w:val="24"/>
        </w:rPr>
        <w:t xml:space="preserve">£372.89 (compared with </w:t>
      </w:r>
      <w:r w:rsidR="00A362CE" w:rsidRPr="00AC13A8">
        <w:rPr>
          <w:rFonts w:ascii="Arial" w:hAnsi="Arial" w:cs="Arial"/>
          <w:sz w:val="24"/>
          <w:szCs w:val="24"/>
        </w:rPr>
        <w:t xml:space="preserve">£567.99 </w:t>
      </w:r>
      <w:r w:rsidR="004127CE" w:rsidRPr="00693FA0">
        <w:rPr>
          <w:rFonts w:ascii="Arial" w:hAnsi="Arial" w:cs="Arial"/>
          <w:sz w:val="24"/>
          <w:szCs w:val="24"/>
        </w:rPr>
        <w:t>in 2019</w:t>
      </w:r>
    </w:p>
    <w:p w14:paraId="726200C8" w14:textId="255CFCEE" w:rsidR="00835665" w:rsidRPr="00AC13A8" w:rsidRDefault="00835665" w:rsidP="00835665">
      <w:pPr>
        <w:rPr>
          <w:rFonts w:ascii="Arial" w:hAnsi="Arial" w:cs="Arial"/>
          <w:sz w:val="24"/>
          <w:szCs w:val="24"/>
        </w:rPr>
      </w:pPr>
      <w:r w:rsidRPr="00AC13A8">
        <w:rPr>
          <w:rFonts w:ascii="Arial" w:hAnsi="Arial" w:cs="Arial"/>
          <w:sz w:val="24"/>
          <w:szCs w:val="24"/>
        </w:rPr>
        <w:t xml:space="preserve">Male </w:t>
      </w:r>
      <w:r w:rsidR="000C4055" w:rsidRPr="00AC13A8">
        <w:rPr>
          <w:rFonts w:ascii="Arial" w:hAnsi="Arial" w:cs="Arial"/>
          <w:sz w:val="24"/>
          <w:szCs w:val="24"/>
        </w:rPr>
        <w:tab/>
        <w:t xml:space="preserve"> </w:t>
      </w:r>
      <w:r w:rsidR="000C4055" w:rsidRPr="00AC13A8">
        <w:rPr>
          <w:rFonts w:ascii="Arial" w:hAnsi="Arial" w:cs="Arial"/>
          <w:sz w:val="24"/>
          <w:szCs w:val="24"/>
        </w:rPr>
        <w:tab/>
      </w:r>
      <w:r w:rsidR="008F13D8" w:rsidRPr="00AC13A8">
        <w:rPr>
          <w:rFonts w:ascii="Arial" w:hAnsi="Arial" w:cs="Arial"/>
          <w:sz w:val="24"/>
          <w:szCs w:val="24"/>
        </w:rPr>
        <w:t>=</w:t>
      </w:r>
      <w:r w:rsidRPr="00AC13A8">
        <w:rPr>
          <w:rFonts w:ascii="Arial" w:hAnsi="Arial" w:cs="Arial"/>
          <w:sz w:val="24"/>
          <w:szCs w:val="24"/>
        </w:rPr>
        <w:t xml:space="preserve"> </w:t>
      </w:r>
      <w:r w:rsidR="004127CE" w:rsidRPr="00693FA0">
        <w:rPr>
          <w:rFonts w:ascii="Arial" w:hAnsi="Arial" w:cs="Arial"/>
          <w:sz w:val="24"/>
          <w:szCs w:val="24"/>
        </w:rPr>
        <w:t xml:space="preserve">£736.98 (compared with </w:t>
      </w:r>
      <w:r w:rsidR="00A362CE" w:rsidRPr="00AC13A8">
        <w:rPr>
          <w:rFonts w:ascii="Arial" w:hAnsi="Arial" w:cs="Arial"/>
          <w:sz w:val="24"/>
          <w:szCs w:val="24"/>
        </w:rPr>
        <w:t>£965.20</w:t>
      </w:r>
      <w:r w:rsidR="004127CE" w:rsidRPr="00693FA0">
        <w:rPr>
          <w:rFonts w:ascii="Arial" w:hAnsi="Arial" w:cs="Arial"/>
          <w:sz w:val="24"/>
          <w:szCs w:val="24"/>
        </w:rPr>
        <w:t xml:space="preserve"> in 2019</w:t>
      </w:r>
    </w:p>
    <w:p w14:paraId="34C4E72D" w14:textId="0B81A8B7" w:rsidR="00835665" w:rsidRPr="007E4C44" w:rsidRDefault="00835665" w:rsidP="00835665">
      <w:pPr>
        <w:rPr>
          <w:rFonts w:ascii="Arial" w:hAnsi="Arial" w:cs="Arial"/>
          <w:sz w:val="24"/>
          <w:szCs w:val="24"/>
        </w:rPr>
      </w:pPr>
      <w:r w:rsidRPr="00AC13A8">
        <w:rPr>
          <w:rFonts w:ascii="Arial" w:hAnsi="Arial" w:cs="Arial"/>
          <w:sz w:val="24"/>
          <w:szCs w:val="24"/>
        </w:rPr>
        <w:t xml:space="preserve">Gap </w:t>
      </w:r>
      <w:r w:rsidR="000C4055" w:rsidRPr="00AC13A8">
        <w:rPr>
          <w:rFonts w:ascii="Arial" w:hAnsi="Arial" w:cs="Arial"/>
          <w:sz w:val="24"/>
          <w:szCs w:val="24"/>
        </w:rPr>
        <w:tab/>
      </w:r>
      <w:r w:rsidR="000C4055" w:rsidRPr="00AC13A8">
        <w:rPr>
          <w:rFonts w:ascii="Arial" w:hAnsi="Arial" w:cs="Arial"/>
          <w:sz w:val="24"/>
          <w:szCs w:val="24"/>
        </w:rPr>
        <w:tab/>
      </w:r>
      <w:r w:rsidR="008F13D8" w:rsidRPr="00AC13A8">
        <w:rPr>
          <w:rFonts w:ascii="Arial" w:hAnsi="Arial" w:cs="Arial"/>
          <w:sz w:val="24"/>
          <w:szCs w:val="24"/>
        </w:rPr>
        <w:t>=</w:t>
      </w:r>
      <w:r w:rsidRPr="00AC13A8">
        <w:rPr>
          <w:rFonts w:ascii="Arial" w:hAnsi="Arial" w:cs="Arial"/>
          <w:sz w:val="24"/>
          <w:szCs w:val="24"/>
        </w:rPr>
        <w:t xml:space="preserve"> </w:t>
      </w:r>
      <w:r w:rsidR="00AC13A8">
        <w:rPr>
          <w:rFonts w:ascii="Arial" w:hAnsi="Arial" w:cs="Arial"/>
          <w:sz w:val="24"/>
          <w:szCs w:val="24"/>
        </w:rPr>
        <w:t>49.4%</w:t>
      </w:r>
      <w:r w:rsidRPr="00AC13A8">
        <w:rPr>
          <w:rFonts w:ascii="Arial" w:hAnsi="Arial" w:cs="Arial"/>
          <w:sz w:val="24"/>
          <w:szCs w:val="24"/>
        </w:rPr>
        <w:t xml:space="preserve"> </w:t>
      </w:r>
      <w:r w:rsidR="004127CE" w:rsidRPr="00693FA0">
        <w:rPr>
          <w:rFonts w:ascii="Arial" w:hAnsi="Arial" w:cs="Arial"/>
          <w:sz w:val="24"/>
          <w:szCs w:val="24"/>
        </w:rPr>
        <w:t>,</w:t>
      </w:r>
      <w:r w:rsidRPr="00AC13A8">
        <w:rPr>
          <w:rFonts w:ascii="Arial" w:hAnsi="Arial" w:cs="Arial"/>
          <w:sz w:val="24"/>
          <w:szCs w:val="24"/>
        </w:rPr>
        <w:t xml:space="preserve">  £</w:t>
      </w:r>
      <w:r w:rsidR="004127CE" w:rsidRPr="00693FA0">
        <w:rPr>
          <w:rFonts w:ascii="Arial" w:hAnsi="Arial" w:cs="Arial"/>
          <w:sz w:val="24"/>
          <w:szCs w:val="24"/>
        </w:rPr>
        <w:t>364.09</w:t>
      </w:r>
      <w:r w:rsidR="009375B5" w:rsidRPr="00AC13A8">
        <w:rPr>
          <w:rFonts w:ascii="Arial" w:hAnsi="Arial" w:cs="Arial"/>
          <w:sz w:val="24"/>
          <w:szCs w:val="24"/>
        </w:rPr>
        <w:t xml:space="preserve"> </w:t>
      </w:r>
      <w:r w:rsidR="00AF7B1E" w:rsidRPr="00AC13A8">
        <w:rPr>
          <w:rFonts w:ascii="Arial" w:hAnsi="Arial" w:cs="Arial"/>
          <w:sz w:val="24"/>
          <w:szCs w:val="24"/>
        </w:rPr>
        <w:t>difference</w:t>
      </w:r>
      <w:r w:rsidR="008B5D46" w:rsidRPr="007E4C44">
        <w:rPr>
          <w:rFonts w:ascii="Arial" w:hAnsi="Arial" w:cs="Arial"/>
          <w:sz w:val="24"/>
          <w:szCs w:val="24"/>
        </w:rPr>
        <w:t xml:space="preserve"> </w:t>
      </w:r>
    </w:p>
    <w:p w14:paraId="00E58032" w14:textId="77777777" w:rsidR="00835665" w:rsidRPr="007E4C44" w:rsidRDefault="00835665" w:rsidP="00835665">
      <w:pPr>
        <w:rPr>
          <w:rFonts w:ascii="Arial" w:hAnsi="Arial" w:cs="Arial"/>
          <w:sz w:val="24"/>
          <w:szCs w:val="24"/>
        </w:rPr>
      </w:pPr>
    </w:p>
    <w:p w14:paraId="7F739F47" w14:textId="3B241152" w:rsidR="00835665" w:rsidRPr="007E4C44" w:rsidRDefault="00835665" w:rsidP="00835665">
      <w:pPr>
        <w:rPr>
          <w:rFonts w:ascii="Arial" w:hAnsi="Arial" w:cs="Arial"/>
          <w:sz w:val="24"/>
          <w:szCs w:val="24"/>
        </w:rPr>
      </w:pPr>
      <w:r w:rsidRPr="007E4C44">
        <w:rPr>
          <w:rFonts w:ascii="Arial" w:hAnsi="Arial" w:cs="Arial"/>
          <w:sz w:val="24"/>
          <w:szCs w:val="24"/>
        </w:rPr>
        <w:t xml:space="preserve">Median – Middle </w:t>
      </w:r>
      <w:r w:rsidR="009375B5">
        <w:rPr>
          <w:rFonts w:ascii="Arial" w:hAnsi="Arial" w:cs="Arial"/>
          <w:sz w:val="24"/>
          <w:szCs w:val="24"/>
        </w:rPr>
        <w:t xml:space="preserve">annual </w:t>
      </w:r>
      <w:r w:rsidRPr="007E4C44">
        <w:rPr>
          <w:rFonts w:ascii="Arial" w:hAnsi="Arial" w:cs="Arial"/>
          <w:sz w:val="24"/>
          <w:szCs w:val="24"/>
        </w:rPr>
        <w:t>bonus payment and the percentage difference between</w:t>
      </w:r>
    </w:p>
    <w:p w14:paraId="11B271F0" w14:textId="77777777" w:rsidR="00835665" w:rsidRPr="007E4C44" w:rsidRDefault="00835665" w:rsidP="00835665">
      <w:pPr>
        <w:rPr>
          <w:rFonts w:ascii="Arial" w:hAnsi="Arial" w:cs="Arial"/>
          <w:sz w:val="24"/>
          <w:szCs w:val="24"/>
        </w:rPr>
      </w:pPr>
    </w:p>
    <w:p w14:paraId="05C9CF0B" w14:textId="2D309B61" w:rsidR="00835665" w:rsidRPr="00AC13A8" w:rsidRDefault="00835665" w:rsidP="00835665">
      <w:pPr>
        <w:rPr>
          <w:rFonts w:ascii="Arial" w:hAnsi="Arial" w:cs="Arial"/>
          <w:sz w:val="24"/>
          <w:szCs w:val="24"/>
        </w:rPr>
      </w:pPr>
      <w:r w:rsidRPr="00AC13A8">
        <w:rPr>
          <w:rFonts w:ascii="Arial" w:hAnsi="Arial" w:cs="Arial"/>
          <w:sz w:val="24"/>
          <w:szCs w:val="24"/>
        </w:rPr>
        <w:t xml:space="preserve">Female </w:t>
      </w:r>
      <w:r w:rsidR="000C4055" w:rsidRPr="00AC13A8">
        <w:rPr>
          <w:rFonts w:ascii="Arial" w:hAnsi="Arial" w:cs="Arial"/>
          <w:sz w:val="24"/>
          <w:szCs w:val="24"/>
        </w:rPr>
        <w:tab/>
      </w:r>
      <w:r w:rsidR="008F13D8" w:rsidRPr="00AC13A8">
        <w:rPr>
          <w:rFonts w:ascii="Arial" w:hAnsi="Arial" w:cs="Arial"/>
          <w:sz w:val="24"/>
          <w:szCs w:val="24"/>
        </w:rPr>
        <w:t>=</w:t>
      </w:r>
      <w:r w:rsidRPr="00AC13A8">
        <w:rPr>
          <w:rFonts w:ascii="Arial" w:hAnsi="Arial" w:cs="Arial"/>
          <w:sz w:val="24"/>
          <w:szCs w:val="24"/>
        </w:rPr>
        <w:t xml:space="preserve"> £</w:t>
      </w:r>
      <w:r w:rsidR="00AC13A8" w:rsidRPr="00693FA0">
        <w:rPr>
          <w:rFonts w:ascii="Arial" w:hAnsi="Arial" w:cs="Arial"/>
          <w:sz w:val="24"/>
          <w:szCs w:val="24"/>
        </w:rPr>
        <w:t>250.00</w:t>
      </w:r>
      <w:r w:rsidR="000F4453">
        <w:rPr>
          <w:rFonts w:ascii="Arial" w:hAnsi="Arial" w:cs="Arial"/>
          <w:sz w:val="24"/>
          <w:szCs w:val="24"/>
        </w:rPr>
        <w:t xml:space="preserve"> (compared with £281.09 in 2019)</w:t>
      </w:r>
    </w:p>
    <w:p w14:paraId="2A189E15" w14:textId="2FB0A517" w:rsidR="00835665" w:rsidRPr="00AC13A8" w:rsidRDefault="00835665" w:rsidP="00835665">
      <w:pPr>
        <w:rPr>
          <w:rFonts w:ascii="Arial" w:hAnsi="Arial" w:cs="Arial"/>
          <w:sz w:val="24"/>
          <w:szCs w:val="24"/>
        </w:rPr>
      </w:pPr>
      <w:r w:rsidRPr="00AC13A8">
        <w:rPr>
          <w:rFonts w:ascii="Arial" w:hAnsi="Arial" w:cs="Arial"/>
          <w:sz w:val="24"/>
          <w:szCs w:val="24"/>
        </w:rPr>
        <w:t>Male</w:t>
      </w:r>
      <w:r w:rsidR="000C4055" w:rsidRPr="00AC13A8">
        <w:rPr>
          <w:rFonts w:ascii="Arial" w:hAnsi="Arial" w:cs="Arial"/>
          <w:sz w:val="24"/>
          <w:szCs w:val="24"/>
        </w:rPr>
        <w:tab/>
      </w:r>
      <w:r w:rsidR="000C4055" w:rsidRPr="00AC13A8">
        <w:rPr>
          <w:rFonts w:ascii="Arial" w:hAnsi="Arial" w:cs="Arial"/>
          <w:sz w:val="24"/>
          <w:szCs w:val="24"/>
        </w:rPr>
        <w:tab/>
      </w:r>
      <w:r w:rsidR="008F13D8" w:rsidRPr="00AC13A8">
        <w:rPr>
          <w:rFonts w:ascii="Arial" w:hAnsi="Arial" w:cs="Arial"/>
          <w:sz w:val="24"/>
          <w:szCs w:val="24"/>
        </w:rPr>
        <w:t xml:space="preserve">= </w:t>
      </w:r>
      <w:r w:rsidRPr="00AC13A8">
        <w:rPr>
          <w:rFonts w:ascii="Arial" w:hAnsi="Arial" w:cs="Arial"/>
          <w:sz w:val="24"/>
          <w:szCs w:val="24"/>
        </w:rPr>
        <w:t>£</w:t>
      </w:r>
      <w:r w:rsidR="00AC13A8" w:rsidRPr="00693FA0">
        <w:rPr>
          <w:rFonts w:ascii="Arial" w:hAnsi="Arial" w:cs="Arial"/>
          <w:sz w:val="24"/>
          <w:szCs w:val="24"/>
        </w:rPr>
        <w:t>307.62</w:t>
      </w:r>
      <w:r w:rsidR="000F4453">
        <w:rPr>
          <w:rFonts w:ascii="Arial" w:hAnsi="Arial" w:cs="Arial"/>
          <w:sz w:val="24"/>
          <w:szCs w:val="24"/>
        </w:rPr>
        <w:t xml:space="preserve"> (compared with £495.82 in 2019)</w:t>
      </w:r>
    </w:p>
    <w:p w14:paraId="0D75513E" w14:textId="4E74B511" w:rsidR="00835665" w:rsidRPr="001C647C" w:rsidRDefault="00835665" w:rsidP="00835665">
      <w:pPr>
        <w:rPr>
          <w:rFonts w:ascii="Arial" w:hAnsi="Arial" w:cs="Arial"/>
          <w:sz w:val="24"/>
          <w:szCs w:val="24"/>
        </w:rPr>
      </w:pPr>
      <w:r w:rsidRPr="00AC13A8">
        <w:rPr>
          <w:rFonts w:ascii="Arial" w:hAnsi="Arial" w:cs="Arial"/>
          <w:sz w:val="24"/>
          <w:szCs w:val="24"/>
        </w:rPr>
        <w:t xml:space="preserve">Gap </w:t>
      </w:r>
      <w:r w:rsidR="000C4055" w:rsidRPr="00AC13A8">
        <w:rPr>
          <w:rFonts w:ascii="Arial" w:hAnsi="Arial" w:cs="Arial"/>
          <w:sz w:val="24"/>
          <w:szCs w:val="24"/>
        </w:rPr>
        <w:tab/>
      </w:r>
      <w:r w:rsidR="000C4055" w:rsidRPr="00AC13A8">
        <w:rPr>
          <w:rFonts w:ascii="Arial" w:hAnsi="Arial" w:cs="Arial"/>
          <w:sz w:val="24"/>
          <w:szCs w:val="24"/>
        </w:rPr>
        <w:tab/>
      </w:r>
      <w:r w:rsidR="008F13D8" w:rsidRPr="00AC13A8">
        <w:rPr>
          <w:rFonts w:ascii="Arial" w:hAnsi="Arial" w:cs="Arial"/>
          <w:sz w:val="24"/>
          <w:szCs w:val="24"/>
        </w:rPr>
        <w:t>=</w:t>
      </w:r>
      <w:r w:rsidRPr="00AC13A8">
        <w:rPr>
          <w:rFonts w:ascii="Arial" w:hAnsi="Arial" w:cs="Arial"/>
          <w:sz w:val="24"/>
          <w:szCs w:val="24"/>
        </w:rPr>
        <w:t xml:space="preserve"> </w:t>
      </w:r>
      <w:r w:rsidR="00AC13A8" w:rsidRPr="00693FA0">
        <w:rPr>
          <w:rFonts w:ascii="Arial" w:hAnsi="Arial" w:cs="Arial"/>
          <w:sz w:val="24"/>
          <w:szCs w:val="24"/>
        </w:rPr>
        <w:t>18.7%</w:t>
      </w:r>
      <w:r w:rsidRPr="00AC13A8">
        <w:rPr>
          <w:rFonts w:ascii="Arial" w:hAnsi="Arial" w:cs="Arial"/>
          <w:sz w:val="24"/>
          <w:szCs w:val="24"/>
        </w:rPr>
        <w:t xml:space="preserve">   </w:t>
      </w:r>
      <w:r w:rsidR="009375B5" w:rsidRPr="00AC13A8">
        <w:rPr>
          <w:rFonts w:ascii="Arial" w:hAnsi="Arial" w:cs="Arial"/>
          <w:sz w:val="24"/>
          <w:szCs w:val="24"/>
        </w:rPr>
        <w:t>£</w:t>
      </w:r>
      <w:r w:rsidR="00AC13A8" w:rsidRPr="00693FA0">
        <w:rPr>
          <w:rFonts w:ascii="Arial" w:hAnsi="Arial" w:cs="Arial"/>
          <w:sz w:val="24"/>
          <w:szCs w:val="24"/>
        </w:rPr>
        <w:t>57.62</w:t>
      </w:r>
      <w:r w:rsidR="00847BB5" w:rsidRPr="00AC13A8">
        <w:rPr>
          <w:rFonts w:ascii="Arial" w:hAnsi="Arial" w:cs="Arial"/>
          <w:sz w:val="24"/>
          <w:szCs w:val="24"/>
        </w:rPr>
        <w:t xml:space="preserve"> </w:t>
      </w:r>
      <w:r w:rsidR="00AF7B1E" w:rsidRPr="00AC13A8">
        <w:rPr>
          <w:rFonts w:ascii="Arial" w:hAnsi="Arial" w:cs="Arial"/>
          <w:sz w:val="24"/>
          <w:szCs w:val="24"/>
        </w:rPr>
        <w:t>difference</w:t>
      </w:r>
      <w:r w:rsidR="008B5D46">
        <w:rPr>
          <w:rFonts w:ascii="Arial" w:hAnsi="Arial" w:cs="Arial"/>
          <w:sz w:val="24"/>
          <w:szCs w:val="24"/>
        </w:rPr>
        <w:t xml:space="preserve"> </w:t>
      </w:r>
    </w:p>
    <w:p w14:paraId="68BA612E" w14:textId="77777777" w:rsidR="00835665" w:rsidRPr="00E60784" w:rsidRDefault="00835665" w:rsidP="00835665">
      <w:pPr>
        <w:rPr>
          <w:rFonts w:ascii="Arial" w:hAnsi="Arial" w:cs="Arial"/>
          <w:sz w:val="24"/>
          <w:szCs w:val="24"/>
        </w:rPr>
      </w:pPr>
    </w:p>
    <w:p w14:paraId="512F219D" w14:textId="67F02331" w:rsidR="001C4976" w:rsidRDefault="00CA254B">
      <w:pPr>
        <w:rPr>
          <w:rFonts w:ascii="Arial" w:hAnsi="Arial" w:cs="Arial"/>
          <w:sz w:val="24"/>
          <w:szCs w:val="24"/>
        </w:rPr>
      </w:pPr>
      <w:r w:rsidRPr="00564862">
        <w:rPr>
          <w:rFonts w:ascii="Arial" w:hAnsi="Arial" w:cs="Arial"/>
          <w:sz w:val="24"/>
          <w:szCs w:val="24"/>
        </w:rPr>
        <w:t xml:space="preserve">The </w:t>
      </w:r>
      <w:r w:rsidR="001D2119">
        <w:rPr>
          <w:rFonts w:ascii="Arial" w:hAnsi="Arial" w:cs="Arial"/>
          <w:sz w:val="24"/>
          <w:szCs w:val="24"/>
        </w:rPr>
        <w:t xml:space="preserve">significant </w:t>
      </w:r>
      <w:r w:rsidRPr="00564862">
        <w:rPr>
          <w:rFonts w:ascii="Arial" w:hAnsi="Arial" w:cs="Arial"/>
          <w:sz w:val="24"/>
          <w:szCs w:val="24"/>
        </w:rPr>
        <w:t>difference</w:t>
      </w:r>
      <w:r w:rsidR="007203FF">
        <w:rPr>
          <w:rFonts w:ascii="Arial" w:hAnsi="Arial" w:cs="Arial"/>
          <w:sz w:val="24"/>
          <w:szCs w:val="24"/>
        </w:rPr>
        <w:t xml:space="preserve"> in the male and female mean and median bonus payment is due to a </w:t>
      </w:r>
      <w:r w:rsidRPr="00564862">
        <w:rPr>
          <w:rFonts w:ascii="Arial" w:hAnsi="Arial" w:cs="Arial"/>
          <w:sz w:val="24"/>
          <w:szCs w:val="24"/>
        </w:rPr>
        <w:t>high</w:t>
      </w:r>
      <w:r w:rsidR="007203FF">
        <w:rPr>
          <w:rFonts w:ascii="Arial" w:hAnsi="Arial" w:cs="Arial"/>
          <w:sz w:val="24"/>
          <w:szCs w:val="24"/>
        </w:rPr>
        <w:t>er</w:t>
      </w:r>
      <w:r w:rsidRPr="00564862">
        <w:rPr>
          <w:rFonts w:ascii="Arial" w:hAnsi="Arial" w:cs="Arial"/>
          <w:sz w:val="24"/>
          <w:szCs w:val="24"/>
        </w:rPr>
        <w:t xml:space="preserve"> number of female employees receiving lower amounts</w:t>
      </w:r>
      <w:r w:rsidR="00DB1018">
        <w:rPr>
          <w:rFonts w:ascii="Arial" w:hAnsi="Arial" w:cs="Arial"/>
          <w:sz w:val="24"/>
          <w:szCs w:val="24"/>
        </w:rPr>
        <w:t xml:space="preserve"> and a small number of male employees receiving a higher amount</w:t>
      </w:r>
      <w:r w:rsidR="00CC05F8">
        <w:rPr>
          <w:rFonts w:ascii="Arial" w:hAnsi="Arial" w:cs="Arial"/>
          <w:sz w:val="24"/>
          <w:szCs w:val="24"/>
        </w:rPr>
        <w:t>.</w:t>
      </w:r>
    </w:p>
    <w:p w14:paraId="02830006" w14:textId="1CA9BD12" w:rsidR="0027216B" w:rsidRDefault="0027216B">
      <w:pPr>
        <w:rPr>
          <w:rFonts w:ascii="Arial" w:hAnsi="Arial" w:cs="Arial"/>
          <w:sz w:val="24"/>
          <w:szCs w:val="24"/>
        </w:rPr>
      </w:pPr>
    </w:p>
    <w:p w14:paraId="36C72C03" w14:textId="655859D8" w:rsidR="0027216B" w:rsidRPr="00693FA0" w:rsidRDefault="0027216B">
      <w:pPr>
        <w:rPr>
          <w:rFonts w:ascii="Arial" w:hAnsi="Arial" w:cs="Arial"/>
          <w:b/>
          <w:bCs/>
        </w:rPr>
      </w:pPr>
      <w:r w:rsidRPr="00693FA0">
        <w:rPr>
          <w:rFonts w:ascii="Arial" w:hAnsi="Arial" w:cs="Arial"/>
          <w:b/>
          <w:bCs/>
        </w:rPr>
        <w:t>Figure 2</w:t>
      </w:r>
    </w:p>
    <w:p w14:paraId="18296033" w14:textId="77777777" w:rsidR="001C4976" w:rsidRDefault="001C4976">
      <w:pPr>
        <w:rPr>
          <w:rFonts w:ascii="Arial" w:hAnsi="Arial" w:cs="Arial"/>
          <w:sz w:val="24"/>
          <w:szCs w:val="24"/>
        </w:rPr>
      </w:pPr>
    </w:p>
    <w:p w14:paraId="1D44745D" w14:textId="14620731" w:rsidR="007E4C44" w:rsidRDefault="00DB1018">
      <w:pPr>
        <w:rPr>
          <w:rFonts w:ascii="Arial" w:hAnsi="Arial" w:cs="Arial"/>
          <w:sz w:val="24"/>
          <w:szCs w:val="24"/>
        </w:rPr>
      </w:pPr>
      <w:r>
        <w:rPr>
          <w:noProof/>
        </w:rPr>
        <w:drawing>
          <wp:inline distT="0" distB="0" distL="0" distR="0" wp14:anchorId="08F40D7D" wp14:editId="48194E4E">
            <wp:extent cx="6337935" cy="1992630"/>
            <wp:effectExtent l="0" t="0" r="571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7935" cy="1992630"/>
                    </a:xfrm>
                    <a:prstGeom prst="rect">
                      <a:avLst/>
                    </a:prstGeom>
                    <a:noFill/>
                    <a:ln>
                      <a:noFill/>
                    </a:ln>
                  </pic:spPr>
                </pic:pic>
              </a:graphicData>
            </a:graphic>
          </wp:inline>
        </w:drawing>
      </w:r>
    </w:p>
    <w:p w14:paraId="6AD825C1" w14:textId="14DB5C1F" w:rsidR="00DB1018" w:rsidRDefault="00DB1018">
      <w:pPr>
        <w:rPr>
          <w:rFonts w:ascii="Arial" w:hAnsi="Arial" w:cs="Arial"/>
          <w:sz w:val="24"/>
          <w:szCs w:val="24"/>
        </w:rPr>
      </w:pPr>
    </w:p>
    <w:p w14:paraId="3E69CC9B" w14:textId="77777777" w:rsidR="00DB1018" w:rsidRDefault="00DB1018">
      <w:pPr>
        <w:rPr>
          <w:rFonts w:ascii="Arial" w:hAnsi="Arial" w:cs="Arial"/>
          <w:sz w:val="24"/>
          <w:szCs w:val="24"/>
        </w:rPr>
      </w:pPr>
    </w:p>
    <w:p w14:paraId="32C0CA22" w14:textId="77777777" w:rsidR="00FF0EFC" w:rsidRDefault="00FF0EFC">
      <w:pPr>
        <w:rPr>
          <w:rFonts w:ascii="Arial" w:hAnsi="Arial" w:cs="Arial"/>
          <w:b/>
          <w:sz w:val="24"/>
          <w:szCs w:val="24"/>
        </w:rPr>
      </w:pPr>
    </w:p>
    <w:p w14:paraId="6E00498C" w14:textId="77777777" w:rsidR="0027216B" w:rsidRDefault="0027216B">
      <w:pPr>
        <w:rPr>
          <w:rFonts w:ascii="Arial" w:hAnsi="Arial" w:cs="Arial"/>
          <w:b/>
          <w:sz w:val="24"/>
          <w:szCs w:val="24"/>
        </w:rPr>
      </w:pPr>
    </w:p>
    <w:p w14:paraId="33F6BE3E" w14:textId="1C1282B0" w:rsidR="003D71AC" w:rsidRPr="00693FA0" w:rsidRDefault="003D71AC">
      <w:pPr>
        <w:rPr>
          <w:rFonts w:ascii="Arial" w:hAnsi="Arial" w:cs="Arial"/>
          <w:b/>
          <w:sz w:val="24"/>
          <w:szCs w:val="24"/>
        </w:rPr>
      </w:pPr>
      <w:r>
        <w:rPr>
          <w:rFonts w:ascii="Arial" w:hAnsi="Arial" w:cs="Arial"/>
          <w:b/>
          <w:sz w:val="24"/>
          <w:szCs w:val="24"/>
        </w:rPr>
        <w:t>‘</w:t>
      </w:r>
      <w:r w:rsidRPr="00693FA0">
        <w:rPr>
          <w:rFonts w:ascii="Arial" w:hAnsi="Arial" w:cs="Arial"/>
          <w:b/>
          <w:sz w:val="24"/>
          <w:szCs w:val="24"/>
        </w:rPr>
        <w:t>Bonus</w:t>
      </w:r>
      <w:r>
        <w:rPr>
          <w:rFonts w:ascii="Arial" w:hAnsi="Arial" w:cs="Arial"/>
          <w:b/>
          <w:sz w:val="24"/>
          <w:szCs w:val="24"/>
        </w:rPr>
        <w:t>’ payments</w:t>
      </w:r>
      <w:r w:rsidRPr="00693FA0">
        <w:rPr>
          <w:rFonts w:ascii="Arial" w:hAnsi="Arial" w:cs="Arial"/>
          <w:b/>
          <w:sz w:val="24"/>
          <w:szCs w:val="24"/>
        </w:rPr>
        <w:t xml:space="preserve"> since 2017</w:t>
      </w:r>
    </w:p>
    <w:p w14:paraId="256876C7" w14:textId="77777777" w:rsidR="0027216B" w:rsidRDefault="0027216B" w:rsidP="0027216B">
      <w:pPr>
        <w:rPr>
          <w:rFonts w:ascii="Arial" w:hAnsi="Arial" w:cs="Arial"/>
          <w:b/>
          <w:sz w:val="24"/>
          <w:szCs w:val="24"/>
        </w:rPr>
      </w:pPr>
    </w:p>
    <w:p w14:paraId="699CE708" w14:textId="4358169E" w:rsidR="0027216B" w:rsidRPr="00693FA0" w:rsidRDefault="0027216B" w:rsidP="0027216B">
      <w:pPr>
        <w:rPr>
          <w:rFonts w:ascii="Arial" w:hAnsi="Arial" w:cs="Arial"/>
          <w:b/>
        </w:rPr>
      </w:pPr>
      <w:r w:rsidRPr="00693FA0">
        <w:rPr>
          <w:rFonts w:ascii="Arial" w:hAnsi="Arial" w:cs="Arial"/>
          <w:b/>
        </w:rPr>
        <w:t>Figure 3</w:t>
      </w:r>
    </w:p>
    <w:p w14:paraId="711AEA83" w14:textId="77777777" w:rsidR="003D71AC" w:rsidRDefault="003D71AC">
      <w:pPr>
        <w:rPr>
          <w:rFonts w:ascii="Arial" w:hAnsi="Arial" w:cs="Arial"/>
          <w:b/>
          <w:sz w:val="24"/>
          <w:szCs w:val="24"/>
          <w:highlight w:val="yellow"/>
        </w:rPr>
      </w:pPr>
    </w:p>
    <w:p w14:paraId="15D5D4B3" w14:textId="6183E1B0" w:rsidR="003D71AC" w:rsidRDefault="003D71AC">
      <w:pPr>
        <w:rPr>
          <w:rFonts w:ascii="Arial" w:hAnsi="Arial" w:cs="Arial"/>
          <w:b/>
          <w:sz w:val="24"/>
          <w:szCs w:val="24"/>
          <w:highlight w:val="yellow"/>
        </w:rPr>
      </w:pPr>
      <w:r>
        <w:rPr>
          <w:noProof/>
        </w:rPr>
        <w:drawing>
          <wp:inline distT="0" distB="0" distL="0" distR="0" wp14:anchorId="2854BD14" wp14:editId="69A2F432">
            <wp:extent cx="6337935" cy="3572510"/>
            <wp:effectExtent l="0" t="0" r="571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7935" cy="3572510"/>
                    </a:xfrm>
                    <a:prstGeom prst="rect">
                      <a:avLst/>
                    </a:prstGeom>
                    <a:noFill/>
                    <a:ln>
                      <a:noFill/>
                    </a:ln>
                  </pic:spPr>
                </pic:pic>
              </a:graphicData>
            </a:graphic>
          </wp:inline>
        </w:drawing>
      </w:r>
    </w:p>
    <w:p w14:paraId="777D772F" w14:textId="77777777" w:rsidR="004A0F9F" w:rsidRDefault="004A0F9F">
      <w:pPr>
        <w:rPr>
          <w:rFonts w:ascii="Arial" w:hAnsi="Arial" w:cs="Arial"/>
          <w:b/>
          <w:sz w:val="24"/>
          <w:szCs w:val="24"/>
        </w:rPr>
      </w:pPr>
    </w:p>
    <w:p w14:paraId="0CDD722D" w14:textId="2307A624" w:rsidR="002444F6" w:rsidRPr="007E4C44" w:rsidRDefault="00B906BE">
      <w:pPr>
        <w:rPr>
          <w:rFonts w:ascii="Arial" w:hAnsi="Arial" w:cs="Arial"/>
          <w:sz w:val="24"/>
          <w:szCs w:val="24"/>
        </w:rPr>
      </w:pPr>
      <w:r w:rsidRPr="00EC02FF">
        <w:rPr>
          <w:rFonts w:ascii="Arial" w:hAnsi="Arial" w:cs="Arial"/>
          <w:b/>
          <w:sz w:val="24"/>
          <w:szCs w:val="24"/>
        </w:rPr>
        <w:t>Quartile Pay Bands</w:t>
      </w:r>
    </w:p>
    <w:p w14:paraId="2671D5AE" w14:textId="77777777" w:rsidR="00B906BE" w:rsidRPr="001C647C" w:rsidRDefault="00B906BE">
      <w:pPr>
        <w:rPr>
          <w:rFonts w:ascii="Arial" w:hAnsi="Arial" w:cs="Arial"/>
          <w:sz w:val="24"/>
          <w:szCs w:val="24"/>
        </w:rPr>
      </w:pPr>
    </w:p>
    <w:p w14:paraId="781F49ED" w14:textId="382D34D2" w:rsidR="00B941EA" w:rsidRDefault="00B906BE" w:rsidP="00B941EA">
      <w:pPr>
        <w:rPr>
          <w:rFonts w:ascii="Arial" w:hAnsi="Arial" w:cs="Arial"/>
          <w:sz w:val="24"/>
          <w:szCs w:val="24"/>
        </w:rPr>
      </w:pPr>
      <w:r w:rsidRPr="001C647C">
        <w:rPr>
          <w:rFonts w:ascii="Arial" w:hAnsi="Arial" w:cs="Arial"/>
          <w:sz w:val="24"/>
          <w:szCs w:val="24"/>
        </w:rPr>
        <w:t xml:space="preserve">The table </w:t>
      </w:r>
      <w:r w:rsidR="00B5304C" w:rsidRPr="001C647C">
        <w:rPr>
          <w:rFonts w:ascii="Arial" w:hAnsi="Arial" w:cs="Arial"/>
          <w:sz w:val="24"/>
          <w:szCs w:val="24"/>
        </w:rPr>
        <w:t>bel</w:t>
      </w:r>
      <w:r w:rsidRPr="001C647C">
        <w:rPr>
          <w:rFonts w:ascii="Arial" w:hAnsi="Arial" w:cs="Arial"/>
          <w:sz w:val="24"/>
          <w:szCs w:val="24"/>
        </w:rPr>
        <w:t>ow show</w:t>
      </w:r>
      <w:r w:rsidR="00065190" w:rsidRPr="001C647C">
        <w:rPr>
          <w:rFonts w:ascii="Arial" w:hAnsi="Arial" w:cs="Arial"/>
          <w:sz w:val="24"/>
          <w:szCs w:val="24"/>
        </w:rPr>
        <w:t>s</w:t>
      </w:r>
      <w:r w:rsidRPr="001C647C">
        <w:rPr>
          <w:rFonts w:ascii="Arial" w:hAnsi="Arial" w:cs="Arial"/>
          <w:sz w:val="24"/>
          <w:szCs w:val="24"/>
        </w:rPr>
        <w:t xml:space="preserve"> the workforce com</w:t>
      </w:r>
      <w:r w:rsidR="00DE095D">
        <w:rPr>
          <w:rFonts w:ascii="Arial" w:hAnsi="Arial" w:cs="Arial"/>
          <w:sz w:val="24"/>
          <w:szCs w:val="24"/>
        </w:rPr>
        <w:t xml:space="preserve">position in each pay quartile. </w:t>
      </w:r>
      <w:r w:rsidR="00B941EA" w:rsidRPr="001C647C">
        <w:rPr>
          <w:rFonts w:ascii="Arial" w:hAnsi="Arial" w:cs="Arial"/>
          <w:sz w:val="24"/>
          <w:szCs w:val="24"/>
        </w:rPr>
        <w:t>In order for there to be no gender pay gap, the</w:t>
      </w:r>
      <w:r w:rsidR="001A3400" w:rsidRPr="001C647C">
        <w:rPr>
          <w:rFonts w:ascii="Arial" w:hAnsi="Arial" w:cs="Arial"/>
          <w:sz w:val="24"/>
          <w:szCs w:val="24"/>
        </w:rPr>
        <w:t xml:space="preserve"> representation of male and female in each quartile would need to match the overall representation of o</w:t>
      </w:r>
      <w:r w:rsidR="008F13D8" w:rsidRPr="001C647C">
        <w:rPr>
          <w:rFonts w:ascii="Arial" w:hAnsi="Arial" w:cs="Arial"/>
          <w:sz w:val="24"/>
          <w:szCs w:val="24"/>
        </w:rPr>
        <w:t xml:space="preserve">ur workforce, </w:t>
      </w:r>
      <w:proofErr w:type="spellStart"/>
      <w:r w:rsidR="008F13D8" w:rsidRPr="001C647C">
        <w:rPr>
          <w:rFonts w:ascii="Arial" w:hAnsi="Arial" w:cs="Arial"/>
          <w:sz w:val="24"/>
          <w:szCs w:val="24"/>
        </w:rPr>
        <w:t>ie</w:t>
      </w:r>
      <w:proofErr w:type="spellEnd"/>
      <w:r w:rsidR="008F13D8" w:rsidRPr="001C647C">
        <w:rPr>
          <w:rFonts w:ascii="Arial" w:hAnsi="Arial" w:cs="Arial"/>
          <w:sz w:val="24"/>
          <w:szCs w:val="24"/>
        </w:rPr>
        <w:t xml:space="preserve"> </w:t>
      </w:r>
      <w:r w:rsidR="00DB1018">
        <w:rPr>
          <w:rFonts w:ascii="Arial" w:hAnsi="Arial" w:cs="Arial"/>
          <w:sz w:val="24"/>
          <w:szCs w:val="24"/>
        </w:rPr>
        <w:t>57.9</w:t>
      </w:r>
      <w:r w:rsidR="001A3400" w:rsidRPr="001C647C">
        <w:rPr>
          <w:rFonts w:ascii="Arial" w:hAnsi="Arial" w:cs="Arial"/>
          <w:sz w:val="24"/>
          <w:szCs w:val="24"/>
        </w:rPr>
        <w:t xml:space="preserve">% female and </w:t>
      </w:r>
      <w:r w:rsidR="00704AA8">
        <w:rPr>
          <w:rFonts w:ascii="Arial" w:hAnsi="Arial" w:cs="Arial"/>
          <w:sz w:val="24"/>
          <w:szCs w:val="24"/>
        </w:rPr>
        <w:t>42.1</w:t>
      </w:r>
      <w:r w:rsidR="001A3400" w:rsidRPr="001C647C">
        <w:rPr>
          <w:rFonts w:ascii="Arial" w:hAnsi="Arial" w:cs="Arial"/>
          <w:sz w:val="24"/>
          <w:szCs w:val="24"/>
        </w:rPr>
        <w:t xml:space="preserve">% male.  </w:t>
      </w:r>
      <w:r w:rsidR="00303CD1">
        <w:rPr>
          <w:rFonts w:ascii="Arial" w:hAnsi="Arial" w:cs="Arial"/>
          <w:sz w:val="24"/>
          <w:szCs w:val="24"/>
        </w:rPr>
        <w:t xml:space="preserve">There </w:t>
      </w:r>
      <w:r w:rsidR="00C300F6">
        <w:rPr>
          <w:rFonts w:ascii="Arial" w:hAnsi="Arial" w:cs="Arial"/>
          <w:sz w:val="24"/>
          <w:szCs w:val="24"/>
        </w:rPr>
        <w:t xml:space="preserve">are </w:t>
      </w:r>
      <w:r w:rsidR="00303CD1">
        <w:rPr>
          <w:rFonts w:ascii="Arial" w:hAnsi="Arial" w:cs="Arial"/>
          <w:sz w:val="24"/>
          <w:szCs w:val="24"/>
        </w:rPr>
        <w:t xml:space="preserve">approximately </w:t>
      </w:r>
      <w:r w:rsidR="00704AA8">
        <w:rPr>
          <w:rFonts w:ascii="Arial" w:hAnsi="Arial" w:cs="Arial"/>
          <w:sz w:val="24"/>
          <w:szCs w:val="24"/>
        </w:rPr>
        <w:t xml:space="preserve">540 </w:t>
      </w:r>
      <w:r w:rsidR="00303CD1">
        <w:rPr>
          <w:rFonts w:ascii="Arial" w:hAnsi="Arial" w:cs="Arial"/>
          <w:sz w:val="24"/>
          <w:szCs w:val="24"/>
        </w:rPr>
        <w:t>employees in each quartile.</w:t>
      </w:r>
    </w:p>
    <w:p w14:paraId="4955BD64" w14:textId="794F903F" w:rsidR="0027216B" w:rsidRDefault="0027216B" w:rsidP="00B941EA">
      <w:pPr>
        <w:rPr>
          <w:rFonts w:ascii="Arial" w:hAnsi="Arial" w:cs="Arial"/>
          <w:sz w:val="24"/>
          <w:szCs w:val="24"/>
        </w:rPr>
      </w:pPr>
    </w:p>
    <w:p w14:paraId="0E9AAE2C" w14:textId="77777777" w:rsidR="005D065A" w:rsidRPr="001C647C" w:rsidRDefault="005D065A">
      <w:pPr>
        <w:rPr>
          <w:rFonts w:ascii="Arial" w:hAnsi="Arial" w:cs="Arial"/>
        </w:rPr>
      </w:pPr>
    </w:p>
    <w:tbl>
      <w:tblPr>
        <w:tblStyle w:val="TableGrid"/>
        <w:tblW w:w="595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2"/>
        <w:gridCol w:w="884"/>
        <w:gridCol w:w="1304"/>
        <w:gridCol w:w="1984"/>
      </w:tblGrid>
      <w:tr w:rsidR="00704AA8" w:rsidRPr="00E72982" w14:paraId="11A4E368" w14:textId="77777777" w:rsidTr="00693FA0">
        <w:trPr>
          <w:trHeight w:val="1474"/>
        </w:trPr>
        <w:tc>
          <w:tcPr>
            <w:tcW w:w="1782" w:type="dxa"/>
            <w:shd w:val="clear" w:color="auto" w:fill="83CEE5"/>
            <w:vAlign w:val="bottom"/>
          </w:tcPr>
          <w:p w14:paraId="5F188E92" w14:textId="77777777" w:rsidR="00704AA8" w:rsidRPr="009046EA" w:rsidRDefault="00704AA8" w:rsidP="00852386">
            <w:pPr>
              <w:rPr>
                <w:rFonts w:ascii="Arial" w:hAnsi="Arial" w:cs="Arial"/>
                <w:b/>
              </w:rPr>
            </w:pPr>
          </w:p>
          <w:p w14:paraId="4C2266E8" w14:textId="77777777" w:rsidR="00704AA8" w:rsidRPr="009046EA" w:rsidRDefault="00704AA8" w:rsidP="00852386">
            <w:pPr>
              <w:rPr>
                <w:rFonts w:ascii="Arial" w:hAnsi="Arial" w:cs="Arial"/>
                <w:b/>
              </w:rPr>
            </w:pPr>
            <w:r w:rsidRPr="009046EA">
              <w:rPr>
                <w:rFonts w:ascii="Arial" w:hAnsi="Arial" w:cs="Arial"/>
                <w:b/>
              </w:rPr>
              <w:t xml:space="preserve">Quartile </w:t>
            </w:r>
          </w:p>
          <w:p w14:paraId="5ED2B363" w14:textId="77777777" w:rsidR="00704AA8" w:rsidRPr="009046EA" w:rsidRDefault="00704AA8" w:rsidP="00852386">
            <w:pPr>
              <w:rPr>
                <w:rFonts w:ascii="Arial" w:hAnsi="Arial" w:cs="Arial"/>
              </w:rPr>
            </w:pPr>
          </w:p>
          <w:p w14:paraId="5438C663" w14:textId="77777777" w:rsidR="00704AA8" w:rsidRPr="009046EA" w:rsidRDefault="00704AA8" w:rsidP="00852386">
            <w:pPr>
              <w:rPr>
                <w:rFonts w:ascii="Arial" w:hAnsi="Arial" w:cs="Arial"/>
              </w:rPr>
            </w:pPr>
          </w:p>
          <w:p w14:paraId="211FB39C" w14:textId="77777777" w:rsidR="00704AA8" w:rsidRPr="009046EA" w:rsidRDefault="00704AA8" w:rsidP="00852386">
            <w:pPr>
              <w:rPr>
                <w:rFonts w:ascii="Arial" w:hAnsi="Arial" w:cs="Arial"/>
              </w:rPr>
            </w:pPr>
          </w:p>
        </w:tc>
        <w:tc>
          <w:tcPr>
            <w:tcW w:w="884" w:type="dxa"/>
            <w:shd w:val="clear" w:color="auto" w:fill="83CEE5"/>
          </w:tcPr>
          <w:p w14:paraId="20EA186E" w14:textId="77777777" w:rsidR="00704AA8" w:rsidRPr="009046EA" w:rsidRDefault="00704AA8" w:rsidP="004457FB">
            <w:pPr>
              <w:rPr>
                <w:rFonts w:ascii="Arial" w:hAnsi="Arial" w:cs="Arial"/>
                <w:b/>
              </w:rPr>
            </w:pPr>
          </w:p>
          <w:p w14:paraId="60ABDD86" w14:textId="77777777" w:rsidR="00704AA8" w:rsidRPr="009046EA" w:rsidRDefault="00704AA8" w:rsidP="004457FB">
            <w:pPr>
              <w:rPr>
                <w:rFonts w:ascii="Arial" w:hAnsi="Arial" w:cs="Arial"/>
                <w:b/>
              </w:rPr>
            </w:pPr>
          </w:p>
          <w:p w14:paraId="0AB4BF3E" w14:textId="77777777" w:rsidR="00704AA8" w:rsidRPr="009046EA" w:rsidRDefault="00704AA8" w:rsidP="004457FB">
            <w:pPr>
              <w:rPr>
                <w:rFonts w:ascii="Arial" w:hAnsi="Arial" w:cs="Arial"/>
                <w:b/>
              </w:rPr>
            </w:pPr>
          </w:p>
          <w:p w14:paraId="5DAFADE6" w14:textId="39501CA7" w:rsidR="00704AA8" w:rsidRPr="009046EA" w:rsidRDefault="00704AA8" w:rsidP="004457FB">
            <w:pPr>
              <w:rPr>
                <w:rFonts w:ascii="Arial" w:hAnsi="Arial" w:cs="Arial"/>
                <w:b/>
              </w:rPr>
            </w:pPr>
            <w:r>
              <w:rPr>
                <w:rFonts w:ascii="Arial" w:hAnsi="Arial" w:cs="Arial"/>
                <w:b/>
              </w:rPr>
              <w:t>2020</w:t>
            </w:r>
            <w:r w:rsidRPr="009046EA">
              <w:rPr>
                <w:rFonts w:ascii="Arial" w:hAnsi="Arial" w:cs="Arial"/>
                <w:b/>
              </w:rPr>
              <w:t xml:space="preserve"> Male</w:t>
            </w:r>
          </w:p>
        </w:tc>
        <w:tc>
          <w:tcPr>
            <w:tcW w:w="1304" w:type="dxa"/>
            <w:shd w:val="clear" w:color="auto" w:fill="83CEE5"/>
          </w:tcPr>
          <w:p w14:paraId="11BBF6E1" w14:textId="77777777" w:rsidR="00704AA8" w:rsidRPr="009046EA" w:rsidRDefault="00704AA8" w:rsidP="004457FB">
            <w:pPr>
              <w:rPr>
                <w:rFonts w:ascii="Arial" w:hAnsi="Arial" w:cs="Arial"/>
                <w:b/>
              </w:rPr>
            </w:pPr>
          </w:p>
          <w:p w14:paraId="1B4DC5E9" w14:textId="77777777" w:rsidR="00704AA8" w:rsidRPr="009046EA" w:rsidRDefault="00704AA8" w:rsidP="004457FB">
            <w:pPr>
              <w:rPr>
                <w:rFonts w:ascii="Arial" w:hAnsi="Arial" w:cs="Arial"/>
                <w:b/>
              </w:rPr>
            </w:pPr>
          </w:p>
          <w:p w14:paraId="6696D8CA" w14:textId="77777777" w:rsidR="00704AA8" w:rsidRPr="009046EA" w:rsidRDefault="00704AA8" w:rsidP="004457FB">
            <w:pPr>
              <w:rPr>
                <w:rFonts w:ascii="Arial" w:hAnsi="Arial" w:cs="Arial"/>
                <w:b/>
              </w:rPr>
            </w:pPr>
          </w:p>
          <w:p w14:paraId="3CA75EE1" w14:textId="51680DA1" w:rsidR="00704AA8" w:rsidRPr="009046EA" w:rsidRDefault="00704AA8" w:rsidP="004457FB">
            <w:pPr>
              <w:rPr>
                <w:rFonts w:ascii="Arial" w:hAnsi="Arial" w:cs="Arial"/>
                <w:b/>
              </w:rPr>
            </w:pPr>
            <w:r>
              <w:rPr>
                <w:rFonts w:ascii="Arial" w:hAnsi="Arial" w:cs="Arial"/>
                <w:b/>
              </w:rPr>
              <w:t>2020</w:t>
            </w:r>
          </w:p>
          <w:p w14:paraId="251A72DE" w14:textId="75061673" w:rsidR="00704AA8" w:rsidRPr="009046EA" w:rsidRDefault="00704AA8" w:rsidP="004457FB">
            <w:pPr>
              <w:rPr>
                <w:rFonts w:ascii="Arial" w:hAnsi="Arial" w:cs="Arial"/>
                <w:b/>
              </w:rPr>
            </w:pPr>
            <w:r w:rsidRPr="009046EA">
              <w:rPr>
                <w:rFonts w:ascii="Arial" w:hAnsi="Arial" w:cs="Arial"/>
                <w:b/>
              </w:rPr>
              <w:t>Female</w:t>
            </w:r>
          </w:p>
        </w:tc>
        <w:tc>
          <w:tcPr>
            <w:tcW w:w="1984" w:type="dxa"/>
            <w:shd w:val="clear" w:color="auto" w:fill="83CEE5"/>
          </w:tcPr>
          <w:p w14:paraId="3BBB9808" w14:textId="1FDFC6F6" w:rsidR="00704AA8" w:rsidRPr="009046EA" w:rsidRDefault="00704AA8" w:rsidP="004457FB">
            <w:pPr>
              <w:rPr>
                <w:rFonts w:ascii="Arial" w:hAnsi="Arial" w:cs="Arial"/>
                <w:b/>
              </w:rPr>
            </w:pPr>
            <w:r>
              <w:rPr>
                <w:rFonts w:ascii="Arial" w:hAnsi="Arial" w:cs="Arial"/>
                <w:b/>
              </w:rPr>
              <w:t>2020</w:t>
            </w:r>
            <w:r w:rsidRPr="009046EA">
              <w:rPr>
                <w:rFonts w:ascii="Arial" w:hAnsi="Arial" w:cs="Arial"/>
                <w:b/>
              </w:rPr>
              <w:t xml:space="preserve"> difference in % of females compared with B&amp;NES workforce</w:t>
            </w:r>
          </w:p>
        </w:tc>
      </w:tr>
      <w:tr w:rsidR="00704AA8" w:rsidRPr="00E72982" w14:paraId="049E0967" w14:textId="77777777" w:rsidTr="00693FA0">
        <w:trPr>
          <w:trHeight w:val="680"/>
        </w:trPr>
        <w:tc>
          <w:tcPr>
            <w:tcW w:w="1782" w:type="dxa"/>
            <w:tcBorders>
              <w:bottom w:val="single" w:sz="4" w:space="0" w:color="auto"/>
            </w:tcBorders>
            <w:vAlign w:val="center"/>
          </w:tcPr>
          <w:p w14:paraId="7DB4C067" w14:textId="20207CF8" w:rsidR="00704AA8" w:rsidRPr="007307C2" w:rsidRDefault="00704AA8" w:rsidP="004457FB">
            <w:pPr>
              <w:rPr>
                <w:rFonts w:ascii="Arial" w:hAnsi="Arial" w:cs="Arial"/>
              </w:rPr>
            </w:pPr>
            <w:r w:rsidRPr="007307C2">
              <w:rPr>
                <w:rFonts w:ascii="Arial" w:hAnsi="Arial" w:cs="Arial"/>
              </w:rPr>
              <w:t xml:space="preserve">Upper quartile </w:t>
            </w:r>
            <w:r>
              <w:rPr>
                <w:rFonts w:ascii="Arial" w:hAnsi="Arial" w:cs="Arial"/>
              </w:rPr>
              <w:t xml:space="preserve">Q4 </w:t>
            </w:r>
            <w:r w:rsidRPr="007307C2">
              <w:rPr>
                <w:rFonts w:ascii="Arial" w:hAnsi="Arial" w:cs="Arial"/>
              </w:rPr>
              <w:t>(highest paid)</w:t>
            </w:r>
          </w:p>
          <w:p w14:paraId="1A463564" w14:textId="3106822F" w:rsidR="00704AA8" w:rsidRPr="007307C2" w:rsidRDefault="00704AA8" w:rsidP="004457FB">
            <w:pPr>
              <w:rPr>
                <w:rFonts w:ascii="Arial" w:hAnsi="Arial" w:cs="Arial"/>
              </w:rPr>
            </w:pPr>
            <w:r w:rsidRPr="007307C2">
              <w:rPr>
                <w:rFonts w:ascii="Arial" w:hAnsi="Arial" w:cs="Arial"/>
              </w:rPr>
              <w:t xml:space="preserve">(Grade </w:t>
            </w:r>
            <w:r>
              <w:rPr>
                <w:rFonts w:ascii="Arial" w:hAnsi="Arial" w:cs="Arial"/>
              </w:rPr>
              <w:t>9</w:t>
            </w:r>
            <w:r w:rsidRPr="007307C2">
              <w:rPr>
                <w:rFonts w:ascii="Arial" w:hAnsi="Arial" w:cs="Arial"/>
              </w:rPr>
              <w:t xml:space="preserve"> to top)</w:t>
            </w:r>
          </w:p>
        </w:tc>
        <w:tc>
          <w:tcPr>
            <w:tcW w:w="884" w:type="dxa"/>
            <w:tcBorders>
              <w:bottom w:val="single" w:sz="4" w:space="0" w:color="auto"/>
            </w:tcBorders>
          </w:tcPr>
          <w:p w14:paraId="25C5FD8A" w14:textId="7BB7C68B" w:rsidR="00704AA8" w:rsidRPr="005B7E26" w:rsidRDefault="00704AA8" w:rsidP="000C4055">
            <w:pPr>
              <w:jc w:val="center"/>
              <w:rPr>
                <w:rFonts w:ascii="Arial" w:hAnsi="Arial" w:cs="Arial"/>
                <w:b/>
                <w:bCs/>
              </w:rPr>
            </w:pPr>
          </w:p>
          <w:p w14:paraId="59782E24" w14:textId="66E08D4D" w:rsidR="00704AA8" w:rsidRPr="005B7E26" w:rsidRDefault="00704AA8" w:rsidP="000C4055">
            <w:pPr>
              <w:jc w:val="center"/>
              <w:rPr>
                <w:rFonts w:ascii="Arial" w:hAnsi="Arial" w:cs="Arial"/>
                <w:b/>
                <w:bCs/>
              </w:rPr>
            </w:pPr>
            <w:r w:rsidRPr="005B7E26">
              <w:rPr>
                <w:rFonts w:ascii="Arial" w:hAnsi="Arial" w:cs="Arial"/>
                <w:b/>
                <w:bCs/>
              </w:rPr>
              <w:t>4</w:t>
            </w:r>
            <w:r>
              <w:rPr>
                <w:rFonts w:ascii="Arial" w:hAnsi="Arial" w:cs="Arial"/>
                <w:b/>
                <w:bCs/>
              </w:rPr>
              <w:t>4.4</w:t>
            </w:r>
          </w:p>
        </w:tc>
        <w:tc>
          <w:tcPr>
            <w:tcW w:w="1304" w:type="dxa"/>
            <w:tcBorders>
              <w:bottom w:val="single" w:sz="4" w:space="0" w:color="auto"/>
            </w:tcBorders>
          </w:tcPr>
          <w:p w14:paraId="611DE477" w14:textId="77777777" w:rsidR="00704AA8" w:rsidRPr="005B7E26" w:rsidRDefault="00704AA8" w:rsidP="000C4055">
            <w:pPr>
              <w:jc w:val="center"/>
              <w:rPr>
                <w:rFonts w:ascii="Arial" w:hAnsi="Arial" w:cs="Arial"/>
                <w:b/>
                <w:bCs/>
              </w:rPr>
            </w:pPr>
          </w:p>
          <w:p w14:paraId="051D44CF" w14:textId="4F99BD2E" w:rsidR="00704AA8" w:rsidRPr="005B7E26" w:rsidRDefault="00704AA8" w:rsidP="000C4055">
            <w:pPr>
              <w:jc w:val="center"/>
              <w:rPr>
                <w:rFonts w:ascii="Arial" w:hAnsi="Arial" w:cs="Arial"/>
                <w:b/>
                <w:bCs/>
              </w:rPr>
            </w:pPr>
            <w:r w:rsidRPr="005B7E26">
              <w:rPr>
                <w:rFonts w:ascii="Arial" w:hAnsi="Arial" w:cs="Arial"/>
                <w:b/>
                <w:bCs/>
              </w:rPr>
              <w:t>5</w:t>
            </w:r>
            <w:r>
              <w:rPr>
                <w:rFonts w:ascii="Arial" w:hAnsi="Arial" w:cs="Arial"/>
                <w:b/>
                <w:bCs/>
              </w:rPr>
              <w:t>5.6</w:t>
            </w:r>
          </w:p>
        </w:tc>
        <w:tc>
          <w:tcPr>
            <w:tcW w:w="1984" w:type="dxa"/>
            <w:tcBorders>
              <w:bottom w:val="single" w:sz="4" w:space="0" w:color="auto"/>
            </w:tcBorders>
            <w:shd w:val="clear" w:color="auto" w:fill="F2F2F2" w:themeFill="background1" w:themeFillShade="F2"/>
          </w:tcPr>
          <w:p w14:paraId="1DCE1170" w14:textId="77777777" w:rsidR="00704AA8" w:rsidRPr="005B7E26" w:rsidRDefault="00704AA8" w:rsidP="000C4055">
            <w:pPr>
              <w:jc w:val="center"/>
              <w:rPr>
                <w:rFonts w:ascii="Arial" w:hAnsi="Arial" w:cs="Arial"/>
                <w:b/>
                <w:bCs/>
              </w:rPr>
            </w:pPr>
          </w:p>
          <w:p w14:paraId="52B9431E" w14:textId="57FB715D" w:rsidR="00704AA8" w:rsidRPr="005B7E26" w:rsidRDefault="00704AA8" w:rsidP="000C4055">
            <w:pPr>
              <w:jc w:val="center"/>
              <w:rPr>
                <w:rFonts w:ascii="Arial" w:hAnsi="Arial" w:cs="Arial"/>
                <w:b/>
                <w:bCs/>
              </w:rPr>
            </w:pPr>
            <w:r w:rsidRPr="00693FA0">
              <w:rPr>
                <w:rFonts w:ascii="Arial" w:hAnsi="Arial" w:cs="Arial"/>
                <w:b/>
                <w:bCs/>
                <w:color w:val="FF0000"/>
              </w:rPr>
              <w:t>-2.3</w:t>
            </w:r>
          </w:p>
        </w:tc>
      </w:tr>
      <w:tr w:rsidR="00704AA8" w:rsidRPr="00E72982" w14:paraId="121D75EB" w14:textId="77777777" w:rsidTr="00693FA0">
        <w:trPr>
          <w:trHeight w:val="680"/>
        </w:trPr>
        <w:tc>
          <w:tcPr>
            <w:tcW w:w="1782" w:type="dxa"/>
            <w:tcBorders>
              <w:top w:val="single" w:sz="4" w:space="0" w:color="auto"/>
              <w:bottom w:val="single" w:sz="4" w:space="0" w:color="auto"/>
            </w:tcBorders>
            <w:vAlign w:val="center"/>
          </w:tcPr>
          <w:p w14:paraId="3DDB67BF" w14:textId="283E3C42" w:rsidR="00704AA8" w:rsidRPr="007307C2" w:rsidRDefault="00704AA8" w:rsidP="004457FB">
            <w:pPr>
              <w:rPr>
                <w:rFonts w:ascii="Arial" w:hAnsi="Arial" w:cs="Arial"/>
              </w:rPr>
            </w:pPr>
            <w:r w:rsidRPr="007307C2">
              <w:rPr>
                <w:rFonts w:ascii="Arial" w:hAnsi="Arial" w:cs="Arial"/>
              </w:rPr>
              <w:t>Upper middle quartile</w:t>
            </w:r>
            <w:r>
              <w:rPr>
                <w:rFonts w:ascii="Arial" w:hAnsi="Arial" w:cs="Arial"/>
              </w:rPr>
              <w:t>, Q3</w:t>
            </w:r>
          </w:p>
          <w:p w14:paraId="2527CE20" w14:textId="2DBFB20C" w:rsidR="00704AA8" w:rsidRPr="007307C2" w:rsidRDefault="00704AA8" w:rsidP="004457FB">
            <w:pPr>
              <w:rPr>
                <w:rFonts w:ascii="Arial" w:hAnsi="Arial" w:cs="Arial"/>
              </w:rPr>
            </w:pPr>
            <w:r w:rsidRPr="007307C2">
              <w:rPr>
                <w:rFonts w:ascii="Arial" w:hAnsi="Arial" w:cs="Arial"/>
              </w:rPr>
              <w:t xml:space="preserve">(Grade </w:t>
            </w:r>
            <w:r>
              <w:rPr>
                <w:rFonts w:ascii="Arial" w:hAnsi="Arial" w:cs="Arial"/>
              </w:rPr>
              <w:t>6 to 9</w:t>
            </w:r>
            <w:r w:rsidRPr="007307C2">
              <w:rPr>
                <w:rFonts w:ascii="Arial" w:hAnsi="Arial" w:cs="Arial"/>
              </w:rPr>
              <w:t>)</w:t>
            </w:r>
          </w:p>
        </w:tc>
        <w:tc>
          <w:tcPr>
            <w:tcW w:w="884" w:type="dxa"/>
            <w:tcBorders>
              <w:top w:val="single" w:sz="4" w:space="0" w:color="auto"/>
              <w:bottom w:val="single" w:sz="4" w:space="0" w:color="auto"/>
            </w:tcBorders>
          </w:tcPr>
          <w:p w14:paraId="0F12E027" w14:textId="77777777" w:rsidR="00704AA8" w:rsidRPr="005B7E26" w:rsidRDefault="00704AA8" w:rsidP="000C4055">
            <w:pPr>
              <w:jc w:val="center"/>
              <w:rPr>
                <w:rFonts w:ascii="Arial" w:hAnsi="Arial" w:cs="Arial"/>
                <w:b/>
                <w:bCs/>
              </w:rPr>
            </w:pPr>
          </w:p>
          <w:p w14:paraId="74AC66A1" w14:textId="76E72341" w:rsidR="00704AA8" w:rsidRPr="005B7E26" w:rsidRDefault="00704AA8" w:rsidP="009046EA">
            <w:pPr>
              <w:jc w:val="center"/>
              <w:rPr>
                <w:rFonts w:ascii="Arial" w:hAnsi="Arial" w:cs="Arial"/>
                <w:b/>
                <w:bCs/>
              </w:rPr>
            </w:pPr>
            <w:r w:rsidRPr="005B7E26">
              <w:rPr>
                <w:rFonts w:ascii="Arial" w:hAnsi="Arial" w:cs="Arial"/>
                <w:b/>
                <w:bCs/>
              </w:rPr>
              <w:t>3</w:t>
            </w:r>
            <w:r>
              <w:rPr>
                <w:rFonts w:ascii="Arial" w:hAnsi="Arial" w:cs="Arial"/>
                <w:b/>
                <w:bCs/>
              </w:rPr>
              <w:t>4</w:t>
            </w:r>
            <w:r w:rsidRPr="005B7E26">
              <w:rPr>
                <w:rFonts w:ascii="Arial" w:hAnsi="Arial" w:cs="Arial"/>
                <w:b/>
                <w:bCs/>
              </w:rPr>
              <w:t>.</w:t>
            </w:r>
            <w:r>
              <w:rPr>
                <w:rFonts w:ascii="Arial" w:hAnsi="Arial" w:cs="Arial"/>
                <w:b/>
                <w:bCs/>
              </w:rPr>
              <w:t>3</w:t>
            </w:r>
          </w:p>
        </w:tc>
        <w:tc>
          <w:tcPr>
            <w:tcW w:w="1304" w:type="dxa"/>
            <w:tcBorders>
              <w:top w:val="single" w:sz="4" w:space="0" w:color="auto"/>
              <w:bottom w:val="single" w:sz="4" w:space="0" w:color="auto"/>
            </w:tcBorders>
          </w:tcPr>
          <w:p w14:paraId="6062F79C" w14:textId="77777777" w:rsidR="00704AA8" w:rsidRPr="005B7E26" w:rsidRDefault="00704AA8" w:rsidP="000C4055">
            <w:pPr>
              <w:jc w:val="center"/>
              <w:rPr>
                <w:rFonts w:ascii="Arial" w:hAnsi="Arial" w:cs="Arial"/>
                <w:b/>
                <w:bCs/>
              </w:rPr>
            </w:pPr>
          </w:p>
          <w:p w14:paraId="50620A37" w14:textId="6FABC939" w:rsidR="00704AA8" w:rsidRPr="005B7E26" w:rsidRDefault="00704AA8" w:rsidP="000C4055">
            <w:pPr>
              <w:jc w:val="center"/>
              <w:rPr>
                <w:rFonts w:ascii="Arial" w:hAnsi="Arial" w:cs="Arial"/>
                <w:b/>
                <w:bCs/>
              </w:rPr>
            </w:pPr>
            <w:r w:rsidRPr="005B7E26">
              <w:rPr>
                <w:rFonts w:ascii="Arial" w:hAnsi="Arial" w:cs="Arial"/>
                <w:b/>
                <w:bCs/>
              </w:rPr>
              <w:t>6</w:t>
            </w:r>
            <w:r>
              <w:rPr>
                <w:rFonts w:ascii="Arial" w:hAnsi="Arial" w:cs="Arial"/>
                <w:b/>
                <w:bCs/>
              </w:rPr>
              <w:t>5</w:t>
            </w:r>
            <w:r w:rsidRPr="005B7E26">
              <w:rPr>
                <w:rFonts w:ascii="Arial" w:hAnsi="Arial" w:cs="Arial"/>
                <w:b/>
                <w:bCs/>
              </w:rPr>
              <w:t>.</w:t>
            </w:r>
            <w:r>
              <w:rPr>
                <w:rFonts w:ascii="Arial" w:hAnsi="Arial" w:cs="Arial"/>
                <w:b/>
                <w:bCs/>
              </w:rPr>
              <w:t>7</w:t>
            </w:r>
          </w:p>
        </w:tc>
        <w:tc>
          <w:tcPr>
            <w:tcW w:w="1984" w:type="dxa"/>
            <w:tcBorders>
              <w:top w:val="single" w:sz="4" w:space="0" w:color="auto"/>
              <w:bottom w:val="single" w:sz="4" w:space="0" w:color="auto"/>
            </w:tcBorders>
            <w:shd w:val="clear" w:color="auto" w:fill="F2F2F2" w:themeFill="background1" w:themeFillShade="F2"/>
          </w:tcPr>
          <w:p w14:paraId="78D93E27" w14:textId="77777777" w:rsidR="00704AA8" w:rsidRPr="005B7E26" w:rsidRDefault="00704AA8" w:rsidP="000C4055">
            <w:pPr>
              <w:jc w:val="center"/>
              <w:rPr>
                <w:rFonts w:ascii="Arial" w:hAnsi="Arial" w:cs="Arial"/>
                <w:b/>
                <w:bCs/>
              </w:rPr>
            </w:pPr>
          </w:p>
          <w:p w14:paraId="3C9D7E5F" w14:textId="2C537B28" w:rsidR="00704AA8" w:rsidRPr="005B7E26" w:rsidRDefault="00704AA8" w:rsidP="000C4055">
            <w:pPr>
              <w:jc w:val="center"/>
              <w:rPr>
                <w:rFonts w:ascii="Arial" w:hAnsi="Arial" w:cs="Arial"/>
                <w:b/>
                <w:bCs/>
              </w:rPr>
            </w:pPr>
            <w:r>
              <w:rPr>
                <w:rFonts w:ascii="Arial" w:hAnsi="Arial" w:cs="Arial"/>
                <w:b/>
                <w:bCs/>
              </w:rPr>
              <w:t>7.8</w:t>
            </w:r>
          </w:p>
        </w:tc>
      </w:tr>
      <w:tr w:rsidR="00704AA8" w:rsidRPr="00E72982" w14:paraId="1978F626" w14:textId="77777777" w:rsidTr="00693FA0">
        <w:trPr>
          <w:trHeight w:val="680"/>
        </w:trPr>
        <w:tc>
          <w:tcPr>
            <w:tcW w:w="1782" w:type="dxa"/>
            <w:tcBorders>
              <w:top w:val="single" w:sz="4" w:space="0" w:color="auto"/>
              <w:bottom w:val="single" w:sz="4" w:space="0" w:color="auto"/>
            </w:tcBorders>
            <w:vAlign w:val="center"/>
          </w:tcPr>
          <w:p w14:paraId="0F41687A" w14:textId="7FCB4924" w:rsidR="00704AA8" w:rsidRPr="007307C2" w:rsidRDefault="00704AA8" w:rsidP="004457FB">
            <w:pPr>
              <w:rPr>
                <w:rFonts w:ascii="Arial" w:hAnsi="Arial" w:cs="Arial"/>
              </w:rPr>
            </w:pPr>
            <w:r w:rsidRPr="007307C2">
              <w:rPr>
                <w:rFonts w:ascii="Arial" w:hAnsi="Arial" w:cs="Arial"/>
              </w:rPr>
              <w:t>Lower middle quartile</w:t>
            </w:r>
            <w:r>
              <w:rPr>
                <w:rFonts w:ascii="Arial" w:hAnsi="Arial" w:cs="Arial"/>
              </w:rPr>
              <w:t>, Q2</w:t>
            </w:r>
          </w:p>
          <w:p w14:paraId="5B51DB52" w14:textId="2E1E506D" w:rsidR="00704AA8" w:rsidRPr="007307C2" w:rsidRDefault="00704AA8" w:rsidP="004457FB">
            <w:pPr>
              <w:rPr>
                <w:rFonts w:ascii="Arial" w:hAnsi="Arial" w:cs="Arial"/>
              </w:rPr>
            </w:pPr>
            <w:r w:rsidRPr="007307C2">
              <w:rPr>
                <w:rFonts w:ascii="Arial" w:hAnsi="Arial" w:cs="Arial"/>
              </w:rPr>
              <w:t xml:space="preserve">(Grade </w:t>
            </w:r>
            <w:r>
              <w:rPr>
                <w:rFonts w:ascii="Arial" w:hAnsi="Arial" w:cs="Arial"/>
              </w:rPr>
              <w:t>4 to 6</w:t>
            </w:r>
            <w:r w:rsidRPr="007307C2">
              <w:rPr>
                <w:rFonts w:ascii="Arial" w:hAnsi="Arial" w:cs="Arial"/>
              </w:rPr>
              <w:t>)</w:t>
            </w:r>
          </w:p>
        </w:tc>
        <w:tc>
          <w:tcPr>
            <w:tcW w:w="884" w:type="dxa"/>
            <w:tcBorders>
              <w:top w:val="single" w:sz="4" w:space="0" w:color="auto"/>
              <w:bottom w:val="single" w:sz="4" w:space="0" w:color="auto"/>
            </w:tcBorders>
          </w:tcPr>
          <w:p w14:paraId="32484C76" w14:textId="77777777" w:rsidR="00704AA8" w:rsidRPr="005B7E26" w:rsidRDefault="00704AA8" w:rsidP="000C4055">
            <w:pPr>
              <w:jc w:val="center"/>
              <w:rPr>
                <w:rFonts w:ascii="Arial" w:hAnsi="Arial" w:cs="Arial"/>
                <w:b/>
                <w:bCs/>
              </w:rPr>
            </w:pPr>
          </w:p>
          <w:p w14:paraId="778C885B" w14:textId="6E5BBBD7" w:rsidR="00704AA8" w:rsidRPr="005B7E26" w:rsidRDefault="00704AA8" w:rsidP="000C4055">
            <w:pPr>
              <w:jc w:val="center"/>
              <w:rPr>
                <w:rFonts w:ascii="Arial" w:hAnsi="Arial" w:cs="Arial"/>
                <w:b/>
                <w:bCs/>
              </w:rPr>
            </w:pPr>
            <w:r w:rsidRPr="005B7E26">
              <w:rPr>
                <w:rFonts w:ascii="Arial" w:hAnsi="Arial" w:cs="Arial"/>
                <w:b/>
                <w:bCs/>
              </w:rPr>
              <w:t>4</w:t>
            </w:r>
            <w:r>
              <w:rPr>
                <w:rFonts w:ascii="Arial" w:hAnsi="Arial" w:cs="Arial"/>
                <w:b/>
                <w:bCs/>
              </w:rPr>
              <w:t>3</w:t>
            </w:r>
            <w:r w:rsidRPr="005B7E26">
              <w:rPr>
                <w:rFonts w:ascii="Arial" w:hAnsi="Arial" w:cs="Arial"/>
                <w:b/>
                <w:bCs/>
              </w:rPr>
              <w:t>.</w:t>
            </w:r>
            <w:r>
              <w:rPr>
                <w:rFonts w:ascii="Arial" w:hAnsi="Arial" w:cs="Arial"/>
                <w:b/>
                <w:bCs/>
              </w:rPr>
              <w:t>4</w:t>
            </w:r>
          </w:p>
        </w:tc>
        <w:tc>
          <w:tcPr>
            <w:tcW w:w="1304" w:type="dxa"/>
            <w:tcBorders>
              <w:top w:val="single" w:sz="4" w:space="0" w:color="auto"/>
              <w:bottom w:val="single" w:sz="4" w:space="0" w:color="auto"/>
            </w:tcBorders>
          </w:tcPr>
          <w:p w14:paraId="59E42C4C" w14:textId="77777777" w:rsidR="00704AA8" w:rsidRPr="005B7E26" w:rsidRDefault="00704AA8" w:rsidP="000C4055">
            <w:pPr>
              <w:jc w:val="center"/>
              <w:rPr>
                <w:rFonts w:ascii="Arial" w:hAnsi="Arial" w:cs="Arial"/>
                <w:b/>
                <w:bCs/>
              </w:rPr>
            </w:pPr>
          </w:p>
          <w:p w14:paraId="06DDC780" w14:textId="50421EC4" w:rsidR="00704AA8" w:rsidRPr="005B7E26" w:rsidRDefault="00704AA8" w:rsidP="000C4055">
            <w:pPr>
              <w:jc w:val="center"/>
              <w:rPr>
                <w:rFonts w:ascii="Arial" w:hAnsi="Arial" w:cs="Arial"/>
                <w:b/>
                <w:bCs/>
              </w:rPr>
            </w:pPr>
            <w:r>
              <w:rPr>
                <w:rFonts w:ascii="Arial" w:hAnsi="Arial" w:cs="Arial"/>
                <w:b/>
                <w:bCs/>
              </w:rPr>
              <w:t>56.6</w:t>
            </w:r>
          </w:p>
        </w:tc>
        <w:tc>
          <w:tcPr>
            <w:tcW w:w="1984" w:type="dxa"/>
            <w:tcBorders>
              <w:top w:val="single" w:sz="4" w:space="0" w:color="auto"/>
              <w:bottom w:val="single" w:sz="4" w:space="0" w:color="auto"/>
            </w:tcBorders>
            <w:shd w:val="clear" w:color="auto" w:fill="F2F2F2" w:themeFill="background1" w:themeFillShade="F2"/>
          </w:tcPr>
          <w:p w14:paraId="2DE35443" w14:textId="77777777" w:rsidR="00704AA8" w:rsidRPr="005B7E26" w:rsidRDefault="00704AA8" w:rsidP="000C4055">
            <w:pPr>
              <w:jc w:val="center"/>
              <w:rPr>
                <w:rFonts w:ascii="Arial" w:hAnsi="Arial" w:cs="Arial"/>
                <w:b/>
                <w:bCs/>
              </w:rPr>
            </w:pPr>
          </w:p>
          <w:p w14:paraId="5A5BC96D" w14:textId="13A32231" w:rsidR="00704AA8" w:rsidRPr="005B7E26" w:rsidRDefault="00704AA8" w:rsidP="000C4055">
            <w:pPr>
              <w:jc w:val="center"/>
              <w:rPr>
                <w:rFonts w:ascii="Arial" w:hAnsi="Arial" w:cs="Arial"/>
                <w:b/>
                <w:bCs/>
              </w:rPr>
            </w:pPr>
            <w:r w:rsidRPr="00693FA0">
              <w:rPr>
                <w:rFonts w:ascii="Arial" w:hAnsi="Arial" w:cs="Arial"/>
                <w:b/>
                <w:bCs/>
                <w:color w:val="FF0000"/>
              </w:rPr>
              <w:t>-1.3</w:t>
            </w:r>
          </w:p>
        </w:tc>
      </w:tr>
      <w:tr w:rsidR="00704AA8" w:rsidRPr="00E72982" w14:paraId="2F89568E" w14:textId="77777777" w:rsidTr="00693FA0">
        <w:trPr>
          <w:trHeight w:val="680"/>
        </w:trPr>
        <w:tc>
          <w:tcPr>
            <w:tcW w:w="1782" w:type="dxa"/>
            <w:tcBorders>
              <w:top w:val="single" w:sz="4" w:space="0" w:color="auto"/>
              <w:bottom w:val="single" w:sz="4" w:space="0" w:color="auto"/>
            </w:tcBorders>
            <w:vAlign w:val="center"/>
          </w:tcPr>
          <w:p w14:paraId="5087C78D" w14:textId="1E5D17A4" w:rsidR="00704AA8" w:rsidRPr="007307C2" w:rsidRDefault="00704AA8" w:rsidP="004457FB">
            <w:pPr>
              <w:rPr>
                <w:rFonts w:ascii="Arial" w:hAnsi="Arial" w:cs="Arial"/>
              </w:rPr>
            </w:pPr>
            <w:r w:rsidRPr="007307C2">
              <w:rPr>
                <w:rFonts w:ascii="Arial" w:hAnsi="Arial" w:cs="Arial"/>
              </w:rPr>
              <w:t xml:space="preserve">Lower quartile </w:t>
            </w:r>
            <w:r>
              <w:rPr>
                <w:rFonts w:ascii="Arial" w:hAnsi="Arial" w:cs="Arial"/>
              </w:rPr>
              <w:t xml:space="preserve">Q1 </w:t>
            </w:r>
            <w:r w:rsidRPr="007307C2">
              <w:rPr>
                <w:rFonts w:ascii="Arial" w:hAnsi="Arial" w:cs="Arial"/>
              </w:rPr>
              <w:t>(lowest paid)</w:t>
            </w:r>
          </w:p>
          <w:p w14:paraId="03FF4B76" w14:textId="5C0025CF" w:rsidR="00704AA8" w:rsidRPr="007307C2" w:rsidRDefault="00704AA8" w:rsidP="004457FB">
            <w:pPr>
              <w:rPr>
                <w:rFonts w:ascii="Arial" w:hAnsi="Arial" w:cs="Arial"/>
              </w:rPr>
            </w:pPr>
            <w:r w:rsidRPr="007307C2">
              <w:rPr>
                <w:rFonts w:ascii="Arial" w:hAnsi="Arial" w:cs="Arial"/>
              </w:rPr>
              <w:t xml:space="preserve">(Apprentice rate to Grade </w:t>
            </w:r>
            <w:r>
              <w:rPr>
                <w:rFonts w:ascii="Arial" w:hAnsi="Arial" w:cs="Arial"/>
              </w:rPr>
              <w:t>4</w:t>
            </w:r>
            <w:r w:rsidRPr="007307C2">
              <w:rPr>
                <w:rFonts w:ascii="Arial" w:hAnsi="Arial" w:cs="Arial"/>
              </w:rPr>
              <w:t>)</w:t>
            </w:r>
          </w:p>
        </w:tc>
        <w:tc>
          <w:tcPr>
            <w:tcW w:w="884" w:type="dxa"/>
            <w:tcBorders>
              <w:top w:val="single" w:sz="4" w:space="0" w:color="auto"/>
              <w:bottom w:val="single" w:sz="4" w:space="0" w:color="auto"/>
            </w:tcBorders>
          </w:tcPr>
          <w:p w14:paraId="2F08E6F9" w14:textId="77777777" w:rsidR="00704AA8" w:rsidRPr="005B7E26" w:rsidRDefault="00704AA8" w:rsidP="000C4055">
            <w:pPr>
              <w:jc w:val="center"/>
              <w:rPr>
                <w:rFonts w:ascii="Arial" w:hAnsi="Arial" w:cs="Arial"/>
                <w:b/>
                <w:bCs/>
              </w:rPr>
            </w:pPr>
          </w:p>
          <w:p w14:paraId="071BDB83" w14:textId="77777777" w:rsidR="00704AA8" w:rsidRPr="005B7E26" w:rsidRDefault="00704AA8" w:rsidP="000C4055">
            <w:pPr>
              <w:jc w:val="center"/>
              <w:rPr>
                <w:rFonts w:ascii="Arial" w:hAnsi="Arial" w:cs="Arial"/>
                <w:b/>
                <w:bCs/>
              </w:rPr>
            </w:pPr>
          </w:p>
          <w:p w14:paraId="7A81A004" w14:textId="2E07721A" w:rsidR="00704AA8" w:rsidRPr="005B7E26" w:rsidRDefault="00704AA8" w:rsidP="000C4055">
            <w:pPr>
              <w:jc w:val="center"/>
              <w:rPr>
                <w:rFonts w:ascii="Arial" w:hAnsi="Arial" w:cs="Arial"/>
                <w:b/>
                <w:bCs/>
              </w:rPr>
            </w:pPr>
            <w:r w:rsidRPr="005B7E26">
              <w:rPr>
                <w:rFonts w:ascii="Arial" w:hAnsi="Arial" w:cs="Arial"/>
                <w:b/>
                <w:bCs/>
              </w:rPr>
              <w:t>48.1</w:t>
            </w:r>
          </w:p>
        </w:tc>
        <w:tc>
          <w:tcPr>
            <w:tcW w:w="1304" w:type="dxa"/>
            <w:tcBorders>
              <w:top w:val="single" w:sz="4" w:space="0" w:color="auto"/>
              <w:bottom w:val="single" w:sz="4" w:space="0" w:color="auto"/>
            </w:tcBorders>
          </w:tcPr>
          <w:p w14:paraId="1984957E" w14:textId="77777777" w:rsidR="00704AA8" w:rsidRPr="005B7E26" w:rsidRDefault="00704AA8" w:rsidP="000C4055">
            <w:pPr>
              <w:jc w:val="center"/>
              <w:rPr>
                <w:rFonts w:ascii="Arial" w:hAnsi="Arial" w:cs="Arial"/>
                <w:b/>
                <w:bCs/>
              </w:rPr>
            </w:pPr>
          </w:p>
          <w:p w14:paraId="3E56E970" w14:textId="77777777" w:rsidR="00704AA8" w:rsidRPr="005B7E26" w:rsidRDefault="00704AA8" w:rsidP="000C4055">
            <w:pPr>
              <w:jc w:val="center"/>
              <w:rPr>
                <w:rFonts w:ascii="Arial" w:hAnsi="Arial" w:cs="Arial"/>
                <w:b/>
                <w:bCs/>
              </w:rPr>
            </w:pPr>
          </w:p>
          <w:p w14:paraId="4AAC3F52" w14:textId="77CA44EC" w:rsidR="00704AA8" w:rsidRPr="005B7E26" w:rsidRDefault="00704AA8" w:rsidP="000C4055">
            <w:pPr>
              <w:jc w:val="center"/>
              <w:rPr>
                <w:rFonts w:ascii="Arial" w:hAnsi="Arial" w:cs="Arial"/>
                <w:b/>
                <w:bCs/>
              </w:rPr>
            </w:pPr>
            <w:r w:rsidRPr="005B7E26">
              <w:rPr>
                <w:rFonts w:ascii="Arial" w:hAnsi="Arial" w:cs="Arial"/>
                <w:b/>
                <w:bCs/>
              </w:rPr>
              <w:t>51.9</w:t>
            </w:r>
          </w:p>
        </w:tc>
        <w:tc>
          <w:tcPr>
            <w:tcW w:w="1984" w:type="dxa"/>
            <w:tcBorders>
              <w:top w:val="single" w:sz="4" w:space="0" w:color="auto"/>
              <w:bottom w:val="single" w:sz="4" w:space="0" w:color="auto"/>
            </w:tcBorders>
            <w:shd w:val="clear" w:color="auto" w:fill="F2F2F2" w:themeFill="background1" w:themeFillShade="F2"/>
          </w:tcPr>
          <w:p w14:paraId="43ABA2F1" w14:textId="77777777" w:rsidR="00704AA8" w:rsidRPr="005B7E26" w:rsidRDefault="00704AA8" w:rsidP="000C4055">
            <w:pPr>
              <w:jc w:val="center"/>
              <w:rPr>
                <w:rFonts w:ascii="Arial" w:hAnsi="Arial" w:cs="Arial"/>
                <w:b/>
                <w:bCs/>
              </w:rPr>
            </w:pPr>
          </w:p>
          <w:p w14:paraId="7459789D" w14:textId="77777777" w:rsidR="00704AA8" w:rsidRPr="005B7E26" w:rsidRDefault="00704AA8" w:rsidP="000C4055">
            <w:pPr>
              <w:jc w:val="center"/>
              <w:rPr>
                <w:rFonts w:ascii="Arial" w:hAnsi="Arial" w:cs="Arial"/>
                <w:b/>
                <w:bCs/>
              </w:rPr>
            </w:pPr>
          </w:p>
          <w:p w14:paraId="75ABEF62" w14:textId="7463753C" w:rsidR="00704AA8" w:rsidRPr="005B7E26" w:rsidRDefault="00704AA8" w:rsidP="000C4055">
            <w:pPr>
              <w:jc w:val="center"/>
              <w:rPr>
                <w:rFonts w:ascii="Arial" w:hAnsi="Arial" w:cs="Arial"/>
                <w:b/>
                <w:bCs/>
              </w:rPr>
            </w:pPr>
            <w:r w:rsidRPr="00693FA0">
              <w:rPr>
                <w:rFonts w:ascii="Arial" w:hAnsi="Arial" w:cs="Arial"/>
                <w:b/>
                <w:bCs/>
                <w:color w:val="FF0000"/>
              </w:rPr>
              <w:t>-6.0</w:t>
            </w:r>
          </w:p>
        </w:tc>
      </w:tr>
    </w:tbl>
    <w:p w14:paraId="42CA4FD7" w14:textId="77777777" w:rsidR="0070193E" w:rsidRDefault="0070193E" w:rsidP="00411F43">
      <w:pPr>
        <w:rPr>
          <w:rFonts w:ascii="Arial" w:hAnsi="Arial" w:cs="Arial"/>
          <w:sz w:val="24"/>
          <w:szCs w:val="24"/>
        </w:rPr>
      </w:pPr>
    </w:p>
    <w:p w14:paraId="6665C52B" w14:textId="48C5B6FF" w:rsidR="005D065A" w:rsidRDefault="005D065A" w:rsidP="00411F43">
      <w:pPr>
        <w:rPr>
          <w:rFonts w:ascii="Arial" w:hAnsi="Arial" w:cs="Arial"/>
          <w:sz w:val="24"/>
          <w:szCs w:val="24"/>
        </w:rPr>
      </w:pPr>
    </w:p>
    <w:p w14:paraId="640A2A81" w14:textId="750D76D8" w:rsidR="0027216B" w:rsidRDefault="0027216B" w:rsidP="00411F43">
      <w:pPr>
        <w:rPr>
          <w:rFonts w:ascii="Arial" w:hAnsi="Arial" w:cs="Arial"/>
          <w:sz w:val="24"/>
          <w:szCs w:val="24"/>
        </w:rPr>
      </w:pPr>
    </w:p>
    <w:p w14:paraId="20953076" w14:textId="71A19CF1" w:rsidR="0027216B" w:rsidRPr="00693FA0" w:rsidRDefault="0027216B" w:rsidP="00411F43">
      <w:pPr>
        <w:rPr>
          <w:rFonts w:ascii="Arial" w:hAnsi="Arial" w:cs="Arial"/>
          <w:b/>
          <w:bCs/>
        </w:rPr>
      </w:pPr>
      <w:r w:rsidRPr="00693FA0">
        <w:rPr>
          <w:rFonts w:ascii="Arial" w:hAnsi="Arial" w:cs="Arial"/>
          <w:b/>
          <w:bCs/>
        </w:rPr>
        <w:t>Figure 4</w:t>
      </w:r>
    </w:p>
    <w:p w14:paraId="52A48F53" w14:textId="5C2B9B88" w:rsidR="00645B7A" w:rsidRDefault="004A0F9F" w:rsidP="00411F43">
      <w:pPr>
        <w:rPr>
          <w:rFonts w:ascii="Arial" w:hAnsi="Arial" w:cs="Arial"/>
          <w:sz w:val="24"/>
          <w:szCs w:val="24"/>
        </w:rPr>
      </w:pPr>
      <w:r>
        <w:rPr>
          <w:noProof/>
        </w:rPr>
        <w:drawing>
          <wp:inline distT="0" distB="0" distL="0" distR="0" wp14:anchorId="08EB9305" wp14:editId="4F69A5BA">
            <wp:extent cx="6337935" cy="4098925"/>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7935" cy="4098925"/>
                    </a:xfrm>
                    <a:prstGeom prst="rect">
                      <a:avLst/>
                    </a:prstGeom>
                    <a:noFill/>
                    <a:ln>
                      <a:noFill/>
                    </a:ln>
                  </pic:spPr>
                </pic:pic>
              </a:graphicData>
            </a:graphic>
          </wp:inline>
        </w:drawing>
      </w:r>
    </w:p>
    <w:p w14:paraId="6949E932" w14:textId="0CB76998" w:rsidR="004457FB" w:rsidRDefault="004457FB" w:rsidP="00411F43">
      <w:pPr>
        <w:rPr>
          <w:rFonts w:ascii="Arial" w:hAnsi="Arial" w:cs="Arial"/>
          <w:sz w:val="24"/>
          <w:szCs w:val="24"/>
        </w:rPr>
      </w:pPr>
    </w:p>
    <w:p w14:paraId="5384168E" w14:textId="77777777" w:rsidR="007307C2" w:rsidRDefault="007307C2" w:rsidP="00411F43">
      <w:pPr>
        <w:rPr>
          <w:rFonts w:ascii="Arial" w:hAnsi="Arial" w:cs="Arial"/>
          <w:sz w:val="24"/>
          <w:szCs w:val="24"/>
        </w:rPr>
      </w:pPr>
    </w:p>
    <w:p w14:paraId="71E97208" w14:textId="19F9FD34" w:rsidR="00847BB5" w:rsidRDefault="00411F43" w:rsidP="00411F43">
      <w:pPr>
        <w:rPr>
          <w:rFonts w:ascii="Arial" w:hAnsi="Arial" w:cs="Arial"/>
          <w:sz w:val="24"/>
          <w:szCs w:val="24"/>
        </w:rPr>
      </w:pPr>
      <w:r w:rsidRPr="004A5276">
        <w:rPr>
          <w:rFonts w:ascii="Arial" w:hAnsi="Arial" w:cs="Arial"/>
          <w:sz w:val="24"/>
          <w:szCs w:val="24"/>
        </w:rPr>
        <w:t>There</w:t>
      </w:r>
      <w:r w:rsidR="009058A0">
        <w:rPr>
          <w:rFonts w:ascii="Arial" w:hAnsi="Arial" w:cs="Arial"/>
          <w:sz w:val="24"/>
          <w:szCs w:val="24"/>
        </w:rPr>
        <w:t xml:space="preserve"> continues to be</w:t>
      </w:r>
      <w:r w:rsidRPr="004A5276">
        <w:rPr>
          <w:rFonts w:ascii="Arial" w:hAnsi="Arial" w:cs="Arial"/>
          <w:sz w:val="24"/>
          <w:szCs w:val="24"/>
        </w:rPr>
        <w:t xml:space="preserve"> </w:t>
      </w:r>
      <w:r>
        <w:rPr>
          <w:rFonts w:ascii="Arial" w:hAnsi="Arial" w:cs="Arial"/>
          <w:sz w:val="24"/>
          <w:szCs w:val="24"/>
        </w:rPr>
        <w:t>a higher representation of male employees</w:t>
      </w:r>
      <w:r w:rsidRPr="004A5276">
        <w:rPr>
          <w:rFonts w:ascii="Arial" w:hAnsi="Arial" w:cs="Arial"/>
          <w:sz w:val="24"/>
          <w:szCs w:val="24"/>
        </w:rPr>
        <w:t xml:space="preserve"> in the highest paid quart</w:t>
      </w:r>
      <w:r>
        <w:rPr>
          <w:rFonts w:ascii="Arial" w:hAnsi="Arial" w:cs="Arial"/>
          <w:sz w:val="24"/>
          <w:szCs w:val="24"/>
        </w:rPr>
        <w:t>ile</w:t>
      </w:r>
      <w:r w:rsidR="0048739F">
        <w:rPr>
          <w:rFonts w:ascii="Arial" w:hAnsi="Arial" w:cs="Arial"/>
          <w:sz w:val="24"/>
          <w:szCs w:val="24"/>
        </w:rPr>
        <w:t xml:space="preserve"> although </w:t>
      </w:r>
      <w:r w:rsidR="00EC02FF">
        <w:rPr>
          <w:rFonts w:ascii="Arial" w:hAnsi="Arial" w:cs="Arial"/>
          <w:sz w:val="24"/>
          <w:szCs w:val="24"/>
        </w:rPr>
        <w:t xml:space="preserve">this difference is gradually reducing </w:t>
      </w:r>
      <w:r w:rsidR="00C300F6">
        <w:rPr>
          <w:rFonts w:ascii="Arial" w:hAnsi="Arial" w:cs="Arial"/>
          <w:sz w:val="24"/>
          <w:szCs w:val="24"/>
        </w:rPr>
        <w:t>since</w:t>
      </w:r>
      <w:r w:rsidR="00EC02FF">
        <w:rPr>
          <w:rFonts w:ascii="Arial" w:hAnsi="Arial" w:cs="Arial"/>
          <w:sz w:val="24"/>
          <w:szCs w:val="24"/>
        </w:rPr>
        <w:t xml:space="preserve"> both</w:t>
      </w:r>
      <w:r w:rsidR="00C300F6">
        <w:rPr>
          <w:rFonts w:ascii="Arial" w:hAnsi="Arial" w:cs="Arial"/>
          <w:sz w:val="24"/>
          <w:szCs w:val="24"/>
        </w:rPr>
        <w:t xml:space="preserve"> 2019 and 2018</w:t>
      </w:r>
      <w:r w:rsidR="00847BB5">
        <w:rPr>
          <w:rFonts w:ascii="Arial" w:hAnsi="Arial" w:cs="Arial"/>
          <w:sz w:val="24"/>
          <w:szCs w:val="24"/>
        </w:rPr>
        <w:t>.</w:t>
      </w:r>
      <w:r w:rsidRPr="004A5276">
        <w:rPr>
          <w:rFonts w:ascii="Arial" w:hAnsi="Arial" w:cs="Arial"/>
          <w:sz w:val="24"/>
          <w:szCs w:val="24"/>
        </w:rPr>
        <w:t xml:space="preserve"> </w:t>
      </w:r>
      <w:r w:rsidR="00847BB5">
        <w:rPr>
          <w:rFonts w:ascii="Arial" w:hAnsi="Arial" w:cs="Arial"/>
          <w:sz w:val="24"/>
          <w:szCs w:val="24"/>
        </w:rPr>
        <w:t xml:space="preserve"> </w:t>
      </w:r>
    </w:p>
    <w:p w14:paraId="5DF03E94" w14:textId="77777777" w:rsidR="00847BB5" w:rsidRDefault="00847BB5" w:rsidP="00411F43">
      <w:pPr>
        <w:rPr>
          <w:rFonts w:ascii="Arial" w:hAnsi="Arial" w:cs="Arial"/>
          <w:sz w:val="24"/>
          <w:szCs w:val="24"/>
        </w:rPr>
      </w:pPr>
    </w:p>
    <w:p w14:paraId="7BE510CE" w14:textId="26736DE3" w:rsidR="0048739F" w:rsidRDefault="0048739F" w:rsidP="00411F43">
      <w:pPr>
        <w:rPr>
          <w:rFonts w:ascii="Arial" w:hAnsi="Arial" w:cs="Arial"/>
          <w:sz w:val="24"/>
          <w:szCs w:val="24"/>
        </w:rPr>
      </w:pPr>
      <w:r>
        <w:rPr>
          <w:rFonts w:ascii="Arial" w:hAnsi="Arial" w:cs="Arial"/>
          <w:sz w:val="24"/>
          <w:szCs w:val="24"/>
        </w:rPr>
        <w:t xml:space="preserve">There is still a </w:t>
      </w:r>
      <w:r w:rsidR="00411F43">
        <w:rPr>
          <w:rFonts w:ascii="Arial" w:hAnsi="Arial" w:cs="Arial"/>
          <w:sz w:val="24"/>
          <w:szCs w:val="24"/>
        </w:rPr>
        <w:t>higher representation of</w:t>
      </w:r>
      <w:r w:rsidR="00411F43" w:rsidRPr="004A5276">
        <w:rPr>
          <w:rFonts w:ascii="Arial" w:hAnsi="Arial" w:cs="Arial"/>
          <w:sz w:val="24"/>
          <w:szCs w:val="24"/>
        </w:rPr>
        <w:t xml:space="preserve"> female </w:t>
      </w:r>
      <w:r w:rsidR="00411F43">
        <w:rPr>
          <w:rFonts w:ascii="Arial" w:hAnsi="Arial" w:cs="Arial"/>
          <w:sz w:val="24"/>
          <w:szCs w:val="24"/>
        </w:rPr>
        <w:t xml:space="preserve">employees </w:t>
      </w:r>
      <w:r w:rsidR="00DE095D">
        <w:rPr>
          <w:rFonts w:ascii="Arial" w:hAnsi="Arial" w:cs="Arial"/>
          <w:sz w:val="24"/>
          <w:szCs w:val="24"/>
        </w:rPr>
        <w:t>in the upper middle quartile</w:t>
      </w:r>
      <w:r>
        <w:rPr>
          <w:rFonts w:ascii="Arial" w:hAnsi="Arial" w:cs="Arial"/>
          <w:sz w:val="24"/>
          <w:szCs w:val="24"/>
        </w:rPr>
        <w:t xml:space="preserve"> which highlights that there still exists </w:t>
      </w:r>
      <w:r w:rsidR="00411F43">
        <w:rPr>
          <w:rFonts w:ascii="Arial" w:hAnsi="Arial" w:cs="Arial"/>
          <w:sz w:val="24"/>
          <w:szCs w:val="24"/>
        </w:rPr>
        <w:t>a gap for females</w:t>
      </w:r>
      <w:r>
        <w:rPr>
          <w:rFonts w:ascii="Arial" w:hAnsi="Arial" w:cs="Arial"/>
          <w:sz w:val="24"/>
          <w:szCs w:val="24"/>
        </w:rPr>
        <w:t xml:space="preserve"> between that upper middle quartile and the upper quartile</w:t>
      </w:r>
      <w:r w:rsidR="00847BB5">
        <w:rPr>
          <w:rFonts w:ascii="Arial" w:hAnsi="Arial" w:cs="Arial"/>
          <w:sz w:val="24"/>
          <w:szCs w:val="24"/>
        </w:rPr>
        <w:t>, however this gap has reduced</w:t>
      </w:r>
      <w:r w:rsidR="00C300F6">
        <w:rPr>
          <w:rFonts w:ascii="Arial" w:hAnsi="Arial" w:cs="Arial"/>
          <w:sz w:val="24"/>
          <w:szCs w:val="24"/>
        </w:rPr>
        <w:t xml:space="preserve"> again</w:t>
      </w:r>
      <w:r w:rsidR="00847BB5">
        <w:rPr>
          <w:rFonts w:ascii="Arial" w:hAnsi="Arial" w:cs="Arial"/>
          <w:sz w:val="24"/>
          <w:szCs w:val="24"/>
        </w:rPr>
        <w:t xml:space="preserve"> since</w:t>
      </w:r>
      <w:r w:rsidR="00C300F6">
        <w:rPr>
          <w:rFonts w:ascii="Arial" w:hAnsi="Arial" w:cs="Arial"/>
          <w:sz w:val="24"/>
          <w:szCs w:val="24"/>
        </w:rPr>
        <w:t xml:space="preserve"> 2019 and</w:t>
      </w:r>
      <w:r w:rsidR="00847BB5">
        <w:rPr>
          <w:rFonts w:ascii="Arial" w:hAnsi="Arial" w:cs="Arial"/>
          <w:sz w:val="24"/>
          <w:szCs w:val="24"/>
        </w:rPr>
        <w:t xml:space="preserve"> 2018.</w:t>
      </w:r>
    </w:p>
    <w:p w14:paraId="0B88DB14" w14:textId="1C493ADA" w:rsidR="00EC02FF" w:rsidRDefault="00EC02FF" w:rsidP="00411F43">
      <w:pPr>
        <w:rPr>
          <w:rFonts w:ascii="Arial" w:hAnsi="Arial" w:cs="Arial"/>
          <w:sz w:val="24"/>
          <w:szCs w:val="24"/>
        </w:rPr>
      </w:pPr>
    </w:p>
    <w:p w14:paraId="40637398" w14:textId="391A7BD3" w:rsidR="00EC02FF" w:rsidRDefault="00EC02FF" w:rsidP="00411F43">
      <w:pPr>
        <w:rPr>
          <w:rFonts w:ascii="Arial" w:hAnsi="Arial" w:cs="Arial"/>
          <w:b/>
          <w:bCs/>
          <w:sz w:val="24"/>
          <w:szCs w:val="24"/>
        </w:rPr>
      </w:pPr>
      <w:r w:rsidRPr="00693FA0">
        <w:rPr>
          <w:rFonts w:ascii="Arial" w:hAnsi="Arial" w:cs="Arial"/>
          <w:b/>
          <w:bCs/>
          <w:sz w:val="24"/>
          <w:szCs w:val="24"/>
        </w:rPr>
        <w:t>Quartile</w:t>
      </w:r>
      <w:r>
        <w:rPr>
          <w:rFonts w:ascii="Arial" w:hAnsi="Arial" w:cs="Arial"/>
          <w:b/>
          <w:bCs/>
          <w:sz w:val="24"/>
          <w:szCs w:val="24"/>
        </w:rPr>
        <w:t xml:space="preserve"> data of </w:t>
      </w:r>
      <w:r w:rsidRPr="00693FA0">
        <w:rPr>
          <w:rFonts w:ascii="Arial" w:hAnsi="Arial" w:cs="Arial"/>
          <w:b/>
          <w:bCs/>
          <w:sz w:val="24"/>
          <w:szCs w:val="24"/>
        </w:rPr>
        <w:t>male/female and full time/part time over the 4 years</w:t>
      </w:r>
    </w:p>
    <w:p w14:paraId="61ED4AB6" w14:textId="67581044" w:rsidR="004A0F9F" w:rsidRDefault="004A0F9F" w:rsidP="00411F43">
      <w:pPr>
        <w:rPr>
          <w:rFonts w:ascii="Arial" w:hAnsi="Arial" w:cs="Arial"/>
          <w:b/>
          <w:bCs/>
          <w:sz w:val="24"/>
          <w:szCs w:val="24"/>
        </w:rPr>
      </w:pPr>
    </w:p>
    <w:p w14:paraId="47BEEA16" w14:textId="07F3DFBA" w:rsidR="00EC038A" w:rsidRDefault="00EC038A" w:rsidP="00693FA0">
      <w:pPr>
        <w:rPr>
          <w:rFonts w:ascii="Arial" w:hAnsi="Arial" w:cs="Arial"/>
          <w:sz w:val="24"/>
          <w:szCs w:val="24"/>
        </w:rPr>
      </w:pPr>
      <w:r>
        <w:rPr>
          <w:rFonts w:ascii="Arial" w:hAnsi="Arial" w:cs="Arial"/>
          <w:sz w:val="24"/>
          <w:szCs w:val="24"/>
        </w:rPr>
        <w:t>M</w:t>
      </w:r>
      <w:r w:rsidRPr="004D6275">
        <w:rPr>
          <w:rFonts w:ascii="Arial" w:hAnsi="Arial" w:cs="Arial"/>
          <w:sz w:val="24"/>
          <w:szCs w:val="24"/>
        </w:rPr>
        <w:t xml:space="preserve">any of the jobs that are available across the UK on a part-time basis are </w:t>
      </w:r>
      <w:r>
        <w:rPr>
          <w:rFonts w:ascii="Arial" w:hAnsi="Arial" w:cs="Arial"/>
          <w:sz w:val="24"/>
          <w:szCs w:val="24"/>
        </w:rPr>
        <w:t xml:space="preserve">in the </w:t>
      </w:r>
      <w:r w:rsidRPr="004D6275">
        <w:rPr>
          <w:rFonts w:ascii="Arial" w:hAnsi="Arial" w:cs="Arial"/>
          <w:sz w:val="24"/>
          <w:szCs w:val="24"/>
        </w:rPr>
        <w:t>low</w:t>
      </w:r>
      <w:r>
        <w:rPr>
          <w:rFonts w:ascii="Arial" w:hAnsi="Arial" w:cs="Arial"/>
          <w:sz w:val="24"/>
          <w:szCs w:val="24"/>
        </w:rPr>
        <w:t>er and middle</w:t>
      </w:r>
      <w:r w:rsidRPr="004D6275">
        <w:rPr>
          <w:rFonts w:ascii="Arial" w:hAnsi="Arial" w:cs="Arial"/>
          <w:sz w:val="24"/>
          <w:szCs w:val="24"/>
        </w:rPr>
        <w:t xml:space="preserve"> paid</w:t>
      </w:r>
      <w:r>
        <w:rPr>
          <w:rFonts w:ascii="Arial" w:hAnsi="Arial" w:cs="Arial"/>
          <w:sz w:val="24"/>
          <w:szCs w:val="24"/>
        </w:rPr>
        <w:t xml:space="preserve"> roles rather than the senior higher paid roles and this is regarded as a key contributing factor in a gender pay gap as it can be a barrier to females accessing senior roles. </w:t>
      </w:r>
      <w:r w:rsidR="00F5208E">
        <w:rPr>
          <w:rFonts w:ascii="Arial" w:hAnsi="Arial" w:cs="Arial"/>
          <w:sz w:val="24"/>
          <w:szCs w:val="24"/>
        </w:rPr>
        <w:t>It’s interesting to note that there has been a rise in male employees in the lower quartile in the last 2 years</w:t>
      </w:r>
      <w:r w:rsidR="000F4453">
        <w:rPr>
          <w:rFonts w:ascii="Arial" w:hAnsi="Arial" w:cs="Arial"/>
          <w:sz w:val="24"/>
          <w:szCs w:val="24"/>
        </w:rPr>
        <w:t xml:space="preserve"> (Figure 5)</w:t>
      </w:r>
      <w:r w:rsidR="00F5208E">
        <w:rPr>
          <w:rFonts w:ascii="Arial" w:hAnsi="Arial" w:cs="Arial"/>
          <w:sz w:val="24"/>
          <w:szCs w:val="24"/>
        </w:rPr>
        <w:t>.</w:t>
      </w:r>
    </w:p>
    <w:p w14:paraId="3874ECFA" w14:textId="77777777" w:rsidR="004A0F9F" w:rsidRPr="00693FA0" w:rsidRDefault="004A0F9F" w:rsidP="00693FA0">
      <w:pPr>
        <w:ind w:left="142"/>
        <w:rPr>
          <w:rFonts w:ascii="Arial" w:hAnsi="Arial" w:cs="Arial"/>
          <w:b/>
          <w:bCs/>
          <w:sz w:val="24"/>
          <w:szCs w:val="24"/>
        </w:rPr>
      </w:pPr>
    </w:p>
    <w:p w14:paraId="2E144DFA" w14:textId="77777777" w:rsidR="00EC038A" w:rsidRDefault="00EC038A" w:rsidP="00693FA0">
      <w:pPr>
        <w:rPr>
          <w:rFonts w:ascii="Arial" w:hAnsi="Arial" w:cs="Arial"/>
          <w:sz w:val="24"/>
          <w:szCs w:val="24"/>
        </w:rPr>
      </w:pPr>
      <w:r>
        <w:rPr>
          <w:rFonts w:ascii="Arial" w:hAnsi="Arial" w:cs="Arial"/>
          <w:sz w:val="24"/>
          <w:szCs w:val="24"/>
        </w:rPr>
        <w:t>B&amp;NES Council supports part time and other forms of flexible working, however the quartiles data shows that there are more part time roles in the lowest quartile.  As the hourly rate increases so does the number of full time roles (the number of part time roles decrease).</w:t>
      </w:r>
    </w:p>
    <w:p w14:paraId="55ADBD62" w14:textId="77777777" w:rsidR="00EC038A" w:rsidRDefault="00EC038A" w:rsidP="00EC038A">
      <w:pPr>
        <w:rPr>
          <w:rFonts w:ascii="Arial" w:hAnsi="Arial" w:cs="Arial"/>
          <w:sz w:val="24"/>
          <w:szCs w:val="24"/>
        </w:rPr>
      </w:pPr>
    </w:p>
    <w:p w14:paraId="11FCCB3C" w14:textId="045CCF06" w:rsidR="00EC038A" w:rsidRDefault="00EC038A" w:rsidP="003211B3">
      <w:pPr>
        <w:rPr>
          <w:rFonts w:ascii="Arial" w:hAnsi="Arial" w:cs="Arial"/>
          <w:sz w:val="24"/>
          <w:szCs w:val="24"/>
          <w:lang w:val="en"/>
        </w:rPr>
      </w:pPr>
      <w:r w:rsidRPr="00B31A3A">
        <w:rPr>
          <w:rFonts w:ascii="Arial" w:hAnsi="Arial" w:cs="Arial"/>
          <w:sz w:val="24"/>
          <w:szCs w:val="24"/>
          <w:lang w:val="en"/>
        </w:rPr>
        <w:t xml:space="preserve">Across these </w:t>
      </w:r>
      <w:r>
        <w:rPr>
          <w:rFonts w:ascii="Arial" w:hAnsi="Arial" w:cs="Arial"/>
          <w:sz w:val="24"/>
          <w:szCs w:val="24"/>
          <w:lang w:val="en"/>
        </w:rPr>
        <w:t>quartiles</w:t>
      </w:r>
      <w:r w:rsidRPr="00B31A3A">
        <w:rPr>
          <w:rFonts w:ascii="Arial" w:hAnsi="Arial" w:cs="Arial"/>
          <w:sz w:val="24"/>
          <w:szCs w:val="24"/>
          <w:lang w:val="en"/>
        </w:rPr>
        <w:t>, the trend is that part-time posts are more likely to be filled b</w:t>
      </w:r>
      <w:r>
        <w:rPr>
          <w:rFonts w:ascii="Arial" w:hAnsi="Arial" w:cs="Arial"/>
          <w:sz w:val="24"/>
          <w:szCs w:val="24"/>
          <w:lang w:val="en"/>
        </w:rPr>
        <w:t>y</w:t>
      </w:r>
      <w:r w:rsidRPr="00B31A3A">
        <w:rPr>
          <w:rFonts w:ascii="Arial" w:hAnsi="Arial" w:cs="Arial"/>
          <w:sz w:val="24"/>
          <w:szCs w:val="24"/>
          <w:lang w:val="en"/>
        </w:rPr>
        <w:t xml:space="preserve"> females</w:t>
      </w:r>
      <w:r>
        <w:rPr>
          <w:rFonts w:ascii="Arial" w:hAnsi="Arial" w:cs="Arial"/>
          <w:sz w:val="24"/>
          <w:szCs w:val="24"/>
          <w:lang w:val="en"/>
        </w:rPr>
        <w:t>.</w:t>
      </w:r>
      <w:r w:rsidRPr="00B31A3A">
        <w:rPr>
          <w:rFonts w:ascii="Arial" w:hAnsi="Arial" w:cs="Arial"/>
          <w:sz w:val="24"/>
          <w:szCs w:val="24"/>
          <w:lang w:val="en"/>
        </w:rPr>
        <w:t xml:space="preserve"> </w:t>
      </w:r>
      <w:r>
        <w:rPr>
          <w:rFonts w:ascii="Arial" w:hAnsi="Arial" w:cs="Arial"/>
          <w:sz w:val="24"/>
          <w:szCs w:val="24"/>
          <w:lang w:val="en"/>
        </w:rPr>
        <w:t xml:space="preserve"> </w:t>
      </w:r>
      <w:r w:rsidRPr="00B31A3A">
        <w:rPr>
          <w:rFonts w:ascii="Arial" w:hAnsi="Arial" w:cs="Arial"/>
          <w:sz w:val="24"/>
          <w:szCs w:val="24"/>
          <w:lang w:val="en"/>
        </w:rPr>
        <w:t xml:space="preserve">It could be that females are more attracted to positions in these quartiles because of the greater opportunity for </w:t>
      </w:r>
      <w:r>
        <w:rPr>
          <w:rFonts w:ascii="Arial" w:hAnsi="Arial" w:cs="Arial"/>
          <w:sz w:val="24"/>
          <w:szCs w:val="24"/>
          <w:lang w:val="en"/>
        </w:rPr>
        <w:t xml:space="preserve">working </w:t>
      </w:r>
      <w:r w:rsidRPr="00B31A3A">
        <w:rPr>
          <w:rFonts w:ascii="Arial" w:hAnsi="Arial" w:cs="Arial"/>
          <w:sz w:val="24"/>
          <w:szCs w:val="24"/>
          <w:lang w:val="en"/>
        </w:rPr>
        <w:t>part time</w:t>
      </w:r>
      <w:r>
        <w:rPr>
          <w:rFonts w:ascii="Arial" w:hAnsi="Arial" w:cs="Arial"/>
          <w:sz w:val="24"/>
          <w:szCs w:val="24"/>
          <w:lang w:val="en"/>
        </w:rPr>
        <w:t xml:space="preserve"> and</w:t>
      </w:r>
      <w:r w:rsidRPr="00B31A3A">
        <w:rPr>
          <w:rFonts w:ascii="Arial" w:hAnsi="Arial" w:cs="Arial"/>
          <w:sz w:val="24"/>
          <w:szCs w:val="24"/>
          <w:lang w:val="en"/>
        </w:rPr>
        <w:t xml:space="preserve"> mo</w:t>
      </w:r>
      <w:r>
        <w:rPr>
          <w:rFonts w:ascii="Arial" w:hAnsi="Arial" w:cs="Arial"/>
          <w:sz w:val="24"/>
          <w:szCs w:val="24"/>
          <w:lang w:val="en"/>
        </w:rPr>
        <w:t xml:space="preserve">re flexibly.  Of course, flexible working isn’t just about part time hours and the data doesn’t show how other forms of flexible working are supported, </w:t>
      </w:r>
      <w:proofErr w:type="spellStart"/>
      <w:r>
        <w:rPr>
          <w:rFonts w:ascii="Arial" w:hAnsi="Arial" w:cs="Arial"/>
          <w:sz w:val="24"/>
          <w:szCs w:val="24"/>
          <w:lang w:val="en"/>
        </w:rPr>
        <w:t>eg</w:t>
      </w:r>
      <w:proofErr w:type="spellEnd"/>
      <w:r>
        <w:rPr>
          <w:rFonts w:ascii="Arial" w:hAnsi="Arial" w:cs="Arial"/>
          <w:sz w:val="24"/>
          <w:szCs w:val="24"/>
          <w:lang w:val="en"/>
        </w:rPr>
        <w:t xml:space="preserve"> condensed hours in the form of a 4 day week or 9 day fortnight, or working flexible hours throughout a longer day.</w:t>
      </w:r>
    </w:p>
    <w:p w14:paraId="777ECC0E" w14:textId="56671BBD" w:rsidR="0027216B" w:rsidRDefault="0027216B" w:rsidP="003211B3">
      <w:pPr>
        <w:rPr>
          <w:rFonts w:ascii="Arial" w:hAnsi="Arial" w:cs="Arial"/>
          <w:sz w:val="24"/>
          <w:szCs w:val="24"/>
          <w:lang w:val="en"/>
        </w:rPr>
      </w:pPr>
    </w:p>
    <w:p w14:paraId="4C9FF5CE" w14:textId="2FA5B900" w:rsidR="0027216B" w:rsidRDefault="0027216B" w:rsidP="003211B3">
      <w:pPr>
        <w:rPr>
          <w:rFonts w:ascii="Arial" w:hAnsi="Arial" w:cs="Arial"/>
          <w:sz w:val="24"/>
          <w:szCs w:val="24"/>
          <w:lang w:val="en"/>
        </w:rPr>
      </w:pPr>
    </w:p>
    <w:p w14:paraId="03B714B0" w14:textId="56C065BD" w:rsidR="0027216B" w:rsidRPr="00693FA0" w:rsidRDefault="0027216B" w:rsidP="003211B3">
      <w:pPr>
        <w:rPr>
          <w:rFonts w:ascii="Arial" w:hAnsi="Arial" w:cs="Arial"/>
          <w:b/>
          <w:bCs/>
          <w:lang w:val="en"/>
        </w:rPr>
      </w:pPr>
      <w:r w:rsidRPr="00693FA0">
        <w:rPr>
          <w:rFonts w:ascii="Arial" w:hAnsi="Arial" w:cs="Arial"/>
          <w:b/>
          <w:bCs/>
          <w:lang w:val="en"/>
        </w:rPr>
        <w:t>Figure 5</w:t>
      </w:r>
    </w:p>
    <w:p w14:paraId="012CB089" w14:textId="73B2E2DC" w:rsidR="00C300F6" w:rsidRDefault="00C300F6" w:rsidP="00411F43">
      <w:pPr>
        <w:rPr>
          <w:rFonts w:ascii="Arial" w:hAnsi="Arial" w:cs="Arial"/>
          <w:sz w:val="24"/>
          <w:szCs w:val="24"/>
        </w:rPr>
      </w:pPr>
      <w:r>
        <w:rPr>
          <w:noProof/>
        </w:rPr>
        <w:drawing>
          <wp:inline distT="0" distB="0" distL="0" distR="0" wp14:anchorId="58E1D1C9" wp14:editId="45966EB9">
            <wp:extent cx="6337935" cy="413385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7935" cy="4133850"/>
                    </a:xfrm>
                    <a:prstGeom prst="rect">
                      <a:avLst/>
                    </a:prstGeom>
                    <a:noFill/>
                    <a:ln>
                      <a:noFill/>
                    </a:ln>
                  </pic:spPr>
                </pic:pic>
              </a:graphicData>
            </a:graphic>
          </wp:inline>
        </w:drawing>
      </w:r>
    </w:p>
    <w:p w14:paraId="044699EC" w14:textId="77777777" w:rsidR="00EC038A" w:rsidRDefault="00EC038A" w:rsidP="00EC038A">
      <w:pPr>
        <w:rPr>
          <w:rFonts w:ascii="Arial" w:hAnsi="Arial" w:cs="Arial"/>
          <w:sz w:val="24"/>
          <w:szCs w:val="24"/>
        </w:rPr>
      </w:pPr>
    </w:p>
    <w:p w14:paraId="236F973B" w14:textId="0B097127" w:rsidR="00EC038A" w:rsidRPr="00693FA0" w:rsidRDefault="00EC038A" w:rsidP="00EC038A">
      <w:pPr>
        <w:rPr>
          <w:rFonts w:ascii="Arial" w:hAnsi="Arial" w:cs="Arial"/>
        </w:rPr>
      </w:pPr>
      <w:r w:rsidRPr="00693FA0">
        <w:rPr>
          <w:rFonts w:ascii="Arial" w:hAnsi="Arial" w:cs="Arial"/>
          <w:b/>
          <w:bCs/>
        </w:rPr>
        <w:t>Note</w:t>
      </w:r>
      <w:r w:rsidRPr="00693FA0">
        <w:rPr>
          <w:rFonts w:ascii="Arial" w:hAnsi="Arial" w:cs="Arial"/>
        </w:rPr>
        <w:t xml:space="preserve">: there is no number shown when the number is less than 50  </w:t>
      </w:r>
    </w:p>
    <w:p w14:paraId="3355FA36" w14:textId="046CB573" w:rsidR="00C300F6" w:rsidRDefault="00C300F6" w:rsidP="00411F43">
      <w:pPr>
        <w:rPr>
          <w:rFonts w:ascii="Arial" w:hAnsi="Arial" w:cs="Arial"/>
          <w:sz w:val="24"/>
          <w:szCs w:val="24"/>
        </w:rPr>
      </w:pPr>
    </w:p>
    <w:p w14:paraId="5EBB9E8F" w14:textId="47C8503C" w:rsidR="00801CFB" w:rsidRPr="00693FA0" w:rsidRDefault="00801CFB" w:rsidP="00411F43">
      <w:pPr>
        <w:rPr>
          <w:rFonts w:ascii="Arial" w:hAnsi="Arial" w:cs="Arial"/>
          <w:b/>
          <w:bCs/>
          <w:sz w:val="24"/>
          <w:szCs w:val="24"/>
        </w:rPr>
      </w:pPr>
      <w:r w:rsidRPr="00693FA0">
        <w:rPr>
          <w:rFonts w:ascii="Arial" w:hAnsi="Arial" w:cs="Arial"/>
          <w:b/>
          <w:bCs/>
          <w:sz w:val="24"/>
          <w:szCs w:val="24"/>
        </w:rPr>
        <w:t>Highest Paid Employees</w:t>
      </w:r>
    </w:p>
    <w:p w14:paraId="4749E26B" w14:textId="77777777" w:rsidR="00801CFB" w:rsidRDefault="00801CFB" w:rsidP="00411F43">
      <w:pPr>
        <w:rPr>
          <w:rFonts w:ascii="Arial" w:hAnsi="Arial" w:cs="Arial"/>
          <w:sz w:val="24"/>
          <w:szCs w:val="24"/>
        </w:rPr>
      </w:pPr>
    </w:p>
    <w:p w14:paraId="0DE3C9C4" w14:textId="5FD32914" w:rsidR="00C3006E" w:rsidRDefault="00F5208E" w:rsidP="000271B0">
      <w:pPr>
        <w:rPr>
          <w:rFonts w:ascii="Arial" w:hAnsi="Arial" w:cs="Arial"/>
          <w:sz w:val="24"/>
          <w:szCs w:val="24"/>
          <w:lang w:val="en"/>
        </w:rPr>
      </w:pPr>
      <w:r>
        <w:rPr>
          <w:rFonts w:ascii="Arial" w:hAnsi="Arial" w:cs="Arial"/>
          <w:sz w:val="24"/>
          <w:szCs w:val="24"/>
          <w:lang w:val="en"/>
        </w:rPr>
        <w:t>Further</w:t>
      </w:r>
      <w:r w:rsidR="00B526B7">
        <w:rPr>
          <w:rFonts w:ascii="Arial" w:hAnsi="Arial" w:cs="Arial"/>
          <w:sz w:val="24"/>
          <w:szCs w:val="24"/>
          <w:lang w:val="en"/>
        </w:rPr>
        <w:t xml:space="preserve"> </w:t>
      </w:r>
      <w:r w:rsidR="00303CD1">
        <w:rPr>
          <w:rFonts w:ascii="Arial" w:hAnsi="Arial" w:cs="Arial"/>
          <w:sz w:val="24"/>
          <w:szCs w:val="24"/>
          <w:lang w:val="en"/>
        </w:rPr>
        <w:t>analysis</w:t>
      </w:r>
      <w:r w:rsidR="00B526B7">
        <w:rPr>
          <w:rFonts w:ascii="Arial" w:hAnsi="Arial" w:cs="Arial"/>
          <w:sz w:val="24"/>
          <w:szCs w:val="24"/>
          <w:lang w:val="en"/>
        </w:rPr>
        <w:t xml:space="preserve"> </w:t>
      </w:r>
      <w:r w:rsidR="007203FF">
        <w:rPr>
          <w:rFonts w:ascii="Arial" w:hAnsi="Arial" w:cs="Arial"/>
          <w:sz w:val="24"/>
          <w:szCs w:val="24"/>
          <w:lang w:val="en"/>
        </w:rPr>
        <w:t>of the</w:t>
      </w:r>
      <w:r w:rsidR="00801CFB">
        <w:rPr>
          <w:rFonts w:ascii="Arial" w:hAnsi="Arial" w:cs="Arial"/>
          <w:sz w:val="24"/>
          <w:szCs w:val="24"/>
          <w:lang w:val="en"/>
        </w:rPr>
        <w:t xml:space="preserve"> top end of the</w:t>
      </w:r>
      <w:r w:rsidR="007203FF">
        <w:rPr>
          <w:rFonts w:ascii="Arial" w:hAnsi="Arial" w:cs="Arial"/>
          <w:sz w:val="24"/>
          <w:szCs w:val="24"/>
          <w:lang w:val="en"/>
        </w:rPr>
        <w:t xml:space="preserve"> upper quartile (highest paid)</w:t>
      </w:r>
      <w:r w:rsidR="00801CFB">
        <w:rPr>
          <w:rFonts w:ascii="Arial" w:hAnsi="Arial" w:cs="Arial"/>
          <w:sz w:val="24"/>
          <w:szCs w:val="24"/>
          <w:lang w:val="en"/>
        </w:rPr>
        <w:t>,</w:t>
      </w:r>
      <w:r w:rsidR="00B526B7">
        <w:rPr>
          <w:rFonts w:ascii="Arial" w:hAnsi="Arial" w:cs="Arial"/>
          <w:sz w:val="24"/>
          <w:szCs w:val="24"/>
          <w:lang w:val="en"/>
        </w:rPr>
        <w:t xml:space="preserve"> the</w:t>
      </w:r>
      <w:r w:rsidR="00EC02FF">
        <w:rPr>
          <w:rFonts w:ascii="Arial" w:hAnsi="Arial" w:cs="Arial"/>
          <w:sz w:val="24"/>
          <w:szCs w:val="24"/>
          <w:lang w:val="en"/>
        </w:rPr>
        <w:t xml:space="preserve"> higher up the salary scale the</w:t>
      </w:r>
      <w:r w:rsidR="00B526B7">
        <w:rPr>
          <w:rFonts w:ascii="Arial" w:hAnsi="Arial" w:cs="Arial"/>
          <w:sz w:val="24"/>
          <w:szCs w:val="24"/>
          <w:lang w:val="en"/>
        </w:rPr>
        <w:t xml:space="preserve"> more sign</w:t>
      </w:r>
      <w:r w:rsidR="007203FF">
        <w:rPr>
          <w:rFonts w:ascii="Arial" w:hAnsi="Arial" w:cs="Arial"/>
          <w:sz w:val="24"/>
          <w:szCs w:val="24"/>
          <w:lang w:val="en"/>
        </w:rPr>
        <w:t>i</w:t>
      </w:r>
      <w:r w:rsidR="00B526B7">
        <w:rPr>
          <w:rFonts w:ascii="Arial" w:hAnsi="Arial" w:cs="Arial"/>
          <w:sz w:val="24"/>
          <w:szCs w:val="24"/>
          <w:lang w:val="en"/>
        </w:rPr>
        <w:t>ficant the gap</w:t>
      </w:r>
    </w:p>
    <w:p w14:paraId="529DA0EC" w14:textId="04336344" w:rsidR="00F5208E" w:rsidRDefault="00F5208E" w:rsidP="000271B0">
      <w:pPr>
        <w:rPr>
          <w:rFonts w:ascii="Arial" w:hAnsi="Arial" w:cs="Arial"/>
          <w:sz w:val="24"/>
          <w:szCs w:val="24"/>
          <w:lang w:val="en"/>
        </w:rPr>
      </w:pPr>
    </w:p>
    <w:p w14:paraId="052531B5" w14:textId="5BE3B649" w:rsidR="00EC02FF" w:rsidRDefault="00F5208E" w:rsidP="000271B0">
      <w:pPr>
        <w:rPr>
          <w:rFonts w:ascii="Arial" w:hAnsi="Arial" w:cs="Arial"/>
          <w:sz w:val="24"/>
          <w:szCs w:val="24"/>
          <w:lang w:val="en"/>
        </w:rPr>
      </w:pPr>
      <w:r w:rsidRPr="00693FA0">
        <w:rPr>
          <w:rFonts w:ascii="Arial" w:hAnsi="Arial" w:cs="Arial"/>
          <w:b/>
          <w:bCs/>
          <w:lang w:val="en"/>
        </w:rPr>
        <w:t>Figure 6</w:t>
      </w:r>
      <w:r w:rsidR="000F4453">
        <w:rPr>
          <w:rFonts w:ascii="Arial" w:hAnsi="Arial" w:cs="Arial"/>
          <w:b/>
          <w:bCs/>
          <w:lang w:val="en"/>
        </w:rPr>
        <w:t xml:space="preserve"> – Highest Paid Employees (%)</w:t>
      </w:r>
      <w:r w:rsidR="000F4453">
        <w:rPr>
          <w:noProof/>
        </w:rPr>
        <w:drawing>
          <wp:inline distT="0" distB="0" distL="0" distR="0" wp14:anchorId="5DCBE4A7" wp14:editId="6C0922C6">
            <wp:extent cx="6337935" cy="305689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37935" cy="3056890"/>
                    </a:xfrm>
                    <a:prstGeom prst="rect">
                      <a:avLst/>
                    </a:prstGeom>
                    <a:noFill/>
                    <a:ln>
                      <a:noFill/>
                    </a:ln>
                  </pic:spPr>
                </pic:pic>
              </a:graphicData>
            </a:graphic>
          </wp:inline>
        </w:drawing>
      </w:r>
    </w:p>
    <w:p w14:paraId="6FCCCE47" w14:textId="1F125EB9" w:rsidR="00EC02FF" w:rsidRDefault="00EC02FF" w:rsidP="000271B0">
      <w:pPr>
        <w:rPr>
          <w:rFonts w:ascii="Arial" w:hAnsi="Arial" w:cs="Arial"/>
          <w:sz w:val="24"/>
          <w:szCs w:val="24"/>
          <w:lang w:val="en"/>
        </w:rPr>
      </w:pPr>
    </w:p>
    <w:p w14:paraId="7299DF80" w14:textId="77777777" w:rsidR="00EC02FF" w:rsidRDefault="00EC02FF" w:rsidP="000271B0">
      <w:pPr>
        <w:rPr>
          <w:rFonts w:ascii="Arial" w:hAnsi="Arial" w:cs="Arial"/>
          <w:sz w:val="24"/>
          <w:szCs w:val="24"/>
          <w:lang w:val="en"/>
        </w:rPr>
      </w:pPr>
    </w:p>
    <w:p w14:paraId="7A6C33AB" w14:textId="77777777" w:rsidR="00401138" w:rsidRDefault="00401138" w:rsidP="00EE6918">
      <w:pPr>
        <w:rPr>
          <w:rFonts w:ascii="Arial" w:hAnsi="Arial" w:cs="Arial"/>
          <w:b/>
          <w:sz w:val="24"/>
          <w:szCs w:val="24"/>
        </w:rPr>
      </w:pPr>
    </w:p>
    <w:p w14:paraId="54084BB7" w14:textId="3BE92639" w:rsidR="00D22F4C" w:rsidRPr="001C647C" w:rsidRDefault="00022937" w:rsidP="00EE6918">
      <w:pPr>
        <w:rPr>
          <w:rFonts w:ascii="Arial" w:hAnsi="Arial" w:cs="Arial"/>
          <w:b/>
          <w:sz w:val="24"/>
          <w:szCs w:val="24"/>
        </w:rPr>
      </w:pPr>
      <w:r w:rsidRPr="001C647C">
        <w:rPr>
          <w:rFonts w:ascii="Arial" w:hAnsi="Arial" w:cs="Arial"/>
          <w:b/>
          <w:sz w:val="24"/>
          <w:szCs w:val="24"/>
        </w:rPr>
        <w:t xml:space="preserve">What is </w:t>
      </w:r>
      <w:r w:rsidR="005E34DD" w:rsidRPr="005E34DD">
        <w:rPr>
          <w:rFonts w:ascii="Arial" w:hAnsi="Arial" w:cs="Arial"/>
          <w:b/>
          <w:sz w:val="24"/>
          <w:szCs w:val="24"/>
        </w:rPr>
        <w:t>B&amp;NES Council</w:t>
      </w:r>
      <w:r w:rsidR="005E34DD">
        <w:rPr>
          <w:rFonts w:ascii="Arial" w:hAnsi="Arial" w:cs="Arial"/>
          <w:sz w:val="24"/>
          <w:szCs w:val="24"/>
        </w:rPr>
        <w:t xml:space="preserve"> </w:t>
      </w:r>
      <w:r w:rsidRPr="001C647C">
        <w:rPr>
          <w:rFonts w:ascii="Arial" w:hAnsi="Arial" w:cs="Arial"/>
          <w:b/>
          <w:sz w:val="24"/>
          <w:szCs w:val="24"/>
        </w:rPr>
        <w:t>doing to address its gender pay gap?</w:t>
      </w:r>
    </w:p>
    <w:p w14:paraId="5D4D88EA" w14:textId="77777777" w:rsidR="005F3865" w:rsidRPr="004D6275" w:rsidRDefault="005E34DD" w:rsidP="005F3865">
      <w:pPr>
        <w:shd w:val="clear" w:color="auto" w:fill="FFFFFF"/>
        <w:spacing w:before="100" w:beforeAutospacing="1" w:after="180"/>
        <w:rPr>
          <w:rFonts w:ascii="Arial" w:hAnsi="Arial" w:cs="Arial"/>
          <w:sz w:val="24"/>
          <w:szCs w:val="24"/>
        </w:rPr>
      </w:pPr>
      <w:r>
        <w:rPr>
          <w:rFonts w:ascii="Arial" w:hAnsi="Arial" w:cs="Arial"/>
          <w:sz w:val="24"/>
          <w:szCs w:val="24"/>
        </w:rPr>
        <w:t xml:space="preserve">B&amp;NES Council </w:t>
      </w:r>
      <w:r w:rsidR="005F3865" w:rsidRPr="004D6275">
        <w:rPr>
          <w:rFonts w:ascii="Arial" w:hAnsi="Arial" w:cs="Arial"/>
          <w:sz w:val="24"/>
          <w:szCs w:val="24"/>
        </w:rPr>
        <w:t>is committed to the principle of equal opportunities and equal treatment for all employees, regardless of sex, race, religion or belief, age, marriage or civil partnership, pregnancy/maternity, sexual orientation, gender reassignment or disability. It has a clear policy of paying employees equally for the same or equivalent work, regardless of their sex (or any other characteristic set out above). As such, it evaluates job roles and pay grades using the HAY job evaluation</w:t>
      </w:r>
      <w:r w:rsidR="005F3865" w:rsidRPr="00FA283D">
        <w:rPr>
          <w:rStyle w:val="FootnoteReference"/>
          <w:rFonts w:ascii="Arial" w:hAnsi="Arial" w:cs="Arial"/>
          <w:sz w:val="24"/>
          <w:szCs w:val="24"/>
        </w:rPr>
        <w:footnoteReference w:id="4"/>
      </w:r>
      <w:r w:rsidR="005F3865">
        <w:rPr>
          <w:rFonts w:ascii="Arial" w:hAnsi="Arial" w:cs="Arial"/>
          <w:sz w:val="24"/>
          <w:szCs w:val="24"/>
        </w:rPr>
        <w:t xml:space="preserve"> </w:t>
      </w:r>
      <w:r w:rsidR="005F3865" w:rsidRPr="004D6275">
        <w:rPr>
          <w:rFonts w:ascii="Arial" w:hAnsi="Arial" w:cs="Arial"/>
          <w:sz w:val="24"/>
          <w:szCs w:val="24"/>
        </w:rPr>
        <w:t xml:space="preserve"> </w:t>
      </w:r>
      <w:r w:rsidR="005F3865">
        <w:rPr>
          <w:rFonts w:ascii="Arial" w:hAnsi="Arial" w:cs="Arial"/>
          <w:sz w:val="24"/>
          <w:szCs w:val="24"/>
        </w:rPr>
        <w:t xml:space="preserve">analytical </w:t>
      </w:r>
      <w:r w:rsidR="005F3865" w:rsidRPr="004D6275">
        <w:rPr>
          <w:rFonts w:ascii="Arial" w:hAnsi="Arial" w:cs="Arial"/>
          <w:sz w:val="24"/>
          <w:szCs w:val="24"/>
        </w:rPr>
        <w:t xml:space="preserve">methodology to ensure a fair </w:t>
      </w:r>
      <w:r w:rsidR="005F3865">
        <w:rPr>
          <w:rFonts w:ascii="Arial" w:hAnsi="Arial" w:cs="Arial"/>
          <w:sz w:val="24"/>
          <w:szCs w:val="24"/>
        </w:rPr>
        <w:t xml:space="preserve">and consistent </w:t>
      </w:r>
      <w:r w:rsidR="005F3865" w:rsidRPr="004D6275">
        <w:rPr>
          <w:rFonts w:ascii="Arial" w:hAnsi="Arial" w:cs="Arial"/>
          <w:sz w:val="24"/>
          <w:szCs w:val="24"/>
        </w:rPr>
        <w:t>pay structure.</w:t>
      </w:r>
    </w:p>
    <w:p w14:paraId="028A6642" w14:textId="77777777" w:rsidR="005F3865" w:rsidRDefault="005E34DD" w:rsidP="005F3865">
      <w:pPr>
        <w:rPr>
          <w:rFonts w:ascii="Arial" w:hAnsi="Arial" w:cs="Arial"/>
          <w:sz w:val="24"/>
          <w:szCs w:val="24"/>
        </w:rPr>
      </w:pPr>
      <w:r>
        <w:rPr>
          <w:rFonts w:ascii="Arial" w:hAnsi="Arial" w:cs="Arial"/>
          <w:sz w:val="24"/>
          <w:szCs w:val="24"/>
        </w:rPr>
        <w:t xml:space="preserve">B&amp;NES Council </w:t>
      </w:r>
      <w:r w:rsidR="005F3865" w:rsidRPr="004D6275">
        <w:rPr>
          <w:rFonts w:ascii="Arial" w:hAnsi="Arial" w:cs="Arial"/>
          <w:sz w:val="24"/>
          <w:szCs w:val="24"/>
        </w:rPr>
        <w:t xml:space="preserve">is therefore confident that its gender pay gap does not stem from paying men and women differently for the same or equivalent work.  Rather its gender pay gap is the result of the roles in which men and women work within the organisation and the salaries that these roles attract.  </w:t>
      </w:r>
    </w:p>
    <w:p w14:paraId="02304A38" w14:textId="77777777" w:rsidR="00C94AED" w:rsidRDefault="005E34DD" w:rsidP="00233E22">
      <w:pPr>
        <w:shd w:val="clear" w:color="auto" w:fill="FFFFFF"/>
        <w:spacing w:before="100" w:beforeAutospacing="1" w:after="180"/>
        <w:rPr>
          <w:rFonts w:ascii="Arial" w:hAnsi="Arial" w:cs="Arial"/>
          <w:sz w:val="24"/>
          <w:szCs w:val="24"/>
        </w:rPr>
      </w:pPr>
      <w:r>
        <w:rPr>
          <w:rFonts w:ascii="Arial" w:hAnsi="Arial" w:cs="Arial"/>
          <w:sz w:val="24"/>
          <w:szCs w:val="24"/>
        </w:rPr>
        <w:t>Whilst</w:t>
      </w:r>
      <w:r w:rsidR="00022937" w:rsidRPr="001C647C">
        <w:rPr>
          <w:rFonts w:ascii="Arial" w:hAnsi="Arial" w:cs="Arial"/>
          <w:sz w:val="24"/>
          <w:szCs w:val="24"/>
        </w:rPr>
        <w:t xml:space="preserve"> </w:t>
      </w:r>
      <w:r>
        <w:rPr>
          <w:rFonts w:ascii="Arial" w:hAnsi="Arial" w:cs="Arial"/>
          <w:sz w:val="24"/>
          <w:szCs w:val="24"/>
        </w:rPr>
        <w:t xml:space="preserve">B&amp;NES Council’s </w:t>
      </w:r>
      <w:r w:rsidR="00022937" w:rsidRPr="001C647C">
        <w:rPr>
          <w:rFonts w:ascii="Arial" w:hAnsi="Arial" w:cs="Arial"/>
          <w:sz w:val="24"/>
          <w:szCs w:val="24"/>
        </w:rPr>
        <w:t xml:space="preserve">gender pay gap compares favourably with that of organisations both across the whole UK economy and within the public sector, this is not a subject about which </w:t>
      </w:r>
      <w:r>
        <w:rPr>
          <w:rFonts w:ascii="Arial" w:hAnsi="Arial" w:cs="Arial"/>
          <w:sz w:val="24"/>
          <w:szCs w:val="24"/>
        </w:rPr>
        <w:t>the</w:t>
      </w:r>
      <w:r w:rsidR="00022937" w:rsidRPr="001C647C">
        <w:rPr>
          <w:rFonts w:ascii="Arial" w:hAnsi="Arial" w:cs="Arial"/>
          <w:sz w:val="24"/>
          <w:szCs w:val="24"/>
        </w:rPr>
        <w:t xml:space="preserve"> Council is complacent, and it is committed to </w:t>
      </w:r>
      <w:r w:rsidR="001A3400" w:rsidRPr="001C647C">
        <w:rPr>
          <w:rFonts w:ascii="Arial" w:hAnsi="Arial" w:cs="Arial"/>
          <w:sz w:val="24"/>
          <w:szCs w:val="24"/>
        </w:rPr>
        <w:t xml:space="preserve">further </w:t>
      </w:r>
      <w:r w:rsidR="00C77D0F">
        <w:rPr>
          <w:rFonts w:ascii="Arial" w:hAnsi="Arial" w:cs="Arial"/>
          <w:sz w:val="24"/>
          <w:szCs w:val="24"/>
        </w:rPr>
        <w:t xml:space="preserve">analysing and </w:t>
      </w:r>
      <w:r w:rsidR="00975F69">
        <w:rPr>
          <w:rFonts w:ascii="Arial" w:hAnsi="Arial" w:cs="Arial"/>
          <w:sz w:val="24"/>
          <w:szCs w:val="24"/>
        </w:rPr>
        <w:t>addressing</w:t>
      </w:r>
      <w:r w:rsidR="00A83109">
        <w:rPr>
          <w:rFonts w:ascii="Arial" w:hAnsi="Arial" w:cs="Arial"/>
          <w:sz w:val="24"/>
          <w:szCs w:val="24"/>
        </w:rPr>
        <w:t xml:space="preserve"> </w:t>
      </w:r>
      <w:r w:rsidR="00022937" w:rsidRPr="001C647C">
        <w:rPr>
          <w:rFonts w:ascii="Arial" w:hAnsi="Arial" w:cs="Arial"/>
          <w:sz w:val="24"/>
          <w:szCs w:val="24"/>
        </w:rPr>
        <w:t>the gap.</w:t>
      </w:r>
    </w:p>
    <w:p w14:paraId="11BDEFF1" w14:textId="77777777" w:rsidR="00CA254B" w:rsidRDefault="003732E3" w:rsidP="00233E22">
      <w:pPr>
        <w:shd w:val="clear" w:color="auto" w:fill="FFFFFF"/>
        <w:spacing w:before="100" w:beforeAutospacing="1" w:after="180"/>
        <w:rPr>
          <w:rFonts w:ascii="Arial" w:hAnsi="Arial" w:cs="Arial"/>
          <w:sz w:val="24"/>
          <w:szCs w:val="24"/>
        </w:rPr>
      </w:pPr>
      <w:r>
        <w:rPr>
          <w:rFonts w:ascii="Arial" w:hAnsi="Arial" w:cs="Arial"/>
          <w:sz w:val="24"/>
          <w:szCs w:val="24"/>
        </w:rPr>
        <w:t>The table below sets out what we said we were going to do to tackle the gender pay gap, what we have actually done and what we plan to do next.</w:t>
      </w:r>
    </w:p>
    <w:p w14:paraId="3EAA9D5C" w14:textId="77777777" w:rsidR="00233E22" w:rsidRDefault="00233E22">
      <w:pPr>
        <w:rPr>
          <w:rFonts w:ascii="Arial" w:hAnsi="Arial" w:cs="Arial"/>
          <w:sz w:val="22"/>
          <w:szCs w:val="22"/>
        </w:rPr>
      </w:pPr>
    </w:p>
    <w:p w14:paraId="32639DBA" w14:textId="77777777" w:rsidR="00233E22" w:rsidRDefault="00233E22">
      <w:pPr>
        <w:rPr>
          <w:rFonts w:ascii="Arial" w:hAnsi="Arial" w:cs="Arial"/>
          <w:sz w:val="22"/>
          <w:szCs w:val="22"/>
        </w:rPr>
        <w:sectPr w:rsidR="00233E22" w:rsidSect="00B12F4B">
          <w:footerReference w:type="default" r:id="rId14"/>
          <w:headerReference w:type="first" r:id="rId15"/>
          <w:footerReference w:type="first" r:id="rId16"/>
          <w:pgSz w:w="11909" w:h="16834" w:code="9"/>
          <w:pgMar w:top="567" w:right="851" w:bottom="1560" w:left="1077" w:header="706" w:footer="706" w:gutter="0"/>
          <w:cols w:space="720"/>
          <w:titlePg/>
          <w:docGrid w:linePitch="272"/>
        </w:sectPr>
      </w:pPr>
    </w:p>
    <w:p w14:paraId="32A6B11A" w14:textId="77777777" w:rsidR="00BE53AE" w:rsidRDefault="00CA254B" w:rsidP="006F5F18">
      <w:pPr>
        <w:shd w:val="clear" w:color="auto" w:fill="FFFFFF"/>
        <w:spacing w:before="100" w:beforeAutospacing="1" w:after="180"/>
        <w:ind w:left="-567"/>
        <w:rPr>
          <w:rFonts w:ascii="Arial" w:hAnsi="Arial" w:cs="Arial"/>
          <w:b/>
          <w:sz w:val="4"/>
          <w:szCs w:val="22"/>
        </w:rPr>
      </w:pPr>
      <w:r w:rsidRPr="00BE53AE">
        <w:rPr>
          <w:rFonts w:ascii="Arial" w:hAnsi="Arial" w:cs="Arial"/>
          <w:b/>
          <w:sz w:val="24"/>
          <w:szCs w:val="22"/>
        </w:rPr>
        <w:lastRenderedPageBreak/>
        <w:t xml:space="preserve">Bath &amp; North East Somerset </w:t>
      </w:r>
      <w:r w:rsidR="00D40A06" w:rsidRPr="00BE53AE">
        <w:rPr>
          <w:rFonts w:ascii="Arial" w:hAnsi="Arial" w:cs="Arial"/>
          <w:b/>
          <w:sz w:val="24"/>
          <w:szCs w:val="22"/>
        </w:rPr>
        <w:t>Gender Pay Gap Action</w:t>
      </w:r>
      <w:r w:rsidR="00A95A1C" w:rsidRPr="00BE53AE">
        <w:rPr>
          <w:rFonts w:ascii="Arial" w:hAnsi="Arial" w:cs="Arial"/>
          <w:b/>
          <w:sz w:val="24"/>
          <w:szCs w:val="22"/>
        </w:rPr>
        <w:t xml:space="preserve"> Plan</w:t>
      </w:r>
    </w:p>
    <w:p w14:paraId="3FE505B1" w14:textId="77777777" w:rsidR="006F5F18" w:rsidRPr="006F5F18" w:rsidRDefault="006F5F18" w:rsidP="006F5F18">
      <w:pPr>
        <w:shd w:val="clear" w:color="auto" w:fill="FFFFFF"/>
        <w:spacing w:before="100" w:beforeAutospacing="1" w:after="180"/>
        <w:ind w:left="-567"/>
        <w:rPr>
          <w:rFonts w:ascii="Arial" w:hAnsi="Arial" w:cs="Arial"/>
          <w:b/>
          <w:sz w:val="4"/>
          <w:szCs w:val="22"/>
        </w:rPr>
      </w:pPr>
    </w:p>
    <w:tbl>
      <w:tblPr>
        <w:tblStyle w:val="TableGrid"/>
        <w:tblW w:w="16018" w:type="dxa"/>
        <w:tblInd w:w="-601" w:type="dxa"/>
        <w:tblBorders>
          <w:left w:val="none" w:sz="0" w:space="0" w:color="auto"/>
          <w:right w:val="none" w:sz="0" w:space="0" w:color="auto"/>
          <w:insideH w:val="none" w:sz="0" w:space="0" w:color="auto"/>
          <w:insideV w:val="none" w:sz="0" w:space="0" w:color="auto"/>
        </w:tblBorders>
        <w:tblLayout w:type="fixed"/>
        <w:tblCellMar>
          <w:top w:w="170" w:type="dxa"/>
          <w:bottom w:w="113" w:type="dxa"/>
        </w:tblCellMar>
        <w:tblLook w:val="04A0" w:firstRow="1" w:lastRow="0" w:firstColumn="1" w:lastColumn="0" w:noHBand="0" w:noVBand="1"/>
      </w:tblPr>
      <w:tblGrid>
        <w:gridCol w:w="1702"/>
        <w:gridCol w:w="3969"/>
        <w:gridCol w:w="5103"/>
        <w:gridCol w:w="5244"/>
      </w:tblGrid>
      <w:tr w:rsidR="006F5F18" w:rsidRPr="00BE53AE" w14:paraId="38E4F0E5" w14:textId="77777777" w:rsidTr="00693FA0">
        <w:trPr>
          <w:trHeight w:val="510"/>
        </w:trPr>
        <w:tc>
          <w:tcPr>
            <w:tcW w:w="1702" w:type="dxa"/>
            <w:tcBorders>
              <w:top w:val="nil"/>
              <w:bottom w:val="nil"/>
            </w:tcBorders>
            <w:shd w:val="clear" w:color="auto" w:fill="D4ECFF"/>
            <w:vAlign w:val="center"/>
          </w:tcPr>
          <w:p w14:paraId="50182992" w14:textId="77777777" w:rsidR="003732E3" w:rsidRPr="00BE53AE" w:rsidRDefault="00FA283D" w:rsidP="0064483B">
            <w:pPr>
              <w:rPr>
                <w:rFonts w:ascii="Arial" w:hAnsi="Arial" w:cs="Arial"/>
                <w:b/>
                <w:sz w:val="22"/>
                <w:szCs w:val="22"/>
              </w:rPr>
            </w:pPr>
            <w:r w:rsidRPr="00BE53AE">
              <w:rPr>
                <w:rFonts w:ascii="Arial" w:hAnsi="Arial" w:cs="Arial"/>
                <w:b/>
                <w:sz w:val="22"/>
                <w:szCs w:val="22"/>
              </w:rPr>
              <w:t>Area of</w:t>
            </w:r>
            <w:r w:rsidR="008D42B9" w:rsidRPr="00BE53AE">
              <w:rPr>
                <w:rFonts w:ascii="Arial" w:hAnsi="Arial" w:cs="Arial"/>
                <w:b/>
                <w:sz w:val="22"/>
                <w:szCs w:val="22"/>
              </w:rPr>
              <w:t>…</w:t>
            </w:r>
          </w:p>
        </w:tc>
        <w:tc>
          <w:tcPr>
            <w:tcW w:w="3969" w:type="dxa"/>
            <w:tcBorders>
              <w:top w:val="nil"/>
              <w:bottom w:val="nil"/>
            </w:tcBorders>
            <w:shd w:val="clear" w:color="auto" w:fill="8DCDE1"/>
            <w:vAlign w:val="center"/>
          </w:tcPr>
          <w:p w14:paraId="49FFB0D0" w14:textId="650BA1F7" w:rsidR="003732E3" w:rsidRPr="00BE53AE" w:rsidRDefault="009A080D" w:rsidP="0064483B">
            <w:pPr>
              <w:rPr>
                <w:rFonts w:ascii="Arial" w:hAnsi="Arial" w:cs="Arial"/>
                <w:b/>
                <w:sz w:val="22"/>
                <w:szCs w:val="22"/>
              </w:rPr>
            </w:pPr>
            <w:r>
              <w:rPr>
                <w:rFonts w:ascii="Arial" w:hAnsi="Arial" w:cs="Arial"/>
                <w:b/>
                <w:sz w:val="22"/>
                <w:szCs w:val="22"/>
              </w:rPr>
              <w:t>Previous</w:t>
            </w:r>
            <w:r w:rsidR="00AB50AF">
              <w:rPr>
                <w:rFonts w:ascii="Arial" w:hAnsi="Arial" w:cs="Arial"/>
                <w:b/>
                <w:sz w:val="22"/>
                <w:szCs w:val="22"/>
              </w:rPr>
              <w:t>l</w:t>
            </w:r>
            <w:r>
              <w:rPr>
                <w:rFonts w:ascii="Arial" w:hAnsi="Arial" w:cs="Arial"/>
                <w:b/>
                <w:sz w:val="22"/>
                <w:szCs w:val="22"/>
              </w:rPr>
              <w:t>y</w:t>
            </w:r>
            <w:r w:rsidR="0030112D" w:rsidRPr="00BE53AE">
              <w:rPr>
                <w:rFonts w:ascii="Arial" w:hAnsi="Arial" w:cs="Arial"/>
                <w:b/>
                <w:sz w:val="22"/>
                <w:szCs w:val="22"/>
              </w:rPr>
              <w:t xml:space="preserve"> we said we </w:t>
            </w:r>
            <w:r w:rsidR="003732E3" w:rsidRPr="00BE53AE">
              <w:rPr>
                <w:rFonts w:ascii="Arial" w:hAnsi="Arial" w:cs="Arial"/>
                <w:b/>
                <w:sz w:val="22"/>
                <w:szCs w:val="22"/>
              </w:rPr>
              <w:t>would…</w:t>
            </w:r>
          </w:p>
        </w:tc>
        <w:tc>
          <w:tcPr>
            <w:tcW w:w="5103" w:type="dxa"/>
            <w:tcBorders>
              <w:top w:val="nil"/>
              <w:bottom w:val="nil"/>
            </w:tcBorders>
            <w:shd w:val="clear" w:color="auto" w:fill="8DCDE1"/>
            <w:vAlign w:val="center"/>
          </w:tcPr>
          <w:p w14:paraId="712EEF2E" w14:textId="77777777" w:rsidR="003732E3" w:rsidRPr="00BE53AE" w:rsidRDefault="003732E3" w:rsidP="0064483B">
            <w:pPr>
              <w:rPr>
                <w:rFonts w:ascii="Arial" w:hAnsi="Arial" w:cs="Arial"/>
                <w:b/>
                <w:sz w:val="22"/>
                <w:szCs w:val="22"/>
              </w:rPr>
            </w:pPr>
            <w:r w:rsidRPr="00BE53AE">
              <w:rPr>
                <w:rFonts w:ascii="Arial" w:hAnsi="Arial" w:cs="Arial"/>
                <w:b/>
                <w:sz w:val="22"/>
                <w:szCs w:val="22"/>
              </w:rPr>
              <w:t>So far we have…</w:t>
            </w:r>
          </w:p>
        </w:tc>
        <w:tc>
          <w:tcPr>
            <w:tcW w:w="5244" w:type="dxa"/>
            <w:tcBorders>
              <w:top w:val="nil"/>
              <w:bottom w:val="nil"/>
            </w:tcBorders>
            <w:shd w:val="clear" w:color="auto" w:fill="8DCDE1"/>
            <w:vAlign w:val="center"/>
          </w:tcPr>
          <w:p w14:paraId="309AACD3" w14:textId="0A517818" w:rsidR="003732E3" w:rsidRPr="00BE53AE" w:rsidRDefault="008D42B9" w:rsidP="0064483B">
            <w:pPr>
              <w:rPr>
                <w:rFonts w:ascii="Arial" w:hAnsi="Arial" w:cs="Arial"/>
                <w:b/>
                <w:sz w:val="22"/>
                <w:szCs w:val="22"/>
              </w:rPr>
            </w:pPr>
            <w:r w:rsidRPr="00BE53AE">
              <w:rPr>
                <w:rFonts w:ascii="Arial" w:hAnsi="Arial" w:cs="Arial"/>
                <w:b/>
                <w:sz w:val="22"/>
                <w:szCs w:val="22"/>
              </w:rPr>
              <w:t>During 20</w:t>
            </w:r>
            <w:r w:rsidR="001649A7">
              <w:rPr>
                <w:rFonts w:ascii="Arial" w:hAnsi="Arial" w:cs="Arial"/>
                <w:b/>
                <w:sz w:val="22"/>
                <w:szCs w:val="22"/>
              </w:rPr>
              <w:t>2</w:t>
            </w:r>
            <w:r w:rsidR="009A080D">
              <w:rPr>
                <w:rFonts w:ascii="Arial" w:hAnsi="Arial" w:cs="Arial"/>
                <w:b/>
                <w:sz w:val="22"/>
                <w:szCs w:val="22"/>
              </w:rPr>
              <w:t>1</w:t>
            </w:r>
            <w:r w:rsidR="003732E3" w:rsidRPr="00BE53AE">
              <w:rPr>
                <w:rFonts w:ascii="Arial" w:hAnsi="Arial" w:cs="Arial"/>
                <w:b/>
                <w:sz w:val="22"/>
                <w:szCs w:val="22"/>
              </w:rPr>
              <w:t xml:space="preserve"> we will…</w:t>
            </w:r>
          </w:p>
        </w:tc>
      </w:tr>
      <w:tr w:rsidR="003732E3" w:rsidRPr="00BE53AE" w14:paraId="31806455" w14:textId="77777777" w:rsidTr="00693FA0">
        <w:trPr>
          <w:trHeight w:val="3261"/>
        </w:trPr>
        <w:tc>
          <w:tcPr>
            <w:tcW w:w="1702" w:type="dxa"/>
            <w:tcBorders>
              <w:top w:val="nil"/>
              <w:bottom w:val="nil"/>
            </w:tcBorders>
            <w:shd w:val="clear" w:color="auto" w:fill="D4ECFF"/>
            <w:vAlign w:val="center"/>
          </w:tcPr>
          <w:p w14:paraId="41FA5DA7" w14:textId="77777777" w:rsidR="003732E3" w:rsidRPr="00BE53AE" w:rsidRDefault="003732E3" w:rsidP="0064483B">
            <w:pPr>
              <w:rPr>
                <w:rFonts w:ascii="Arial" w:hAnsi="Arial" w:cs="Arial"/>
                <w:b/>
                <w:sz w:val="22"/>
                <w:szCs w:val="22"/>
              </w:rPr>
            </w:pPr>
            <w:r w:rsidRPr="00BE53AE">
              <w:rPr>
                <w:rFonts w:ascii="Arial" w:hAnsi="Arial" w:cs="Arial"/>
                <w:b/>
                <w:sz w:val="22"/>
                <w:szCs w:val="22"/>
              </w:rPr>
              <w:t>Pay</w:t>
            </w:r>
          </w:p>
        </w:tc>
        <w:tc>
          <w:tcPr>
            <w:tcW w:w="3969" w:type="dxa"/>
            <w:tcBorders>
              <w:top w:val="nil"/>
              <w:bottom w:val="single" w:sz="4" w:space="0" w:color="auto"/>
            </w:tcBorders>
            <w:vAlign w:val="center"/>
          </w:tcPr>
          <w:p w14:paraId="3CE7AF0D" w14:textId="77777777" w:rsidR="003732E3" w:rsidRPr="00BE53AE" w:rsidRDefault="003732E3" w:rsidP="0064483B">
            <w:pPr>
              <w:rPr>
                <w:rFonts w:ascii="Arial" w:hAnsi="Arial" w:cs="Arial"/>
                <w:sz w:val="22"/>
                <w:szCs w:val="22"/>
              </w:rPr>
            </w:pPr>
            <w:r w:rsidRPr="00BE53AE">
              <w:rPr>
                <w:rFonts w:ascii="Arial" w:hAnsi="Arial" w:cs="Arial"/>
                <w:sz w:val="22"/>
                <w:szCs w:val="22"/>
              </w:rPr>
              <w:t>review our policy on ex-gratia (bonus) payments</w:t>
            </w:r>
          </w:p>
          <w:p w14:paraId="1F336855" w14:textId="77777777" w:rsidR="0082207D" w:rsidRPr="00BE53AE" w:rsidRDefault="0082207D" w:rsidP="0064483B">
            <w:pPr>
              <w:rPr>
                <w:rFonts w:ascii="Arial" w:hAnsi="Arial" w:cs="Arial"/>
                <w:sz w:val="22"/>
                <w:szCs w:val="22"/>
              </w:rPr>
            </w:pPr>
          </w:p>
          <w:p w14:paraId="36567D65" w14:textId="77777777" w:rsidR="0082207D" w:rsidRDefault="0082207D" w:rsidP="0064483B">
            <w:pPr>
              <w:rPr>
                <w:rFonts w:ascii="Arial" w:hAnsi="Arial" w:cs="Arial"/>
                <w:sz w:val="22"/>
                <w:szCs w:val="22"/>
              </w:rPr>
            </w:pPr>
            <w:r w:rsidRPr="00BE53AE">
              <w:rPr>
                <w:rFonts w:ascii="Arial" w:hAnsi="Arial" w:cs="Arial"/>
                <w:sz w:val="22"/>
                <w:szCs w:val="22"/>
              </w:rPr>
              <w:t>continue to build upon existing good practice to take a fair and consistent approach to pay and grading through robust job evaluation processes</w:t>
            </w:r>
          </w:p>
          <w:p w14:paraId="5428A419" w14:textId="77777777" w:rsidR="009046EA" w:rsidRDefault="009046EA" w:rsidP="0064483B">
            <w:pPr>
              <w:rPr>
                <w:rFonts w:ascii="Arial" w:hAnsi="Arial" w:cs="Arial"/>
                <w:sz w:val="22"/>
                <w:szCs w:val="22"/>
              </w:rPr>
            </w:pPr>
          </w:p>
          <w:p w14:paraId="123639DB" w14:textId="3F02577B" w:rsidR="009046EA" w:rsidRPr="00BE53AE" w:rsidRDefault="009046EA" w:rsidP="0064483B">
            <w:pPr>
              <w:rPr>
                <w:rFonts w:ascii="Arial" w:hAnsi="Arial" w:cs="Arial"/>
                <w:sz w:val="22"/>
                <w:szCs w:val="22"/>
              </w:rPr>
            </w:pPr>
            <w:r>
              <w:rPr>
                <w:rFonts w:ascii="Arial" w:hAnsi="Arial" w:cs="Arial"/>
                <w:sz w:val="22"/>
                <w:szCs w:val="22"/>
              </w:rPr>
              <w:t xml:space="preserve">review a sample of male and female recruits and </w:t>
            </w:r>
            <w:r w:rsidRPr="00BE53AE">
              <w:rPr>
                <w:rFonts w:ascii="Arial" w:hAnsi="Arial" w:cs="Arial"/>
                <w:sz w:val="22"/>
                <w:szCs w:val="22"/>
              </w:rPr>
              <w:t>their starting salary /spinal column point to determine if male recruits negotiate/are offered a higher starting salary than female recruits</w:t>
            </w:r>
          </w:p>
        </w:tc>
        <w:tc>
          <w:tcPr>
            <w:tcW w:w="5103" w:type="dxa"/>
            <w:tcBorders>
              <w:top w:val="nil"/>
              <w:bottom w:val="single" w:sz="4" w:space="0" w:color="auto"/>
            </w:tcBorders>
            <w:vAlign w:val="center"/>
          </w:tcPr>
          <w:p w14:paraId="45564A25" w14:textId="4D8A60BD" w:rsidR="0082207D" w:rsidRDefault="008D42B9" w:rsidP="0064483B">
            <w:pPr>
              <w:rPr>
                <w:rFonts w:ascii="Arial" w:hAnsi="Arial" w:cs="Arial"/>
                <w:sz w:val="22"/>
                <w:szCs w:val="22"/>
              </w:rPr>
            </w:pPr>
            <w:r w:rsidRPr="00BE53AE">
              <w:rPr>
                <w:rFonts w:ascii="Arial" w:hAnsi="Arial" w:cs="Arial"/>
                <w:sz w:val="22"/>
                <w:szCs w:val="22"/>
              </w:rPr>
              <w:t>r</w:t>
            </w:r>
            <w:r w:rsidR="003732E3" w:rsidRPr="00BE53AE">
              <w:rPr>
                <w:rFonts w:ascii="Arial" w:hAnsi="Arial" w:cs="Arial"/>
                <w:sz w:val="22"/>
                <w:szCs w:val="22"/>
              </w:rPr>
              <w:t xml:space="preserve">eviewed </w:t>
            </w:r>
            <w:r w:rsidR="009058A0">
              <w:rPr>
                <w:rFonts w:ascii="Arial" w:hAnsi="Arial" w:cs="Arial"/>
                <w:sz w:val="22"/>
                <w:szCs w:val="22"/>
              </w:rPr>
              <w:t xml:space="preserve">further </w:t>
            </w:r>
            <w:r w:rsidR="003732E3" w:rsidRPr="00BE53AE">
              <w:rPr>
                <w:rFonts w:ascii="Arial" w:hAnsi="Arial" w:cs="Arial"/>
                <w:sz w:val="22"/>
                <w:szCs w:val="22"/>
              </w:rPr>
              <w:t xml:space="preserve">the </w:t>
            </w:r>
            <w:r w:rsidR="003407DF" w:rsidRPr="00BE53AE">
              <w:rPr>
                <w:rFonts w:ascii="Arial" w:hAnsi="Arial" w:cs="Arial"/>
                <w:sz w:val="22"/>
                <w:szCs w:val="22"/>
              </w:rPr>
              <w:t xml:space="preserve">detailed </w:t>
            </w:r>
            <w:r w:rsidR="003732E3" w:rsidRPr="00BE53AE">
              <w:rPr>
                <w:rFonts w:ascii="Arial" w:hAnsi="Arial" w:cs="Arial"/>
                <w:sz w:val="22"/>
                <w:szCs w:val="22"/>
              </w:rPr>
              <w:t xml:space="preserve">payment of honoraria and ex gratia payments, </w:t>
            </w:r>
            <w:r w:rsidR="003407DF" w:rsidRPr="00BE53AE">
              <w:rPr>
                <w:rFonts w:ascii="Arial" w:hAnsi="Arial" w:cs="Arial"/>
                <w:sz w:val="22"/>
                <w:szCs w:val="22"/>
              </w:rPr>
              <w:t xml:space="preserve">resulting in the reviewing and </w:t>
            </w:r>
            <w:r w:rsidR="003732E3" w:rsidRPr="00BE53AE">
              <w:rPr>
                <w:rFonts w:ascii="Arial" w:hAnsi="Arial" w:cs="Arial"/>
                <w:sz w:val="22"/>
                <w:szCs w:val="22"/>
              </w:rPr>
              <w:t>removal of some</w:t>
            </w:r>
            <w:r w:rsidR="003407DF" w:rsidRPr="00BE53AE">
              <w:rPr>
                <w:rFonts w:ascii="Arial" w:hAnsi="Arial" w:cs="Arial"/>
                <w:sz w:val="22"/>
                <w:szCs w:val="22"/>
              </w:rPr>
              <w:t xml:space="preserve"> payments</w:t>
            </w:r>
            <w:r w:rsidR="003732E3" w:rsidRPr="00BE53AE">
              <w:rPr>
                <w:rFonts w:ascii="Arial" w:hAnsi="Arial" w:cs="Arial"/>
                <w:sz w:val="22"/>
                <w:szCs w:val="22"/>
              </w:rPr>
              <w:t xml:space="preserve">, </w:t>
            </w:r>
            <w:r w:rsidR="003407DF" w:rsidRPr="00BE53AE">
              <w:rPr>
                <w:rFonts w:ascii="Arial" w:hAnsi="Arial" w:cs="Arial"/>
                <w:sz w:val="22"/>
                <w:szCs w:val="22"/>
              </w:rPr>
              <w:t>strict</w:t>
            </w:r>
            <w:r w:rsidR="003732E3" w:rsidRPr="00BE53AE">
              <w:rPr>
                <w:rFonts w:ascii="Arial" w:hAnsi="Arial" w:cs="Arial"/>
                <w:sz w:val="22"/>
                <w:szCs w:val="22"/>
              </w:rPr>
              <w:t xml:space="preserve"> sign off protocol for initiating or extending - including </w:t>
            </w:r>
            <w:r w:rsidR="009058A0">
              <w:rPr>
                <w:rFonts w:ascii="Arial" w:hAnsi="Arial" w:cs="Arial"/>
                <w:sz w:val="22"/>
                <w:szCs w:val="22"/>
              </w:rPr>
              <w:t xml:space="preserve">monthly monitoring of HRBP and overview by </w:t>
            </w:r>
            <w:r w:rsidR="001F7AE0">
              <w:rPr>
                <w:rFonts w:ascii="Arial" w:hAnsi="Arial" w:cs="Arial"/>
                <w:sz w:val="22"/>
                <w:szCs w:val="22"/>
              </w:rPr>
              <w:t>Director</w:t>
            </w:r>
            <w:r w:rsidR="009058A0">
              <w:rPr>
                <w:rFonts w:ascii="Arial" w:hAnsi="Arial" w:cs="Arial"/>
                <w:sz w:val="22"/>
                <w:szCs w:val="22"/>
              </w:rPr>
              <w:t xml:space="preserve"> of HR</w:t>
            </w:r>
          </w:p>
          <w:p w14:paraId="541B1A18" w14:textId="2EC4F2A5" w:rsidR="009058A0" w:rsidRDefault="009058A0" w:rsidP="0064483B">
            <w:pPr>
              <w:rPr>
                <w:rFonts w:ascii="Arial" w:hAnsi="Arial" w:cs="Arial"/>
                <w:sz w:val="22"/>
                <w:szCs w:val="22"/>
              </w:rPr>
            </w:pPr>
          </w:p>
          <w:p w14:paraId="5EB3801B" w14:textId="7278F1C1" w:rsidR="002324C3" w:rsidRDefault="008D42B9" w:rsidP="0064483B">
            <w:pPr>
              <w:rPr>
                <w:rFonts w:ascii="Arial" w:hAnsi="Arial" w:cs="Arial"/>
                <w:sz w:val="22"/>
                <w:szCs w:val="22"/>
              </w:rPr>
            </w:pPr>
            <w:r w:rsidRPr="00BE53AE">
              <w:rPr>
                <w:rFonts w:ascii="Arial" w:hAnsi="Arial" w:cs="Arial"/>
                <w:sz w:val="22"/>
                <w:szCs w:val="22"/>
              </w:rPr>
              <w:t>c</w:t>
            </w:r>
            <w:r w:rsidR="0082207D" w:rsidRPr="00BE53AE">
              <w:rPr>
                <w:rFonts w:ascii="Arial" w:hAnsi="Arial" w:cs="Arial"/>
                <w:sz w:val="22"/>
                <w:szCs w:val="22"/>
              </w:rPr>
              <w:t xml:space="preserve">ontinued with robust job evaluation process with regular JE panels including HR, Management and TU representation.  Further Hay </w:t>
            </w:r>
            <w:r w:rsidR="00F5208E">
              <w:rPr>
                <w:rFonts w:ascii="Arial" w:hAnsi="Arial" w:cs="Arial"/>
                <w:sz w:val="22"/>
                <w:szCs w:val="22"/>
              </w:rPr>
              <w:t>JE</w:t>
            </w:r>
            <w:r w:rsidR="0082207D" w:rsidRPr="00BE53AE">
              <w:rPr>
                <w:rFonts w:ascii="Arial" w:hAnsi="Arial" w:cs="Arial"/>
                <w:sz w:val="22"/>
                <w:szCs w:val="22"/>
              </w:rPr>
              <w:t xml:space="preserve"> training has been provided for more HR reps, Managers and TU reps in July 2017</w:t>
            </w:r>
          </w:p>
          <w:p w14:paraId="32E6403A" w14:textId="463ABB06" w:rsidR="009A0586" w:rsidRDefault="009A0586" w:rsidP="0064483B">
            <w:pPr>
              <w:rPr>
                <w:rFonts w:ascii="Arial" w:hAnsi="Arial" w:cs="Arial"/>
                <w:sz w:val="22"/>
                <w:szCs w:val="22"/>
              </w:rPr>
            </w:pPr>
          </w:p>
          <w:p w14:paraId="063AB170" w14:textId="0EAC885C" w:rsidR="00732A9D" w:rsidRPr="00BE53AE" w:rsidRDefault="00A27B60" w:rsidP="009046EA">
            <w:pPr>
              <w:rPr>
                <w:rFonts w:ascii="Arial" w:hAnsi="Arial" w:cs="Arial"/>
                <w:sz w:val="22"/>
                <w:szCs w:val="22"/>
              </w:rPr>
            </w:pPr>
            <w:r>
              <w:rPr>
                <w:rFonts w:ascii="Arial" w:hAnsi="Arial" w:cs="Arial"/>
                <w:sz w:val="22"/>
                <w:szCs w:val="22"/>
              </w:rPr>
              <w:t xml:space="preserve">undertaken an HR research project to review </w:t>
            </w:r>
            <w:r w:rsidR="009A0586">
              <w:rPr>
                <w:rFonts w:ascii="Arial" w:hAnsi="Arial" w:cs="Arial"/>
                <w:sz w:val="22"/>
                <w:szCs w:val="22"/>
              </w:rPr>
              <w:t>a sample of</w:t>
            </w:r>
            <w:r w:rsidR="009A0586" w:rsidRPr="00BE53AE">
              <w:rPr>
                <w:rFonts w:ascii="Arial" w:hAnsi="Arial" w:cs="Arial"/>
                <w:sz w:val="22"/>
                <w:szCs w:val="22"/>
              </w:rPr>
              <w:t xml:space="preserve"> male and female recruits </w:t>
            </w:r>
            <w:r w:rsidR="009046EA">
              <w:rPr>
                <w:rFonts w:ascii="Arial" w:hAnsi="Arial" w:cs="Arial"/>
                <w:sz w:val="22"/>
                <w:szCs w:val="22"/>
              </w:rPr>
              <w:t xml:space="preserve">to </w:t>
            </w:r>
            <w:r>
              <w:rPr>
                <w:rFonts w:ascii="Arial" w:hAnsi="Arial" w:cs="Arial"/>
                <w:sz w:val="22"/>
                <w:szCs w:val="22"/>
              </w:rPr>
              <w:t>investigate</w:t>
            </w:r>
            <w:r w:rsidR="00732A9D">
              <w:rPr>
                <w:rFonts w:ascii="Arial" w:hAnsi="Arial" w:cs="Arial"/>
                <w:sz w:val="22"/>
                <w:szCs w:val="22"/>
              </w:rPr>
              <w:t xml:space="preserve"> this complies with our clear policy</w:t>
            </w:r>
            <w:r w:rsidR="001F78AB">
              <w:rPr>
                <w:rFonts w:ascii="Arial" w:hAnsi="Arial" w:cs="Arial"/>
                <w:sz w:val="22"/>
                <w:szCs w:val="22"/>
              </w:rPr>
              <w:t xml:space="preserve"> on starting salaries</w:t>
            </w:r>
            <w:r w:rsidR="00732A9D">
              <w:rPr>
                <w:rFonts w:ascii="Arial" w:hAnsi="Arial" w:cs="Arial"/>
                <w:sz w:val="22"/>
                <w:szCs w:val="22"/>
              </w:rPr>
              <w:t xml:space="preserve"> </w:t>
            </w:r>
          </w:p>
        </w:tc>
        <w:tc>
          <w:tcPr>
            <w:tcW w:w="5244" w:type="dxa"/>
            <w:tcBorders>
              <w:top w:val="nil"/>
              <w:bottom w:val="single" w:sz="4" w:space="0" w:color="auto"/>
            </w:tcBorders>
            <w:vAlign w:val="center"/>
          </w:tcPr>
          <w:p w14:paraId="14B5C160" w14:textId="411C70EC" w:rsidR="003732E3" w:rsidRDefault="001649A7" w:rsidP="0064483B">
            <w:pPr>
              <w:rPr>
                <w:rFonts w:ascii="Arial" w:hAnsi="Arial" w:cs="Arial"/>
                <w:sz w:val="22"/>
                <w:szCs w:val="22"/>
              </w:rPr>
            </w:pPr>
            <w:r>
              <w:rPr>
                <w:rFonts w:ascii="Arial" w:hAnsi="Arial" w:cs="Arial"/>
                <w:sz w:val="22"/>
                <w:szCs w:val="22"/>
              </w:rPr>
              <w:t>Ensure payments are appropriately paid (so fewer ex gratia payments</w:t>
            </w:r>
            <w:r w:rsidR="009046EA">
              <w:rPr>
                <w:rFonts w:ascii="Arial" w:hAnsi="Arial" w:cs="Arial"/>
                <w:sz w:val="22"/>
                <w:szCs w:val="22"/>
              </w:rPr>
              <w:t xml:space="preserve"> and therefore a reduction in bonus payments and increasing accuracy of hourly rate data</w:t>
            </w:r>
            <w:r>
              <w:rPr>
                <w:rFonts w:ascii="Arial" w:hAnsi="Arial" w:cs="Arial"/>
                <w:sz w:val="22"/>
                <w:szCs w:val="22"/>
              </w:rPr>
              <w:t xml:space="preserve">) </w:t>
            </w:r>
          </w:p>
          <w:p w14:paraId="74E572C1" w14:textId="2A0EC92E" w:rsidR="009046EA" w:rsidRDefault="009046EA" w:rsidP="0064483B">
            <w:pPr>
              <w:rPr>
                <w:rFonts w:ascii="Arial" w:hAnsi="Arial" w:cs="Arial"/>
                <w:sz w:val="22"/>
                <w:szCs w:val="22"/>
              </w:rPr>
            </w:pPr>
          </w:p>
          <w:p w14:paraId="1448C4FA" w14:textId="46B96770" w:rsidR="00A27B60" w:rsidRDefault="00A27B60" w:rsidP="0064483B">
            <w:pPr>
              <w:rPr>
                <w:rFonts w:ascii="Arial" w:hAnsi="Arial" w:cs="Arial"/>
                <w:sz w:val="22"/>
                <w:szCs w:val="22"/>
              </w:rPr>
            </w:pPr>
          </w:p>
          <w:p w14:paraId="77E9574B" w14:textId="4DC6DC6B" w:rsidR="00F5208E" w:rsidRDefault="00F5208E" w:rsidP="0064483B">
            <w:pPr>
              <w:rPr>
                <w:rFonts w:ascii="Arial" w:hAnsi="Arial" w:cs="Arial"/>
                <w:sz w:val="22"/>
                <w:szCs w:val="22"/>
              </w:rPr>
            </w:pPr>
          </w:p>
          <w:p w14:paraId="2D7C8812" w14:textId="2B35E20B" w:rsidR="009046EA" w:rsidRDefault="00F5208E" w:rsidP="0064483B">
            <w:pPr>
              <w:rPr>
                <w:rFonts w:ascii="Arial" w:hAnsi="Arial" w:cs="Arial"/>
                <w:sz w:val="22"/>
                <w:szCs w:val="22"/>
              </w:rPr>
            </w:pPr>
            <w:r>
              <w:rPr>
                <w:rFonts w:ascii="Arial" w:hAnsi="Arial" w:cs="Arial"/>
                <w:sz w:val="22"/>
                <w:szCs w:val="22"/>
              </w:rPr>
              <w:t>Arrange further JE training</w:t>
            </w:r>
          </w:p>
          <w:p w14:paraId="73D69191" w14:textId="253DC7AF" w:rsidR="009046EA" w:rsidRDefault="009046EA" w:rsidP="0064483B">
            <w:pPr>
              <w:rPr>
                <w:rFonts w:ascii="Arial" w:hAnsi="Arial" w:cs="Arial"/>
                <w:sz w:val="22"/>
                <w:szCs w:val="22"/>
              </w:rPr>
            </w:pPr>
          </w:p>
          <w:p w14:paraId="1DB60810" w14:textId="3EEEB5A2" w:rsidR="009046EA" w:rsidRDefault="009046EA" w:rsidP="0064483B">
            <w:pPr>
              <w:rPr>
                <w:rFonts w:ascii="Arial" w:hAnsi="Arial" w:cs="Arial"/>
                <w:sz w:val="22"/>
                <w:szCs w:val="22"/>
              </w:rPr>
            </w:pPr>
          </w:p>
          <w:p w14:paraId="66BACC8F" w14:textId="05C31BDB" w:rsidR="009046EA" w:rsidRDefault="009046EA" w:rsidP="0064483B">
            <w:pPr>
              <w:rPr>
                <w:rFonts w:ascii="Arial" w:hAnsi="Arial" w:cs="Arial"/>
                <w:sz w:val="22"/>
                <w:szCs w:val="22"/>
              </w:rPr>
            </w:pPr>
          </w:p>
          <w:p w14:paraId="456BB04B" w14:textId="4FCA3861" w:rsidR="009046EA" w:rsidRDefault="009046EA" w:rsidP="0064483B">
            <w:pPr>
              <w:rPr>
                <w:rFonts w:ascii="Arial" w:hAnsi="Arial" w:cs="Arial"/>
                <w:sz w:val="22"/>
                <w:szCs w:val="22"/>
              </w:rPr>
            </w:pPr>
          </w:p>
          <w:p w14:paraId="1BE1C904" w14:textId="5A33710A" w:rsidR="009046EA" w:rsidRDefault="009046EA" w:rsidP="0064483B">
            <w:pPr>
              <w:rPr>
                <w:rFonts w:ascii="Arial" w:hAnsi="Arial" w:cs="Arial"/>
                <w:sz w:val="22"/>
                <w:szCs w:val="22"/>
              </w:rPr>
            </w:pPr>
          </w:p>
          <w:p w14:paraId="69CE7C38" w14:textId="161D3461" w:rsidR="00DC1693" w:rsidRPr="00BE53AE" w:rsidRDefault="00DC1693" w:rsidP="0064483B">
            <w:pPr>
              <w:rPr>
                <w:rFonts w:ascii="Arial" w:hAnsi="Arial" w:cs="Arial"/>
                <w:sz w:val="22"/>
                <w:szCs w:val="22"/>
              </w:rPr>
            </w:pPr>
          </w:p>
        </w:tc>
      </w:tr>
      <w:tr w:rsidR="003732E3" w:rsidRPr="00BE53AE" w14:paraId="3807F727" w14:textId="77777777" w:rsidTr="00693FA0">
        <w:tc>
          <w:tcPr>
            <w:tcW w:w="1702" w:type="dxa"/>
            <w:tcBorders>
              <w:top w:val="nil"/>
              <w:bottom w:val="nil"/>
            </w:tcBorders>
            <w:shd w:val="clear" w:color="auto" w:fill="D4ECFF"/>
            <w:vAlign w:val="center"/>
          </w:tcPr>
          <w:p w14:paraId="2595F19D" w14:textId="77777777" w:rsidR="003732E3" w:rsidRPr="00BE53AE" w:rsidRDefault="003732E3" w:rsidP="0064483B">
            <w:pPr>
              <w:rPr>
                <w:rFonts w:ascii="Arial" w:hAnsi="Arial" w:cs="Arial"/>
                <w:b/>
                <w:sz w:val="22"/>
                <w:szCs w:val="22"/>
              </w:rPr>
            </w:pPr>
            <w:r w:rsidRPr="00BE53AE">
              <w:rPr>
                <w:rFonts w:ascii="Arial" w:hAnsi="Arial" w:cs="Arial"/>
                <w:b/>
                <w:sz w:val="22"/>
                <w:szCs w:val="22"/>
              </w:rPr>
              <w:t>Recruitment</w:t>
            </w:r>
          </w:p>
        </w:tc>
        <w:tc>
          <w:tcPr>
            <w:tcW w:w="3969" w:type="dxa"/>
            <w:tcBorders>
              <w:top w:val="single" w:sz="4" w:space="0" w:color="auto"/>
              <w:bottom w:val="nil"/>
            </w:tcBorders>
            <w:vAlign w:val="center"/>
          </w:tcPr>
          <w:p w14:paraId="0462DA9F" w14:textId="77777777" w:rsidR="0082207D" w:rsidRDefault="003732E3" w:rsidP="0064483B">
            <w:pPr>
              <w:rPr>
                <w:rFonts w:ascii="Arial" w:hAnsi="Arial" w:cs="Arial"/>
                <w:sz w:val="22"/>
                <w:szCs w:val="22"/>
              </w:rPr>
            </w:pPr>
            <w:r w:rsidRPr="00BE53AE">
              <w:rPr>
                <w:rFonts w:ascii="Arial" w:hAnsi="Arial" w:cs="Arial"/>
                <w:sz w:val="22"/>
                <w:szCs w:val="22"/>
              </w:rPr>
              <w:t>review our gender monitoring through all employee lifecycles to identify any barriers to gender equality and inform priorities for action</w:t>
            </w:r>
          </w:p>
          <w:p w14:paraId="5F69BD48" w14:textId="77777777" w:rsidR="00A558A7" w:rsidRPr="00BE53AE" w:rsidRDefault="00A558A7" w:rsidP="0064483B">
            <w:pPr>
              <w:rPr>
                <w:rFonts w:ascii="Arial" w:hAnsi="Arial" w:cs="Arial"/>
                <w:sz w:val="22"/>
                <w:szCs w:val="22"/>
              </w:rPr>
            </w:pPr>
          </w:p>
          <w:p w14:paraId="768F63D8" w14:textId="77777777" w:rsidR="003657BF" w:rsidRPr="00BE53AE" w:rsidRDefault="008D42B9" w:rsidP="0064483B">
            <w:pPr>
              <w:rPr>
                <w:rFonts w:ascii="Arial" w:hAnsi="Arial" w:cs="Arial"/>
                <w:sz w:val="22"/>
                <w:szCs w:val="22"/>
              </w:rPr>
            </w:pPr>
            <w:r w:rsidRPr="00BE53AE">
              <w:rPr>
                <w:rFonts w:ascii="Arial" w:hAnsi="Arial" w:cs="Arial"/>
                <w:sz w:val="22"/>
                <w:szCs w:val="22"/>
              </w:rPr>
              <w:t>r</w:t>
            </w:r>
            <w:r w:rsidR="0082207D" w:rsidRPr="00BE53AE">
              <w:rPr>
                <w:rFonts w:ascii="Arial" w:hAnsi="Arial" w:cs="Arial"/>
                <w:sz w:val="22"/>
                <w:szCs w:val="22"/>
              </w:rPr>
              <w:t>eview existing recruitment practices to identify which areas need more promotion to attract women and men into roles where they are underrepresented</w:t>
            </w:r>
          </w:p>
        </w:tc>
        <w:tc>
          <w:tcPr>
            <w:tcW w:w="5103" w:type="dxa"/>
            <w:tcBorders>
              <w:top w:val="single" w:sz="4" w:space="0" w:color="auto"/>
              <w:bottom w:val="nil"/>
            </w:tcBorders>
            <w:vAlign w:val="center"/>
          </w:tcPr>
          <w:p w14:paraId="733C625E" w14:textId="77777777" w:rsidR="0082207D" w:rsidRDefault="008D42B9" w:rsidP="0064483B">
            <w:pPr>
              <w:rPr>
                <w:rFonts w:ascii="Arial" w:hAnsi="Arial" w:cs="Arial"/>
                <w:sz w:val="22"/>
                <w:szCs w:val="22"/>
              </w:rPr>
            </w:pPr>
            <w:r w:rsidRPr="00BE53AE">
              <w:rPr>
                <w:rFonts w:ascii="Arial" w:hAnsi="Arial" w:cs="Arial"/>
                <w:sz w:val="22"/>
                <w:szCs w:val="22"/>
              </w:rPr>
              <w:t>e</w:t>
            </w:r>
            <w:r w:rsidR="0082207D" w:rsidRPr="00BE53AE">
              <w:rPr>
                <w:rFonts w:ascii="Arial" w:hAnsi="Arial" w:cs="Arial"/>
                <w:sz w:val="22"/>
                <w:szCs w:val="22"/>
              </w:rPr>
              <w:t>nsured that ACAS Unconscious Bias awareness principles and promotion of Flexible Working principles are featured within our standard Recruitment and Selection Training</w:t>
            </w:r>
          </w:p>
          <w:p w14:paraId="6E96A52F" w14:textId="77777777" w:rsidR="00A558A7" w:rsidRPr="00BE53AE" w:rsidRDefault="00A558A7" w:rsidP="0064483B">
            <w:pPr>
              <w:rPr>
                <w:rFonts w:ascii="Arial" w:hAnsi="Arial" w:cs="Arial"/>
                <w:sz w:val="22"/>
                <w:szCs w:val="22"/>
              </w:rPr>
            </w:pPr>
          </w:p>
          <w:p w14:paraId="013743B9" w14:textId="77777777" w:rsidR="001C1618" w:rsidRDefault="008D42B9" w:rsidP="00A27B60">
            <w:pPr>
              <w:rPr>
                <w:rFonts w:ascii="Arial" w:hAnsi="Arial" w:cs="Arial"/>
                <w:sz w:val="22"/>
                <w:szCs w:val="22"/>
              </w:rPr>
            </w:pPr>
            <w:r w:rsidRPr="00BE53AE">
              <w:rPr>
                <w:rFonts w:ascii="Arial" w:hAnsi="Arial" w:cs="Arial"/>
                <w:sz w:val="22"/>
                <w:szCs w:val="22"/>
              </w:rPr>
              <w:t>e</w:t>
            </w:r>
            <w:r w:rsidR="0082207D" w:rsidRPr="00BE53AE">
              <w:rPr>
                <w:rFonts w:ascii="Arial" w:hAnsi="Arial" w:cs="Arial"/>
                <w:sz w:val="22"/>
                <w:szCs w:val="22"/>
              </w:rPr>
              <w:t>xplored unconscious bias training more with external consultant and neighbouring authority, together with our own Equalities team and Staff Working Groups</w:t>
            </w:r>
          </w:p>
          <w:p w14:paraId="3676C539" w14:textId="77777777" w:rsidR="00D00267" w:rsidRDefault="00D00267" w:rsidP="00A27B60">
            <w:pPr>
              <w:rPr>
                <w:rFonts w:ascii="Arial" w:hAnsi="Arial" w:cs="Arial"/>
                <w:sz w:val="22"/>
                <w:szCs w:val="22"/>
              </w:rPr>
            </w:pPr>
          </w:p>
          <w:p w14:paraId="108793A6" w14:textId="1DF39D23" w:rsidR="00D00267" w:rsidRPr="00BE53AE" w:rsidRDefault="00D00267" w:rsidP="00A27B60">
            <w:pPr>
              <w:rPr>
                <w:rFonts w:ascii="Arial" w:hAnsi="Arial" w:cs="Arial"/>
                <w:sz w:val="22"/>
                <w:szCs w:val="22"/>
              </w:rPr>
            </w:pPr>
            <w:r>
              <w:rPr>
                <w:rFonts w:ascii="Arial" w:hAnsi="Arial" w:cs="Arial"/>
                <w:sz w:val="22"/>
                <w:szCs w:val="22"/>
              </w:rPr>
              <w:t>identified a suite of reports that will feed into the HR dashboard</w:t>
            </w:r>
          </w:p>
        </w:tc>
        <w:tc>
          <w:tcPr>
            <w:tcW w:w="5244" w:type="dxa"/>
            <w:tcBorders>
              <w:top w:val="single" w:sz="4" w:space="0" w:color="auto"/>
              <w:bottom w:val="nil"/>
            </w:tcBorders>
            <w:vAlign w:val="center"/>
          </w:tcPr>
          <w:p w14:paraId="5D11014C" w14:textId="3EADCD3B" w:rsidR="001F7AE0" w:rsidRDefault="001F7AE0" w:rsidP="0064483B">
            <w:pPr>
              <w:rPr>
                <w:rFonts w:ascii="Arial" w:hAnsi="Arial" w:cs="Arial"/>
                <w:sz w:val="22"/>
                <w:szCs w:val="22"/>
              </w:rPr>
            </w:pPr>
            <w:r>
              <w:rPr>
                <w:rFonts w:ascii="Arial" w:hAnsi="Arial" w:cs="Arial"/>
                <w:sz w:val="22"/>
                <w:szCs w:val="22"/>
              </w:rPr>
              <w:t xml:space="preserve">Continue with the piece of work to </w:t>
            </w:r>
            <w:r w:rsidR="00401138">
              <w:rPr>
                <w:rFonts w:ascii="Arial" w:hAnsi="Arial" w:cs="Arial"/>
                <w:sz w:val="22"/>
                <w:szCs w:val="22"/>
              </w:rPr>
              <w:t>i</w:t>
            </w:r>
            <w:r>
              <w:rPr>
                <w:rFonts w:ascii="Arial" w:hAnsi="Arial" w:cs="Arial"/>
                <w:sz w:val="22"/>
                <w:szCs w:val="22"/>
              </w:rPr>
              <w:t>dentify gaps in data</w:t>
            </w:r>
            <w:r w:rsidR="00A27B60">
              <w:rPr>
                <w:rFonts w:ascii="Arial" w:hAnsi="Arial" w:cs="Arial"/>
                <w:sz w:val="22"/>
                <w:szCs w:val="22"/>
              </w:rPr>
              <w:t>.</w:t>
            </w:r>
          </w:p>
          <w:p w14:paraId="42B78031" w14:textId="77777777" w:rsidR="001F7AE0" w:rsidRDefault="001F7AE0" w:rsidP="0064483B">
            <w:pPr>
              <w:rPr>
                <w:rFonts w:ascii="Arial" w:hAnsi="Arial" w:cs="Arial"/>
                <w:sz w:val="22"/>
                <w:szCs w:val="22"/>
              </w:rPr>
            </w:pPr>
          </w:p>
          <w:p w14:paraId="3C3802CC" w14:textId="7B71EFFF" w:rsidR="003732E3" w:rsidRDefault="008C60BE" w:rsidP="0064483B">
            <w:pPr>
              <w:rPr>
                <w:rFonts w:ascii="Arial" w:hAnsi="Arial" w:cs="Arial"/>
                <w:sz w:val="22"/>
                <w:szCs w:val="22"/>
              </w:rPr>
            </w:pPr>
            <w:r w:rsidRPr="00BE53AE">
              <w:rPr>
                <w:rFonts w:ascii="Arial" w:hAnsi="Arial" w:cs="Arial"/>
                <w:sz w:val="22"/>
                <w:szCs w:val="22"/>
              </w:rPr>
              <w:t>Improve our reporting capability</w:t>
            </w:r>
            <w:r w:rsidR="003407DF" w:rsidRPr="00BE53AE">
              <w:rPr>
                <w:rFonts w:ascii="Arial" w:hAnsi="Arial" w:cs="Arial"/>
                <w:sz w:val="22"/>
                <w:szCs w:val="22"/>
              </w:rPr>
              <w:t xml:space="preserve"> to </w:t>
            </w:r>
            <w:r w:rsidRPr="00BE53AE">
              <w:rPr>
                <w:rFonts w:ascii="Arial" w:hAnsi="Arial" w:cs="Arial"/>
                <w:sz w:val="22"/>
                <w:szCs w:val="22"/>
              </w:rPr>
              <w:t xml:space="preserve">have </w:t>
            </w:r>
            <w:r w:rsidR="003407DF" w:rsidRPr="00BE53AE">
              <w:rPr>
                <w:rFonts w:ascii="Arial" w:hAnsi="Arial" w:cs="Arial"/>
                <w:sz w:val="22"/>
                <w:szCs w:val="22"/>
              </w:rPr>
              <w:t xml:space="preserve">data to enable some detailed analysis on </w:t>
            </w:r>
            <w:r w:rsidR="007A6663" w:rsidRPr="00BE53AE">
              <w:rPr>
                <w:rFonts w:ascii="Arial" w:hAnsi="Arial" w:cs="Arial"/>
                <w:sz w:val="22"/>
                <w:szCs w:val="22"/>
              </w:rPr>
              <w:t xml:space="preserve">the gender balance </w:t>
            </w:r>
            <w:r w:rsidRPr="00BE53AE">
              <w:rPr>
                <w:rFonts w:ascii="Arial" w:hAnsi="Arial" w:cs="Arial"/>
                <w:sz w:val="22"/>
                <w:szCs w:val="22"/>
              </w:rPr>
              <w:t>within the employee lifecy</w:t>
            </w:r>
            <w:r w:rsidR="00313B70">
              <w:rPr>
                <w:rFonts w:ascii="Arial" w:hAnsi="Arial" w:cs="Arial"/>
                <w:sz w:val="22"/>
                <w:szCs w:val="22"/>
              </w:rPr>
              <w:t>c</w:t>
            </w:r>
            <w:r w:rsidRPr="00BE53AE">
              <w:rPr>
                <w:rFonts w:ascii="Arial" w:hAnsi="Arial" w:cs="Arial"/>
                <w:sz w:val="22"/>
                <w:szCs w:val="22"/>
              </w:rPr>
              <w:t xml:space="preserve">le </w:t>
            </w:r>
            <w:proofErr w:type="spellStart"/>
            <w:r w:rsidRPr="00BE53AE">
              <w:rPr>
                <w:rFonts w:ascii="Arial" w:hAnsi="Arial" w:cs="Arial"/>
                <w:sz w:val="22"/>
                <w:szCs w:val="22"/>
              </w:rPr>
              <w:t>eg</w:t>
            </w:r>
            <w:proofErr w:type="spellEnd"/>
            <w:r w:rsidRPr="00BE53AE">
              <w:rPr>
                <w:rFonts w:ascii="Arial" w:hAnsi="Arial" w:cs="Arial"/>
                <w:sz w:val="22"/>
                <w:szCs w:val="22"/>
              </w:rPr>
              <w:t xml:space="preserve"> </w:t>
            </w:r>
            <w:r w:rsidR="007A6663" w:rsidRPr="00BE53AE">
              <w:rPr>
                <w:rFonts w:ascii="Arial" w:hAnsi="Arial" w:cs="Arial"/>
                <w:sz w:val="22"/>
                <w:szCs w:val="22"/>
              </w:rPr>
              <w:t xml:space="preserve">re. </w:t>
            </w:r>
            <w:r w:rsidR="003407DF" w:rsidRPr="00BE53AE">
              <w:rPr>
                <w:rFonts w:ascii="Arial" w:hAnsi="Arial" w:cs="Arial"/>
                <w:sz w:val="22"/>
                <w:szCs w:val="22"/>
              </w:rPr>
              <w:t xml:space="preserve">interest in posts, shortlisted candidates, successful </w:t>
            </w:r>
            <w:r w:rsidR="007A6663" w:rsidRPr="00BE53AE">
              <w:rPr>
                <w:rFonts w:ascii="Arial" w:hAnsi="Arial" w:cs="Arial"/>
                <w:sz w:val="22"/>
                <w:szCs w:val="22"/>
              </w:rPr>
              <w:t xml:space="preserve">appointed </w:t>
            </w:r>
            <w:r w:rsidR="000D5B60">
              <w:rPr>
                <w:rFonts w:ascii="Arial" w:hAnsi="Arial" w:cs="Arial"/>
                <w:sz w:val="22"/>
                <w:szCs w:val="22"/>
              </w:rPr>
              <w:t>candidates</w:t>
            </w:r>
          </w:p>
          <w:p w14:paraId="4BD02E7D" w14:textId="77777777" w:rsidR="00A558A7" w:rsidRPr="00BE53AE" w:rsidRDefault="00A558A7" w:rsidP="0064483B">
            <w:pPr>
              <w:rPr>
                <w:rFonts w:ascii="Arial" w:hAnsi="Arial" w:cs="Arial"/>
                <w:sz w:val="22"/>
                <w:szCs w:val="22"/>
              </w:rPr>
            </w:pPr>
          </w:p>
          <w:p w14:paraId="0C945E36" w14:textId="370FBDBB" w:rsidR="003657BF" w:rsidRDefault="003407DF" w:rsidP="0064483B">
            <w:pPr>
              <w:rPr>
                <w:rFonts w:ascii="Arial" w:hAnsi="Arial" w:cs="Arial"/>
                <w:sz w:val="22"/>
                <w:szCs w:val="22"/>
              </w:rPr>
            </w:pPr>
            <w:r w:rsidRPr="00BE53AE">
              <w:rPr>
                <w:rFonts w:ascii="Arial" w:hAnsi="Arial" w:cs="Arial"/>
                <w:sz w:val="22"/>
                <w:szCs w:val="22"/>
              </w:rPr>
              <w:t>Identify key areas of underrepresentation and further action</w:t>
            </w:r>
            <w:r w:rsidR="001649A7">
              <w:rPr>
                <w:rFonts w:ascii="Arial" w:hAnsi="Arial" w:cs="Arial"/>
                <w:sz w:val="22"/>
                <w:szCs w:val="22"/>
              </w:rPr>
              <w:t xml:space="preserve"> </w:t>
            </w:r>
          </w:p>
          <w:p w14:paraId="32EEE734" w14:textId="77777777" w:rsidR="00A558A7" w:rsidRPr="00BE53AE" w:rsidRDefault="00A558A7" w:rsidP="0064483B">
            <w:pPr>
              <w:rPr>
                <w:rFonts w:ascii="Arial" w:hAnsi="Arial" w:cs="Arial"/>
                <w:sz w:val="22"/>
                <w:szCs w:val="22"/>
              </w:rPr>
            </w:pPr>
          </w:p>
          <w:p w14:paraId="12288877" w14:textId="55355D14" w:rsidR="003407DF" w:rsidRPr="00BE53AE" w:rsidRDefault="001649A7" w:rsidP="0064483B">
            <w:pPr>
              <w:rPr>
                <w:rFonts w:ascii="Arial" w:hAnsi="Arial" w:cs="Arial"/>
                <w:sz w:val="22"/>
                <w:szCs w:val="22"/>
              </w:rPr>
            </w:pPr>
            <w:r>
              <w:rPr>
                <w:rFonts w:ascii="Arial" w:hAnsi="Arial" w:cs="Arial"/>
                <w:sz w:val="22"/>
                <w:szCs w:val="22"/>
              </w:rPr>
              <w:t xml:space="preserve">Continue to embed </w:t>
            </w:r>
            <w:r w:rsidR="0082207D" w:rsidRPr="00BE53AE">
              <w:rPr>
                <w:rFonts w:ascii="Arial" w:hAnsi="Arial" w:cs="Arial"/>
                <w:sz w:val="22"/>
                <w:szCs w:val="22"/>
              </w:rPr>
              <w:t>unconscious bias training</w:t>
            </w:r>
            <w:r w:rsidR="001F7AE0">
              <w:rPr>
                <w:rFonts w:ascii="Arial" w:hAnsi="Arial" w:cs="Arial"/>
                <w:sz w:val="22"/>
                <w:szCs w:val="22"/>
              </w:rPr>
              <w:t xml:space="preserve"> in our own practice and corporate training</w:t>
            </w:r>
            <w:r w:rsidR="00F5208E">
              <w:rPr>
                <w:rFonts w:ascii="Arial" w:hAnsi="Arial" w:cs="Arial"/>
                <w:sz w:val="22"/>
                <w:szCs w:val="22"/>
              </w:rPr>
              <w:t xml:space="preserve"> recruitment</w:t>
            </w:r>
            <w:r w:rsidR="001F7AE0">
              <w:rPr>
                <w:rFonts w:ascii="Arial" w:hAnsi="Arial" w:cs="Arial"/>
                <w:sz w:val="22"/>
                <w:szCs w:val="22"/>
              </w:rPr>
              <w:t xml:space="preserve"> programmes</w:t>
            </w:r>
            <w:r>
              <w:rPr>
                <w:rFonts w:ascii="Arial" w:hAnsi="Arial" w:cs="Arial"/>
                <w:sz w:val="22"/>
                <w:szCs w:val="22"/>
              </w:rPr>
              <w:t xml:space="preserve">  </w:t>
            </w:r>
          </w:p>
        </w:tc>
      </w:tr>
      <w:tr w:rsidR="001C1618" w:rsidRPr="001D39F4" w14:paraId="3B2E2735" w14:textId="77777777" w:rsidTr="00693FA0">
        <w:trPr>
          <w:trHeight w:val="510"/>
        </w:trPr>
        <w:tc>
          <w:tcPr>
            <w:tcW w:w="1702" w:type="dxa"/>
            <w:tcBorders>
              <w:top w:val="nil"/>
              <w:bottom w:val="nil"/>
            </w:tcBorders>
            <w:shd w:val="clear" w:color="auto" w:fill="D4ECFF"/>
            <w:vAlign w:val="center"/>
          </w:tcPr>
          <w:p w14:paraId="5C78BE95" w14:textId="16BCBC66" w:rsidR="001C1618" w:rsidRPr="001D39F4" w:rsidRDefault="001C1618" w:rsidP="005F2686">
            <w:pPr>
              <w:rPr>
                <w:rFonts w:ascii="Arial" w:hAnsi="Arial" w:cs="Arial"/>
                <w:b/>
                <w:sz w:val="22"/>
                <w:szCs w:val="21"/>
              </w:rPr>
            </w:pPr>
            <w:r>
              <w:lastRenderedPageBreak/>
              <w:br w:type="page"/>
            </w:r>
            <w:bookmarkStart w:id="0" w:name="_Hlk31773233"/>
            <w:r w:rsidRPr="001D39F4">
              <w:rPr>
                <w:rFonts w:ascii="Arial" w:hAnsi="Arial" w:cs="Arial"/>
                <w:b/>
                <w:sz w:val="22"/>
                <w:szCs w:val="21"/>
              </w:rPr>
              <w:t>Area of…</w:t>
            </w:r>
          </w:p>
        </w:tc>
        <w:tc>
          <w:tcPr>
            <w:tcW w:w="3969" w:type="dxa"/>
            <w:tcBorders>
              <w:top w:val="nil"/>
              <w:bottom w:val="nil"/>
            </w:tcBorders>
            <w:shd w:val="clear" w:color="auto" w:fill="8DCDE1"/>
            <w:vAlign w:val="center"/>
          </w:tcPr>
          <w:p w14:paraId="1F344893" w14:textId="01C1D980" w:rsidR="001C1618" w:rsidRPr="001D39F4" w:rsidRDefault="000D703A" w:rsidP="005F2686">
            <w:pPr>
              <w:rPr>
                <w:rFonts w:ascii="Arial" w:hAnsi="Arial" w:cs="Arial"/>
                <w:b/>
                <w:sz w:val="22"/>
                <w:szCs w:val="21"/>
              </w:rPr>
            </w:pPr>
            <w:r>
              <w:rPr>
                <w:rFonts w:ascii="Arial" w:hAnsi="Arial" w:cs="Arial"/>
                <w:b/>
                <w:sz w:val="22"/>
                <w:szCs w:val="21"/>
              </w:rPr>
              <w:t>Previously</w:t>
            </w:r>
            <w:r w:rsidR="001649A7">
              <w:rPr>
                <w:rFonts w:ascii="Arial" w:hAnsi="Arial" w:cs="Arial"/>
                <w:b/>
                <w:sz w:val="22"/>
                <w:szCs w:val="21"/>
              </w:rPr>
              <w:t xml:space="preserve"> </w:t>
            </w:r>
            <w:r w:rsidR="001C1618" w:rsidRPr="001D39F4">
              <w:rPr>
                <w:rFonts w:ascii="Arial" w:hAnsi="Arial" w:cs="Arial"/>
                <w:b/>
                <w:sz w:val="22"/>
                <w:szCs w:val="21"/>
              </w:rPr>
              <w:t>we said we would…</w:t>
            </w:r>
          </w:p>
        </w:tc>
        <w:tc>
          <w:tcPr>
            <w:tcW w:w="5103" w:type="dxa"/>
            <w:tcBorders>
              <w:top w:val="nil"/>
              <w:bottom w:val="nil"/>
            </w:tcBorders>
            <w:shd w:val="clear" w:color="auto" w:fill="8DCDE1"/>
            <w:vAlign w:val="center"/>
          </w:tcPr>
          <w:p w14:paraId="33D0FF34" w14:textId="77777777" w:rsidR="001C1618" w:rsidRPr="001D39F4" w:rsidRDefault="001C1618" w:rsidP="005F2686">
            <w:pPr>
              <w:rPr>
                <w:rFonts w:ascii="Arial" w:hAnsi="Arial" w:cs="Arial"/>
                <w:b/>
                <w:sz w:val="22"/>
                <w:szCs w:val="21"/>
              </w:rPr>
            </w:pPr>
            <w:r w:rsidRPr="001D39F4">
              <w:rPr>
                <w:rFonts w:ascii="Arial" w:hAnsi="Arial" w:cs="Arial"/>
                <w:b/>
                <w:sz w:val="22"/>
                <w:szCs w:val="21"/>
              </w:rPr>
              <w:t>So far we have…</w:t>
            </w:r>
          </w:p>
        </w:tc>
        <w:tc>
          <w:tcPr>
            <w:tcW w:w="5244" w:type="dxa"/>
            <w:tcBorders>
              <w:top w:val="nil"/>
              <w:bottom w:val="nil"/>
            </w:tcBorders>
            <w:shd w:val="clear" w:color="auto" w:fill="8DCDE1"/>
            <w:vAlign w:val="center"/>
          </w:tcPr>
          <w:p w14:paraId="73DB3286" w14:textId="04C1B16F" w:rsidR="001C1618" w:rsidRPr="001D39F4" w:rsidRDefault="001C1618" w:rsidP="005F2686">
            <w:pPr>
              <w:rPr>
                <w:rFonts w:ascii="Arial" w:hAnsi="Arial" w:cs="Arial"/>
                <w:b/>
                <w:sz w:val="22"/>
                <w:szCs w:val="21"/>
              </w:rPr>
            </w:pPr>
            <w:r w:rsidRPr="001D39F4">
              <w:rPr>
                <w:rFonts w:ascii="Arial" w:hAnsi="Arial" w:cs="Arial"/>
                <w:b/>
                <w:sz w:val="22"/>
                <w:szCs w:val="21"/>
              </w:rPr>
              <w:t>During 20</w:t>
            </w:r>
            <w:r w:rsidR="001649A7">
              <w:rPr>
                <w:rFonts w:ascii="Arial" w:hAnsi="Arial" w:cs="Arial"/>
                <w:b/>
                <w:sz w:val="22"/>
                <w:szCs w:val="21"/>
              </w:rPr>
              <w:t>2</w:t>
            </w:r>
            <w:r w:rsidR="000D703A">
              <w:rPr>
                <w:rFonts w:ascii="Arial" w:hAnsi="Arial" w:cs="Arial"/>
                <w:b/>
                <w:sz w:val="22"/>
                <w:szCs w:val="21"/>
              </w:rPr>
              <w:t>1</w:t>
            </w:r>
            <w:r w:rsidRPr="001D39F4">
              <w:rPr>
                <w:rFonts w:ascii="Arial" w:hAnsi="Arial" w:cs="Arial"/>
                <w:b/>
                <w:sz w:val="22"/>
                <w:szCs w:val="21"/>
              </w:rPr>
              <w:t xml:space="preserve"> we will…</w:t>
            </w:r>
          </w:p>
        </w:tc>
      </w:tr>
      <w:tr w:rsidR="003732E3" w:rsidRPr="001D39F4" w14:paraId="413CCFAC" w14:textId="77777777" w:rsidTr="00693FA0">
        <w:trPr>
          <w:trHeight w:val="4003"/>
        </w:trPr>
        <w:tc>
          <w:tcPr>
            <w:tcW w:w="1702" w:type="dxa"/>
            <w:tcBorders>
              <w:top w:val="nil"/>
              <w:bottom w:val="nil"/>
            </w:tcBorders>
            <w:shd w:val="clear" w:color="auto" w:fill="D4ECFF"/>
            <w:vAlign w:val="center"/>
          </w:tcPr>
          <w:p w14:paraId="74A2DEB6" w14:textId="77777777" w:rsidR="003732E3" w:rsidRPr="001D39F4" w:rsidRDefault="003732E3" w:rsidP="0064483B">
            <w:pPr>
              <w:rPr>
                <w:rFonts w:ascii="Arial" w:hAnsi="Arial" w:cs="Arial"/>
                <w:b/>
                <w:sz w:val="22"/>
                <w:szCs w:val="21"/>
              </w:rPr>
            </w:pPr>
            <w:r w:rsidRPr="001D39F4">
              <w:rPr>
                <w:rFonts w:ascii="Arial" w:hAnsi="Arial" w:cs="Arial"/>
                <w:b/>
                <w:sz w:val="22"/>
                <w:szCs w:val="21"/>
              </w:rPr>
              <w:t>Development</w:t>
            </w:r>
          </w:p>
        </w:tc>
        <w:tc>
          <w:tcPr>
            <w:tcW w:w="3969" w:type="dxa"/>
            <w:tcBorders>
              <w:top w:val="nil"/>
              <w:bottom w:val="single" w:sz="4" w:space="0" w:color="auto"/>
            </w:tcBorders>
            <w:vAlign w:val="center"/>
          </w:tcPr>
          <w:p w14:paraId="2746F0BE" w14:textId="77777777" w:rsidR="003732E3" w:rsidRPr="001D39F4" w:rsidRDefault="008D42B9" w:rsidP="0064483B">
            <w:pPr>
              <w:rPr>
                <w:rFonts w:ascii="Arial" w:hAnsi="Arial" w:cs="Arial"/>
                <w:sz w:val="22"/>
                <w:szCs w:val="21"/>
              </w:rPr>
            </w:pPr>
            <w:r w:rsidRPr="001D39F4">
              <w:rPr>
                <w:rFonts w:ascii="Arial" w:hAnsi="Arial" w:cs="Arial"/>
                <w:sz w:val="22"/>
                <w:szCs w:val="21"/>
              </w:rPr>
              <w:t>analyse</w:t>
            </w:r>
            <w:r w:rsidR="003732E3" w:rsidRPr="001D39F4">
              <w:rPr>
                <w:rFonts w:ascii="Arial" w:hAnsi="Arial" w:cs="Arial"/>
                <w:sz w:val="22"/>
                <w:szCs w:val="21"/>
              </w:rPr>
              <w:t xml:space="preserve"> the upper and upper middle quartiles to identify any barriers indicated by the differential to enable targeted action</w:t>
            </w:r>
          </w:p>
        </w:tc>
        <w:tc>
          <w:tcPr>
            <w:tcW w:w="5103" w:type="dxa"/>
            <w:tcBorders>
              <w:top w:val="nil"/>
              <w:bottom w:val="single" w:sz="4" w:space="0" w:color="auto"/>
            </w:tcBorders>
            <w:vAlign w:val="center"/>
          </w:tcPr>
          <w:p w14:paraId="678E6FFA" w14:textId="6F89A3F4" w:rsidR="008D42B9" w:rsidRPr="009046EA" w:rsidRDefault="008D42B9" w:rsidP="0064483B">
            <w:pPr>
              <w:rPr>
                <w:rFonts w:ascii="Arial" w:hAnsi="Arial" w:cs="Arial"/>
                <w:sz w:val="22"/>
                <w:szCs w:val="22"/>
              </w:rPr>
            </w:pPr>
            <w:r w:rsidRPr="009046EA">
              <w:rPr>
                <w:rFonts w:ascii="Arial" w:hAnsi="Arial" w:cs="Arial"/>
                <w:sz w:val="22"/>
                <w:szCs w:val="22"/>
              </w:rPr>
              <w:t>p</w:t>
            </w:r>
            <w:r w:rsidR="00A61540" w:rsidRPr="009046EA">
              <w:rPr>
                <w:rFonts w:ascii="Arial" w:hAnsi="Arial" w:cs="Arial"/>
                <w:sz w:val="22"/>
                <w:szCs w:val="22"/>
              </w:rPr>
              <w:t>romote</w:t>
            </w:r>
            <w:r w:rsidRPr="009046EA">
              <w:rPr>
                <w:rFonts w:ascii="Arial" w:hAnsi="Arial" w:cs="Arial"/>
                <w:sz w:val="22"/>
                <w:szCs w:val="22"/>
              </w:rPr>
              <w:t>d</w:t>
            </w:r>
            <w:r w:rsidR="00A61540" w:rsidRPr="009046EA">
              <w:rPr>
                <w:rFonts w:ascii="Arial" w:hAnsi="Arial" w:cs="Arial"/>
                <w:sz w:val="22"/>
                <w:szCs w:val="22"/>
              </w:rPr>
              <w:t xml:space="preserve"> career development within the workforce</w:t>
            </w:r>
            <w:r w:rsidRPr="009046EA">
              <w:rPr>
                <w:rFonts w:ascii="Arial" w:hAnsi="Arial" w:cs="Arial"/>
                <w:sz w:val="22"/>
                <w:szCs w:val="22"/>
              </w:rPr>
              <w:t xml:space="preserve"> </w:t>
            </w:r>
            <w:r w:rsidR="00313B70">
              <w:rPr>
                <w:rFonts w:ascii="Arial" w:hAnsi="Arial" w:cs="Arial"/>
                <w:sz w:val="22"/>
                <w:szCs w:val="22"/>
              </w:rPr>
              <w:t>through;</w:t>
            </w:r>
            <w:r w:rsidRPr="009046EA">
              <w:rPr>
                <w:rFonts w:ascii="Arial" w:hAnsi="Arial" w:cs="Arial"/>
                <w:sz w:val="22"/>
                <w:szCs w:val="22"/>
              </w:rPr>
              <w:t>-</w:t>
            </w:r>
          </w:p>
          <w:p w14:paraId="5E6ACA8C" w14:textId="77777777" w:rsidR="00A558A7" w:rsidRPr="009046EA" w:rsidRDefault="00A558A7" w:rsidP="0064483B">
            <w:pPr>
              <w:rPr>
                <w:rFonts w:ascii="Arial" w:hAnsi="Arial" w:cs="Arial"/>
                <w:sz w:val="22"/>
                <w:szCs w:val="22"/>
              </w:rPr>
            </w:pPr>
          </w:p>
          <w:p w14:paraId="5F37EE9F" w14:textId="2CC27094" w:rsidR="000D4A5F" w:rsidRPr="009046EA" w:rsidRDefault="00057C48" w:rsidP="0064483B">
            <w:pPr>
              <w:rPr>
                <w:rFonts w:ascii="Arial" w:hAnsi="Arial" w:cs="Arial"/>
                <w:sz w:val="22"/>
                <w:szCs w:val="22"/>
              </w:rPr>
            </w:pPr>
            <w:r w:rsidRPr="009046EA">
              <w:rPr>
                <w:rFonts w:ascii="Arial" w:hAnsi="Arial" w:cs="Arial"/>
                <w:sz w:val="22"/>
                <w:szCs w:val="22"/>
              </w:rPr>
              <w:t>in total</w:t>
            </w:r>
            <w:r w:rsidR="00313B70">
              <w:rPr>
                <w:rFonts w:ascii="Arial" w:hAnsi="Arial" w:cs="Arial"/>
                <w:sz w:val="22"/>
                <w:szCs w:val="22"/>
              </w:rPr>
              <w:t>,</w:t>
            </w:r>
            <w:r w:rsidRPr="009046EA">
              <w:rPr>
                <w:rFonts w:ascii="Arial" w:hAnsi="Arial" w:cs="Arial"/>
                <w:sz w:val="22"/>
                <w:szCs w:val="22"/>
              </w:rPr>
              <w:t xml:space="preserve"> </w:t>
            </w:r>
            <w:r w:rsidR="005E34DD" w:rsidRPr="009046EA">
              <w:rPr>
                <w:rFonts w:ascii="Arial" w:hAnsi="Arial" w:cs="Arial"/>
                <w:sz w:val="22"/>
                <w:szCs w:val="22"/>
              </w:rPr>
              <w:t xml:space="preserve">supported </w:t>
            </w:r>
            <w:r w:rsidRPr="009046EA">
              <w:rPr>
                <w:rFonts w:ascii="Arial" w:hAnsi="Arial" w:cs="Arial"/>
                <w:sz w:val="22"/>
                <w:szCs w:val="22"/>
              </w:rPr>
              <w:t xml:space="preserve">12 </w:t>
            </w:r>
            <w:r w:rsidR="005E34DD" w:rsidRPr="009046EA">
              <w:rPr>
                <w:rFonts w:ascii="Arial" w:hAnsi="Arial" w:cs="Arial"/>
                <w:sz w:val="22"/>
                <w:szCs w:val="22"/>
              </w:rPr>
              <w:t>s</w:t>
            </w:r>
            <w:r w:rsidR="003732E3" w:rsidRPr="009046EA">
              <w:rPr>
                <w:rFonts w:ascii="Arial" w:hAnsi="Arial" w:cs="Arial"/>
                <w:sz w:val="22"/>
                <w:szCs w:val="22"/>
              </w:rPr>
              <w:t>enior female employees through the Springboard Development Plus - Senior Women’s Development Programme</w:t>
            </w:r>
            <w:r w:rsidR="005E34DD" w:rsidRPr="009046EA">
              <w:rPr>
                <w:rFonts w:ascii="Arial" w:hAnsi="Arial" w:cs="Arial"/>
                <w:sz w:val="22"/>
                <w:szCs w:val="22"/>
              </w:rPr>
              <w:t xml:space="preserve"> (in partnership with local public sector organisations)</w:t>
            </w:r>
            <w:r w:rsidR="003732E3" w:rsidRPr="009046EA">
              <w:rPr>
                <w:rFonts w:ascii="Arial" w:hAnsi="Arial" w:cs="Arial"/>
                <w:sz w:val="22"/>
                <w:szCs w:val="22"/>
              </w:rPr>
              <w:t>.  This programme is aimed at women managers in middle management posts and above and who are seeking the opportunity to consider and explore career aspirations in more senior posts and there has been high positive feedback</w:t>
            </w:r>
          </w:p>
          <w:p w14:paraId="36E9EBE6" w14:textId="470BAE25" w:rsidR="00D725D3" w:rsidRPr="009046EA" w:rsidRDefault="00D725D3" w:rsidP="0064483B">
            <w:pPr>
              <w:rPr>
                <w:rFonts w:ascii="Arial" w:hAnsi="Arial" w:cs="Arial"/>
                <w:sz w:val="22"/>
                <w:szCs w:val="22"/>
              </w:rPr>
            </w:pPr>
          </w:p>
          <w:p w14:paraId="083AD9FC" w14:textId="0D5CE651" w:rsidR="00D725D3" w:rsidRDefault="009A080D" w:rsidP="00D725D3">
            <w:pPr>
              <w:rPr>
                <w:rFonts w:ascii="Arial" w:hAnsi="Arial" w:cs="Arial"/>
                <w:sz w:val="22"/>
                <w:szCs w:val="22"/>
              </w:rPr>
            </w:pPr>
            <w:r>
              <w:rPr>
                <w:rFonts w:ascii="Arial" w:hAnsi="Arial" w:cs="Arial"/>
                <w:sz w:val="22"/>
                <w:szCs w:val="22"/>
              </w:rPr>
              <w:t>Since Feb 2019 we have supported 12 senior managers on the Level 7 MBA programmes across 3 cohorts, 6 were female.  Of those females, 2 left the Council on promotion to other organisations and are continuing with their MBA. 1 left the programme early.  3 others are still on the programme with the council.  We also support another female from a Primary School on this level programme who will shortly be transferring to an Academy.</w:t>
            </w:r>
          </w:p>
          <w:p w14:paraId="3FFC67AD" w14:textId="77777777" w:rsidR="009A080D" w:rsidRPr="009046EA" w:rsidRDefault="009A080D" w:rsidP="00D725D3">
            <w:pPr>
              <w:rPr>
                <w:rFonts w:ascii="Arial" w:hAnsi="Arial" w:cs="Arial"/>
                <w:sz w:val="22"/>
                <w:szCs w:val="22"/>
              </w:rPr>
            </w:pPr>
          </w:p>
          <w:p w14:paraId="54C94667" w14:textId="058390AE" w:rsidR="00D725D3" w:rsidRPr="009046EA" w:rsidRDefault="00D725D3" w:rsidP="00D725D3">
            <w:pPr>
              <w:rPr>
                <w:rFonts w:ascii="Arial" w:hAnsi="Arial" w:cs="Arial"/>
                <w:sz w:val="22"/>
                <w:szCs w:val="22"/>
              </w:rPr>
            </w:pPr>
            <w:r w:rsidRPr="009046EA">
              <w:rPr>
                <w:rFonts w:ascii="Arial" w:hAnsi="Arial" w:cs="Arial"/>
                <w:sz w:val="22"/>
                <w:szCs w:val="22"/>
              </w:rPr>
              <w:t>supported a new cohort of Management Diploma Level 3 (5 female and 3 male ) and Level 5 (9 female and 2 male)  started May 2019</w:t>
            </w:r>
          </w:p>
          <w:p w14:paraId="489EBD8D" w14:textId="77777777" w:rsidR="00D725D3" w:rsidRPr="009046EA" w:rsidRDefault="00D725D3" w:rsidP="00D725D3">
            <w:pPr>
              <w:rPr>
                <w:rFonts w:ascii="Arial" w:hAnsi="Arial" w:cs="Arial"/>
                <w:sz w:val="22"/>
                <w:szCs w:val="22"/>
              </w:rPr>
            </w:pPr>
          </w:p>
          <w:p w14:paraId="6DBA9032" w14:textId="77777777" w:rsidR="001649A7" w:rsidRDefault="00D725D3" w:rsidP="00A27B60">
            <w:pPr>
              <w:rPr>
                <w:rFonts w:ascii="Arial" w:hAnsi="Arial" w:cs="Arial"/>
                <w:sz w:val="22"/>
                <w:szCs w:val="22"/>
              </w:rPr>
            </w:pPr>
            <w:r w:rsidRPr="009046EA">
              <w:rPr>
                <w:rFonts w:ascii="Arial" w:hAnsi="Arial" w:cs="Arial"/>
                <w:sz w:val="22"/>
                <w:szCs w:val="22"/>
              </w:rPr>
              <w:t>supported a new cohort of Project Manager Level 4 Apprenticeships. 13 due to commence, 10 females and 3 males</w:t>
            </w:r>
          </w:p>
          <w:p w14:paraId="4F8D4396" w14:textId="77777777" w:rsidR="00EE63F9" w:rsidRDefault="00EE63F9" w:rsidP="00A27B60">
            <w:pPr>
              <w:rPr>
                <w:rFonts w:ascii="Arial" w:hAnsi="Arial" w:cs="Arial"/>
                <w:sz w:val="22"/>
                <w:szCs w:val="22"/>
              </w:rPr>
            </w:pPr>
          </w:p>
          <w:p w14:paraId="722F5467" w14:textId="77777777" w:rsidR="00EE63F9" w:rsidRDefault="00EE63F9" w:rsidP="00A27B60">
            <w:pPr>
              <w:rPr>
                <w:rFonts w:ascii="Arial" w:hAnsi="Arial" w:cs="Arial"/>
                <w:sz w:val="22"/>
                <w:szCs w:val="22"/>
              </w:rPr>
            </w:pPr>
          </w:p>
          <w:p w14:paraId="6F4E4175" w14:textId="77777777" w:rsidR="00EE63F9" w:rsidRDefault="00EE63F9" w:rsidP="00A27B60">
            <w:pPr>
              <w:rPr>
                <w:rFonts w:ascii="Arial" w:hAnsi="Arial" w:cs="Arial"/>
                <w:sz w:val="22"/>
                <w:szCs w:val="22"/>
              </w:rPr>
            </w:pPr>
          </w:p>
          <w:p w14:paraId="2467DEC0" w14:textId="77777777" w:rsidR="00EE63F9" w:rsidRDefault="00EE63F9" w:rsidP="00A27B60">
            <w:pPr>
              <w:rPr>
                <w:rFonts w:ascii="Arial" w:hAnsi="Arial" w:cs="Arial"/>
                <w:sz w:val="22"/>
                <w:szCs w:val="22"/>
              </w:rPr>
            </w:pPr>
          </w:p>
          <w:p w14:paraId="41E938F2" w14:textId="2832154C" w:rsidR="00EE63F9" w:rsidRPr="009046EA" w:rsidRDefault="00EE63F9" w:rsidP="00A27B60">
            <w:pPr>
              <w:rPr>
                <w:rFonts w:ascii="Arial" w:hAnsi="Arial" w:cs="Arial"/>
                <w:sz w:val="22"/>
                <w:szCs w:val="22"/>
              </w:rPr>
            </w:pPr>
          </w:p>
        </w:tc>
        <w:tc>
          <w:tcPr>
            <w:tcW w:w="5244" w:type="dxa"/>
            <w:tcBorders>
              <w:top w:val="nil"/>
              <w:bottom w:val="single" w:sz="4" w:space="0" w:color="auto"/>
            </w:tcBorders>
            <w:vAlign w:val="center"/>
          </w:tcPr>
          <w:p w14:paraId="2B3A7ED2" w14:textId="1DC4A08E" w:rsidR="003732E3" w:rsidRDefault="00D725D3" w:rsidP="0064483B">
            <w:pPr>
              <w:rPr>
                <w:rFonts w:ascii="Arial" w:hAnsi="Arial" w:cs="Arial"/>
                <w:sz w:val="22"/>
                <w:szCs w:val="22"/>
              </w:rPr>
            </w:pPr>
            <w:r w:rsidRPr="009046EA">
              <w:rPr>
                <w:rFonts w:ascii="Arial" w:hAnsi="Arial" w:cs="Arial"/>
                <w:sz w:val="22"/>
                <w:szCs w:val="22"/>
              </w:rPr>
              <w:t xml:space="preserve">support </w:t>
            </w:r>
            <w:r w:rsidR="003732E3" w:rsidRPr="009046EA">
              <w:rPr>
                <w:rFonts w:ascii="Arial" w:hAnsi="Arial" w:cs="Arial"/>
                <w:sz w:val="22"/>
                <w:szCs w:val="22"/>
              </w:rPr>
              <w:t xml:space="preserve">a further cohort of the Springboard Development Plus programme </w:t>
            </w:r>
            <w:r w:rsidR="00510BA2" w:rsidRPr="009046EA">
              <w:rPr>
                <w:rFonts w:ascii="Arial" w:hAnsi="Arial" w:cs="Arial"/>
                <w:sz w:val="22"/>
                <w:szCs w:val="22"/>
              </w:rPr>
              <w:t xml:space="preserve">for women, </w:t>
            </w:r>
            <w:r w:rsidR="003732E3" w:rsidRPr="009046EA">
              <w:rPr>
                <w:rFonts w:ascii="Arial" w:hAnsi="Arial" w:cs="Arial"/>
                <w:sz w:val="22"/>
                <w:szCs w:val="22"/>
              </w:rPr>
              <w:t xml:space="preserve">with a further </w:t>
            </w:r>
            <w:r w:rsidRPr="009046EA">
              <w:rPr>
                <w:rFonts w:ascii="Arial" w:hAnsi="Arial" w:cs="Arial"/>
                <w:sz w:val="22"/>
                <w:szCs w:val="22"/>
              </w:rPr>
              <w:t xml:space="preserve">4 </w:t>
            </w:r>
            <w:r w:rsidR="003732E3" w:rsidRPr="009046EA">
              <w:rPr>
                <w:rFonts w:ascii="Arial" w:hAnsi="Arial" w:cs="Arial"/>
                <w:sz w:val="22"/>
                <w:szCs w:val="22"/>
              </w:rPr>
              <w:t xml:space="preserve">B&amp;NES employees signed up for the </w:t>
            </w:r>
            <w:r w:rsidRPr="009046EA">
              <w:rPr>
                <w:rFonts w:ascii="Arial" w:hAnsi="Arial" w:cs="Arial"/>
                <w:sz w:val="22"/>
                <w:szCs w:val="22"/>
              </w:rPr>
              <w:t>April 2020</w:t>
            </w:r>
            <w:r w:rsidR="003732E3" w:rsidRPr="009046EA">
              <w:rPr>
                <w:rFonts w:ascii="Arial" w:hAnsi="Arial" w:cs="Arial"/>
                <w:sz w:val="22"/>
                <w:szCs w:val="22"/>
              </w:rPr>
              <w:t xml:space="preserve"> co</w:t>
            </w:r>
            <w:r w:rsidR="000D5B60" w:rsidRPr="009046EA">
              <w:rPr>
                <w:rFonts w:ascii="Arial" w:hAnsi="Arial" w:cs="Arial"/>
                <w:sz w:val="22"/>
                <w:szCs w:val="22"/>
              </w:rPr>
              <w:t>hort</w:t>
            </w:r>
            <w:r w:rsidR="00EF76AA">
              <w:rPr>
                <w:rFonts w:ascii="Arial" w:hAnsi="Arial" w:cs="Arial"/>
                <w:sz w:val="22"/>
                <w:szCs w:val="22"/>
              </w:rPr>
              <w:t xml:space="preserve">.  The programme was delayed to Sept due to </w:t>
            </w:r>
            <w:proofErr w:type="spellStart"/>
            <w:r w:rsidR="00EF76AA">
              <w:rPr>
                <w:rFonts w:ascii="Arial" w:hAnsi="Arial" w:cs="Arial"/>
                <w:sz w:val="22"/>
                <w:szCs w:val="22"/>
              </w:rPr>
              <w:t>Covid</w:t>
            </w:r>
            <w:proofErr w:type="spellEnd"/>
            <w:r w:rsidR="00EF76AA">
              <w:rPr>
                <w:rFonts w:ascii="Arial" w:hAnsi="Arial" w:cs="Arial"/>
                <w:sz w:val="22"/>
                <w:szCs w:val="22"/>
              </w:rPr>
              <w:t xml:space="preserve">.  We have 4 on the programme. We </w:t>
            </w:r>
            <w:r w:rsidR="00E7438B">
              <w:rPr>
                <w:rFonts w:ascii="Arial" w:hAnsi="Arial" w:cs="Arial"/>
                <w:sz w:val="22"/>
                <w:szCs w:val="22"/>
              </w:rPr>
              <w:t xml:space="preserve">will </w:t>
            </w:r>
            <w:r w:rsidR="00EF76AA">
              <w:rPr>
                <w:rFonts w:ascii="Arial" w:hAnsi="Arial" w:cs="Arial"/>
                <w:sz w:val="22"/>
                <w:szCs w:val="22"/>
              </w:rPr>
              <w:t>support future programmes locally.</w:t>
            </w:r>
          </w:p>
          <w:p w14:paraId="6671676F" w14:textId="2799F181" w:rsidR="00EF76AA" w:rsidRDefault="00EF76AA" w:rsidP="0064483B">
            <w:pPr>
              <w:rPr>
                <w:rFonts w:ascii="Arial" w:hAnsi="Arial" w:cs="Arial"/>
                <w:sz w:val="22"/>
                <w:szCs w:val="22"/>
              </w:rPr>
            </w:pPr>
          </w:p>
          <w:p w14:paraId="57D2B615" w14:textId="49A023C3" w:rsidR="00EF76AA" w:rsidRDefault="00EF76AA" w:rsidP="0064483B">
            <w:pPr>
              <w:rPr>
                <w:rFonts w:ascii="Arial" w:hAnsi="Arial" w:cs="Arial"/>
                <w:sz w:val="22"/>
                <w:szCs w:val="22"/>
              </w:rPr>
            </w:pPr>
          </w:p>
          <w:p w14:paraId="5C45DFFA" w14:textId="7FAE50A9" w:rsidR="00EF76AA" w:rsidRDefault="00EF76AA" w:rsidP="0064483B">
            <w:pPr>
              <w:rPr>
                <w:rFonts w:ascii="Arial" w:hAnsi="Arial" w:cs="Arial"/>
                <w:sz w:val="22"/>
                <w:szCs w:val="22"/>
              </w:rPr>
            </w:pPr>
          </w:p>
          <w:p w14:paraId="5D59513D" w14:textId="452220A7" w:rsidR="00EF76AA" w:rsidRDefault="00EF76AA" w:rsidP="0064483B">
            <w:pPr>
              <w:rPr>
                <w:rFonts w:ascii="Arial" w:hAnsi="Arial" w:cs="Arial"/>
                <w:sz w:val="22"/>
                <w:szCs w:val="22"/>
              </w:rPr>
            </w:pPr>
          </w:p>
          <w:p w14:paraId="36466263" w14:textId="64ADD3FF" w:rsidR="00EF76AA" w:rsidRDefault="00EF76AA" w:rsidP="009A713C">
            <w:pPr>
              <w:rPr>
                <w:rFonts w:ascii="Arial" w:hAnsi="Arial" w:cs="Arial"/>
                <w:sz w:val="22"/>
                <w:szCs w:val="22"/>
              </w:rPr>
            </w:pPr>
            <w:r>
              <w:rPr>
                <w:rFonts w:ascii="Arial" w:hAnsi="Arial" w:cs="Arial"/>
                <w:sz w:val="22"/>
                <w:szCs w:val="22"/>
              </w:rPr>
              <w:t xml:space="preserve">Have one female manager on a Level 6 Chartered Manager Degree Apprenticeship.  2 x female managers on the level 5 Diploma </w:t>
            </w:r>
            <w:proofErr w:type="spellStart"/>
            <w:r>
              <w:rPr>
                <w:rFonts w:ascii="Arial" w:hAnsi="Arial" w:cs="Arial"/>
                <w:sz w:val="22"/>
                <w:szCs w:val="22"/>
              </w:rPr>
              <w:t>progamme</w:t>
            </w:r>
            <w:proofErr w:type="spellEnd"/>
            <w:r>
              <w:rPr>
                <w:rFonts w:ascii="Arial" w:hAnsi="Arial" w:cs="Arial"/>
                <w:sz w:val="22"/>
                <w:szCs w:val="22"/>
              </w:rPr>
              <w:t xml:space="preserve"> (and one male)</w:t>
            </w:r>
          </w:p>
          <w:p w14:paraId="1D7FE135" w14:textId="66F80941" w:rsidR="00EF76AA" w:rsidRDefault="00EF76AA" w:rsidP="009A713C">
            <w:pPr>
              <w:rPr>
                <w:rFonts w:ascii="Arial" w:hAnsi="Arial" w:cs="Arial"/>
                <w:sz w:val="22"/>
                <w:szCs w:val="22"/>
              </w:rPr>
            </w:pPr>
          </w:p>
          <w:p w14:paraId="5487F421" w14:textId="64F40D13" w:rsidR="00EF76AA" w:rsidRDefault="00EF76AA" w:rsidP="009A713C">
            <w:pPr>
              <w:rPr>
                <w:rFonts w:ascii="Arial" w:hAnsi="Arial" w:cs="Arial"/>
                <w:sz w:val="22"/>
                <w:szCs w:val="22"/>
              </w:rPr>
            </w:pPr>
            <w:r>
              <w:rPr>
                <w:rFonts w:ascii="Arial" w:hAnsi="Arial" w:cs="Arial"/>
                <w:sz w:val="22"/>
                <w:szCs w:val="22"/>
              </w:rPr>
              <w:t>1 female started a level 7 Town Planning Apprenticeship with UWE (no male comparison)</w:t>
            </w:r>
          </w:p>
          <w:p w14:paraId="095EC6D5" w14:textId="342EF66A" w:rsidR="00EF76AA" w:rsidRDefault="00EF76AA" w:rsidP="009A713C">
            <w:pPr>
              <w:rPr>
                <w:rFonts w:ascii="Arial" w:hAnsi="Arial" w:cs="Arial"/>
                <w:sz w:val="22"/>
                <w:szCs w:val="22"/>
              </w:rPr>
            </w:pPr>
            <w:r>
              <w:rPr>
                <w:rFonts w:ascii="Arial" w:hAnsi="Arial" w:cs="Arial"/>
                <w:sz w:val="22"/>
                <w:szCs w:val="22"/>
              </w:rPr>
              <w:t>1 female started a level 6 Chartered Legal Executive (no male comparison)</w:t>
            </w:r>
          </w:p>
          <w:p w14:paraId="73629628" w14:textId="77777777" w:rsidR="00EF76AA" w:rsidRPr="009046EA" w:rsidRDefault="00EF76AA" w:rsidP="009A713C">
            <w:pPr>
              <w:rPr>
                <w:rFonts w:ascii="Arial" w:hAnsi="Arial" w:cs="Arial"/>
                <w:sz w:val="22"/>
                <w:szCs w:val="22"/>
              </w:rPr>
            </w:pPr>
          </w:p>
          <w:p w14:paraId="64007EF2" w14:textId="35A65C73" w:rsidR="00847465" w:rsidRPr="00716D51" w:rsidRDefault="00847465" w:rsidP="00693FA0">
            <w:pPr>
              <w:shd w:val="clear" w:color="auto" w:fill="FFFFFF"/>
              <w:spacing w:before="100" w:beforeAutospacing="1" w:after="100" w:afterAutospacing="1"/>
              <w:rPr>
                <w:rFonts w:ascii="Arial" w:hAnsi="Arial" w:cs="Arial"/>
                <w:color w:val="041C2C"/>
                <w:sz w:val="22"/>
                <w:szCs w:val="22"/>
              </w:rPr>
            </w:pPr>
            <w:r w:rsidRPr="00716D51">
              <w:rPr>
                <w:rFonts w:ascii="Arial" w:hAnsi="Arial" w:cs="Arial"/>
                <w:color w:val="041C2C"/>
                <w:sz w:val="22"/>
                <w:szCs w:val="22"/>
              </w:rPr>
              <w:t>menopause staff support group established and a development of a managers training package</w:t>
            </w:r>
            <w:r w:rsidR="00527207">
              <w:rPr>
                <w:rFonts w:ascii="Arial" w:hAnsi="Arial" w:cs="Arial"/>
                <w:color w:val="041C2C"/>
                <w:sz w:val="22"/>
                <w:szCs w:val="22"/>
              </w:rPr>
              <w:t xml:space="preserve"> (40 females attended </w:t>
            </w:r>
            <w:r w:rsidR="00527207" w:rsidRPr="00035CA1">
              <w:rPr>
                <w:rFonts w:ascii="Arial" w:hAnsi="Arial" w:cs="Arial"/>
                <w:i/>
                <w:iCs/>
                <w:color w:val="041C2C"/>
                <w:sz w:val="22"/>
                <w:szCs w:val="22"/>
              </w:rPr>
              <w:t>Menopause Awareness</w:t>
            </w:r>
            <w:r w:rsidR="00527207">
              <w:rPr>
                <w:rFonts w:ascii="Arial" w:hAnsi="Arial" w:cs="Arial"/>
                <w:color w:val="041C2C"/>
                <w:sz w:val="22"/>
                <w:szCs w:val="22"/>
              </w:rPr>
              <w:t xml:space="preserve"> session, 24 managers attended Managers session (4 males) 19 male employees attended </w:t>
            </w:r>
            <w:r w:rsidR="00527207" w:rsidRPr="00527207">
              <w:rPr>
                <w:rFonts w:ascii="Arial" w:hAnsi="Arial" w:cs="Arial"/>
                <w:i/>
                <w:iCs/>
                <w:color w:val="041C2C"/>
                <w:sz w:val="22"/>
                <w:szCs w:val="22"/>
              </w:rPr>
              <w:t>Men:</w:t>
            </w:r>
            <w:r w:rsidR="00035CA1">
              <w:rPr>
                <w:rFonts w:ascii="Arial" w:hAnsi="Arial" w:cs="Arial"/>
                <w:i/>
                <w:iCs/>
                <w:color w:val="041C2C"/>
                <w:sz w:val="22"/>
                <w:szCs w:val="22"/>
              </w:rPr>
              <w:t xml:space="preserve"> L</w:t>
            </w:r>
            <w:r w:rsidR="00527207" w:rsidRPr="00527207">
              <w:rPr>
                <w:rFonts w:ascii="Arial" w:hAnsi="Arial" w:cs="Arial"/>
                <w:i/>
                <w:iCs/>
                <w:color w:val="041C2C"/>
                <w:sz w:val="22"/>
                <w:szCs w:val="22"/>
              </w:rPr>
              <w:t xml:space="preserve">et’s talk menopause </w:t>
            </w:r>
            <w:r w:rsidR="00527207">
              <w:rPr>
                <w:rFonts w:ascii="Arial" w:hAnsi="Arial" w:cs="Arial"/>
                <w:color w:val="041C2C"/>
                <w:sz w:val="22"/>
                <w:szCs w:val="22"/>
              </w:rPr>
              <w:t>June 2021</w:t>
            </w:r>
          </w:p>
          <w:p w14:paraId="1AC7031D" w14:textId="674DE7CF" w:rsidR="00EE63F9" w:rsidRPr="00716D51" w:rsidRDefault="00EE63F9" w:rsidP="00EE63F9">
            <w:pPr>
              <w:shd w:val="clear" w:color="auto" w:fill="FFFFFF"/>
              <w:spacing w:before="100" w:beforeAutospacing="1" w:after="100" w:afterAutospacing="1"/>
              <w:rPr>
                <w:rFonts w:ascii="Arial" w:hAnsi="Arial" w:cs="Arial"/>
                <w:color w:val="041C2C"/>
                <w:sz w:val="22"/>
                <w:szCs w:val="22"/>
              </w:rPr>
            </w:pPr>
            <w:r>
              <w:rPr>
                <w:rFonts w:ascii="Arial" w:hAnsi="Arial" w:cs="Arial"/>
                <w:color w:val="041C2C"/>
                <w:sz w:val="22"/>
                <w:szCs w:val="22"/>
              </w:rPr>
              <w:t>3 successful candidates for the 1 year Stepping Up programme (a diversity leadership development programme) 2 female, 1 male - started April 2021</w:t>
            </w:r>
          </w:p>
          <w:p w14:paraId="505FAEBE" w14:textId="7D8D07DE" w:rsidR="009A713C" w:rsidRPr="009046EA" w:rsidRDefault="009A713C" w:rsidP="0064483B">
            <w:pPr>
              <w:rPr>
                <w:rFonts w:ascii="Arial" w:hAnsi="Arial" w:cs="Arial"/>
                <w:sz w:val="22"/>
                <w:szCs w:val="22"/>
              </w:rPr>
            </w:pPr>
          </w:p>
          <w:p w14:paraId="7E200F22" w14:textId="77777777" w:rsidR="00A558A7" w:rsidRPr="009046EA" w:rsidRDefault="00A558A7" w:rsidP="0064483B">
            <w:pPr>
              <w:rPr>
                <w:rFonts w:ascii="Arial" w:hAnsi="Arial" w:cs="Arial"/>
                <w:sz w:val="22"/>
                <w:szCs w:val="22"/>
              </w:rPr>
            </w:pPr>
          </w:p>
          <w:p w14:paraId="10E1CB31" w14:textId="2923DD29" w:rsidR="003732E3" w:rsidRPr="009046EA" w:rsidRDefault="003732E3" w:rsidP="005E34DD">
            <w:pPr>
              <w:rPr>
                <w:rFonts w:ascii="Arial" w:hAnsi="Arial" w:cs="Arial"/>
                <w:sz w:val="22"/>
                <w:szCs w:val="22"/>
              </w:rPr>
            </w:pPr>
          </w:p>
        </w:tc>
      </w:tr>
      <w:bookmarkEnd w:id="0"/>
      <w:tr w:rsidR="003732E3" w:rsidRPr="001D39F4" w14:paraId="47342E00" w14:textId="77777777" w:rsidTr="00693FA0">
        <w:tc>
          <w:tcPr>
            <w:tcW w:w="1702" w:type="dxa"/>
            <w:tcBorders>
              <w:top w:val="nil"/>
              <w:bottom w:val="nil"/>
            </w:tcBorders>
            <w:shd w:val="clear" w:color="auto" w:fill="D4ECFF"/>
            <w:vAlign w:val="center"/>
          </w:tcPr>
          <w:p w14:paraId="54F7CE27" w14:textId="77777777" w:rsidR="003732E3" w:rsidRPr="001D39F4" w:rsidRDefault="003732E3" w:rsidP="0064483B">
            <w:pPr>
              <w:rPr>
                <w:rFonts w:ascii="Arial" w:hAnsi="Arial" w:cs="Arial"/>
                <w:b/>
                <w:sz w:val="22"/>
                <w:szCs w:val="21"/>
              </w:rPr>
            </w:pPr>
            <w:r w:rsidRPr="001D39F4">
              <w:rPr>
                <w:rFonts w:ascii="Arial" w:hAnsi="Arial" w:cs="Arial"/>
                <w:b/>
                <w:sz w:val="22"/>
                <w:szCs w:val="21"/>
              </w:rPr>
              <w:lastRenderedPageBreak/>
              <w:t>Managing Change</w:t>
            </w:r>
          </w:p>
        </w:tc>
        <w:tc>
          <w:tcPr>
            <w:tcW w:w="3969" w:type="dxa"/>
            <w:tcBorders>
              <w:top w:val="single" w:sz="4" w:space="0" w:color="auto"/>
              <w:bottom w:val="single" w:sz="4" w:space="0" w:color="auto"/>
            </w:tcBorders>
            <w:vAlign w:val="center"/>
          </w:tcPr>
          <w:p w14:paraId="41AC91BF" w14:textId="77777777" w:rsidR="003732E3" w:rsidRPr="001D39F4" w:rsidRDefault="008D42B9" w:rsidP="0064483B">
            <w:pPr>
              <w:rPr>
                <w:rFonts w:ascii="Arial" w:hAnsi="Arial" w:cs="Arial"/>
                <w:sz w:val="22"/>
                <w:szCs w:val="21"/>
              </w:rPr>
            </w:pPr>
            <w:r w:rsidRPr="001D39F4">
              <w:rPr>
                <w:rFonts w:ascii="Arial" w:hAnsi="Arial" w:cs="Arial"/>
                <w:sz w:val="22"/>
                <w:szCs w:val="21"/>
              </w:rPr>
              <w:t>m</w:t>
            </w:r>
            <w:r w:rsidR="003732E3" w:rsidRPr="001D39F4">
              <w:rPr>
                <w:rFonts w:ascii="Arial" w:hAnsi="Arial" w:cs="Arial"/>
                <w:sz w:val="22"/>
                <w:szCs w:val="21"/>
              </w:rPr>
              <w:t>onitor the effects and any associated risks on gender equality of the Council’s planned change programme</w:t>
            </w:r>
          </w:p>
        </w:tc>
        <w:tc>
          <w:tcPr>
            <w:tcW w:w="5103" w:type="dxa"/>
            <w:tcBorders>
              <w:top w:val="single" w:sz="4" w:space="0" w:color="auto"/>
              <w:bottom w:val="single" w:sz="4" w:space="0" w:color="auto"/>
            </w:tcBorders>
            <w:vAlign w:val="center"/>
          </w:tcPr>
          <w:p w14:paraId="14603597" w14:textId="77777777" w:rsidR="00510BA2" w:rsidRPr="001D39F4" w:rsidRDefault="005E34DD" w:rsidP="0064483B">
            <w:pPr>
              <w:rPr>
                <w:rFonts w:ascii="Arial" w:hAnsi="Arial" w:cs="Arial"/>
                <w:sz w:val="22"/>
                <w:szCs w:val="21"/>
              </w:rPr>
            </w:pPr>
            <w:r>
              <w:rPr>
                <w:rFonts w:ascii="Arial" w:hAnsi="Arial" w:cs="Arial"/>
                <w:sz w:val="22"/>
                <w:szCs w:val="21"/>
              </w:rPr>
              <w:t>a</w:t>
            </w:r>
            <w:r w:rsidR="00510BA2" w:rsidRPr="001D39F4">
              <w:rPr>
                <w:rFonts w:ascii="Arial" w:hAnsi="Arial" w:cs="Arial"/>
                <w:sz w:val="22"/>
                <w:szCs w:val="21"/>
              </w:rPr>
              <w:t>ssessed the impact of the 2018 VR programme where 54 volunteers accepted for redundancy, 35 female and 19 male (65% female and 35% male) which closely matched our gender workforce ratio</w:t>
            </w:r>
          </w:p>
        </w:tc>
        <w:tc>
          <w:tcPr>
            <w:tcW w:w="5244" w:type="dxa"/>
            <w:tcBorders>
              <w:top w:val="single" w:sz="4" w:space="0" w:color="auto"/>
              <w:bottom w:val="single" w:sz="4" w:space="0" w:color="auto"/>
            </w:tcBorders>
            <w:vAlign w:val="center"/>
          </w:tcPr>
          <w:p w14:paraId="49F4963B" w14:textId="77777777" w:rsidR="003732E3" w:rsidRPr="001D39F4" w:rsidRDefault="00510BA2" w:rsidP="0064483B">
            <w:pPr>
              <w:rPr>
                <w:rFonts w:ascii="Arial" w:hAnsi="Arial" w:cs="Arial"/>
                <w:sz w:val="22"/>
                <w:szCs w:val="21"/>
              </w:rPr>
            </w:pPr>
            <w:r w:rsidRPr="001D39F4">
              <w:rPr>
                <w:rFonts w:ascii="Arial" w:hAnsi="Arial" w:cs="Arial"/>
                <w:sz w:val="22"/>
                <w:szCs w:val="21"/>
              </w:rPr>
              <w:t>continue with workforce monitoring</w:t>
            </w:r>
            <w:r w:rsidR="00F05716" w:rsidRPr="001D39F4">
              <w:rPr>
                <w:rFonts w:ascii="Arial" w:hAnsi="Arial" w:cs="Arial"/>
                <w:sz w:val="22"/>
                <w:szCs w:val="21"/>
              </w:rPr>
              <w:t xml:space="preserve"> analysis in relation to</w:t>
            </w:r>
            <w:r w:rsidR="009311E0" w:rsidRPr="001D39F4">
              <w:rPr>
                <w:rFonts w:ascii="Arial" w:hAnsi="Arial" w:cs="Arial"/>
                <w:sz w:val="22"/>
                <w:szCs w:val="21"/>
              </w:rPr>
              <w:t xml:space="preserve"> change programme</w:t>
            </w:r>
            <w:r w:rsidRPr="001D39F4">
              <w:rPr>
                <w:rFonts w:ascii="Arial" w:hAnsi="Arial" w:cs="Arial"/>
                <w:sz w:val="22"/>
                <w:szCs w:val="21"/>
              </w:rPr>
              <w:t>s</w:t>
            </w:r>
          </w:p>
        </w:tc>
      </w:tr>
      <w:tr w:rsidR="003732E3" w:rsidRPr="001D39F4" w14:paraId="684A7609" w14:textId="77777777" w:rsidTr="00693FA0">
        <w:trPr>
          <w:trHeight w:val="3340"/>
        </w:trPr>
        <w:tc>
          <w:tcPr>
            <w:tcW w:w="1702" w:type="dxa"/>
            <w:tcBorders>
              <w:top w:val="nil"/>
              <w:bottom w:val="single" w:sz="4" w:space="0" w:color="auto"/>
            </w:tcBorders>
            <w:shd w:val="clear" w:color="auto" w:fill="D4ECFF"/>
            <w:vAlign w:val="center"/>
          </w:tcPr>
          <w:p w14:paraId="37D5844D" w14:textId="77777777" w:rsidR="003732E3" w:rsidRPr="001D39F4" w:rsidRDefault="003732E3" w:rsidP="0064483B">
            <w:pPr>
              <w:rPr>
                <w:rFonts w:ascii="Arial" w:hAnsi="Arial" w:cs="Arial"/>
                <w:b/>
                <w:sz w:val="22"/>
                <w:szCs w:val="21"/>
              </w:rPr>
            </w:pPr>
            <w:r w:rsidRPr="001D39F4">
              <w:rPr>
                <w:rFonts w:ascii="Arial" w:hAnsi="Arial" w:cs="Arial"/>
                <w:b/>
                <w:sz w:val="22"/>
                <w:szCs w:val="21"/>
              </w:rPr>
              <w:t>Flexible Working</w:t>
            </w:r>
          </w:p>
        </w:tc>
        <w:tc>
          <w:tcPr>
            <w:tcW w:w="3969" w:type="dxa"/>
            <w:tcBorders>
              <w:top w:val="single" w:sz="4" w:space="0" w:color="auto"/>
              <w:bottom w:val="single" w:sz="4" w:space="0" w:color="auto"/>
            </w:tcBorders>
            <w:vAlign w:val="center"/>
          </w:tcPr>
          <w:p w14:paraId="154150B2" w14:textId="77777777" w:rsidR="003732E3" w:rsidRPr="001D39F4" w:rsidRDefault="008D42B9" w:rsidP="0064483B">
            <w:pPr>
              <w:rPr>
                <w:rFonts w:ascii="Arial" w:hAnsi="Arial" w:cs="Arial"/>
                <w:sz w:val="22"/>
                <w:szCs w:val="21"/>
              </w:rPr>
            </w:pPr>
            <w:r w:rsidRPr="001D39F4">
              <w:rPr>
                <w:rFonts w:ascii="Arial" w:hAnsi="Arial" w:cs="Arial"/>
                <w:sz w:val="22"/>
                <w:szCs w:val="21"/>
              </w:rPr>
              <w:t>analyse</w:t>
            </w:r>
            <w:r w:rsidR="003732E3" w:rsidRPr="001D39F4">
              <w:rPr>
                <w:rFonts w:ascii="Arial" w:hAnsi="Arial" w:cs="Arial"/>
                <w:sz w:val="22"/>
                <w:szCs w:val="21"/>
              </w:rPr>
              <w:t xml:space="preserve"> the impact of the gender prevalence of part time working associated with lower rates of pay and the pay gap between the average hourly rate of men who work full time and the average hourly rate of women who work part time</w:t>
            </w:r>
          </w:p>
          <w:p w14:paraId="05C18486" w14:textId="77777777" w:rsidR="00A558A7" w:rsidRPr="001D39F4" w:rsidRDefault="00A558A7" w:rsidP="0064483B">
            <w:pPr>
              <w:rPr>
                <w:rFonts w:ascii="Arial" w:hAnsi="Arial" w:cs="Arial"/>
                <w:sz w:val="22"/>
                <w:szCs w:val="21"/>
              </w:rPr>
            </w:pPr>
          </w:p>
          <w:p w14:paraId="6C05C392" w14:textId="77777777" w:rsidR="00C3006E" w:rsidRPr="001D39F4" w:rsidRDefault="005E34DD" w:rsidP="005E34DD">
            <w:pPr>
              <w:rPr>
                <w:rFonts w:ascii="Arial" w:hAnsi="Arial" w:cs="Arial"/>
                <w:sz w:val="22"/>
                <w:szCs w:val="21"/>
              </w:rPr>
            </w:pPr>
            <w:r>
              <w:rPr>
                <w:rFonts w:ascii="Arial" w:hAnsi="Arial" w:cs="Arial"/>
                <w:sz w:val="22"/>
                <w:szCs w:val="21"/>
              </w:rPr>
              <w:t>analyse</w:t>
            </w:r>
            <w:r w:rsidR="00C3006E" w:rsidRPr="001D39F4">
              <w:rPr>
                <w:rFonts w:ascii="Arial" w:hAnsi="Arial" w:cs="Arial"/>
                <w:sz w:val="22"/>
                <w:szCs w:val="21"/>
              </w:rPr>
              <w:t xml:space="preserve"> the breakdown </w:t>
            </w:r>
            <w:r>
              <w:rPr>
                <w:rFonts w:ascii="Arial" w:hAnsi="Arial" w:cs="Arial"/>
                <w:sz w:val="22"/>
                <w:szCs w:val="21"/>
              </w:rPr>
              <w:t>by</w:t>
            </w:r>
            <w:r w:rsidR="00C3006E" w:rsidRPr="001D39F4">
              <w:rPr>
                <w:rFonts w:ascii="Arial" w:hAnsi="Arial" w:cs="Arial"/>
                <w:sz w:val="22"/>
                <w:szCs w:val="21"/>
              </w:rPr>
              <w:t xml:space="preserve"> gender of take-up of part-time and flexible working, at senior levels in B&amp;NES Council</w:t>
            </w:r>
          </w:p>
        </w:tc>
        <w:tc>
          <w:tcPr>
            <w:tcW w:w="5103" w:type="dxa"/>
            <w:tcBorders>
              <w:top w:val="single" w:sz="4" w:space="0" w:color="auto"/>
              <w:bottom w:val="single" w:sz="4" w:space="0" w:color="auto"/>
            </w:tcBorders>
            <w:vAlign w:val="center"/>
          </w:tcPr>
          <w:p w14:paraId="342CAF67" w14:textId="77777777" w:rsidR="003732E3" w:rsidRPr="001D39F4" w:rsidRDefault="005E34DD" w:rsidP="0064483B">
            <w:pPr>
              <w:rPr>
                <w:rFonts w:ascii="Arial" w:hAnsi="Arial" w:cs="Arial"/>
                <w:sz w:val="22"/>
                <w:szCs w:val="21"/>
              </w:rPr>
            </w:pPr>
            <w:r>
              <w:rPr>
                <w:rFonts w:ascii="Arial" w:hAnsi="Arial" w:cs="Arial"/>
                <w:sz w:val="22"/>
                <w:szCs w:val="21"/>
              </w:rPr>
              <w:t>undertaken</w:t>
            </w:r>
            <w:r w:rsidR="00A408C9" w:rsidRPr="001D39F4">
              <w:rPr>
                <w:rFonts w:ascii="Arial" w:hAnsi="Arial" w:cs="Arial"/>
                <w:sz w:val="22"/>
                <w:szCs w:val="21"/>
              </w:rPr>
              <w:t xml:space="preserve"> a project</w:t>
            </w:r>
            <w:r w:rsidR="000D5B60">
              <w:rPr>
                <w:rFonts w:ascii="Arial" w:hAnsi="Arial" w:cs="Arial"/>
                <w:sz w:val="22"/>
                <w:szCs w:val="21"/>
              </w:rPr>
              <w:t xml:space="preserve"> (within HR&amp;OD)</w:t>
            </w:r>
            <w:r w:rsidR="00A408C9" w:rsidRPr="001D39F4">
              <w:rPr>
                <w:rFonts w:ascii="Arial" w:hAnsi="Arial" w:cs="Arial"/>
                <w:sz w:val="22"/>
                <w:szCs w:val="21"/>
              </w:rPr>
              <w:t xml:space="preserve"> which produced some useful findings re. attitudes within the organisation to </w:t>
            </w:r>
            <w:r w:rsidR="000D5B60">
              <w:rPr>
                <w:rFonts w:ascii="Arial" w:hAnsi="Arial" w:cs="Arial"/>
                <w:sz w:val="22"/>
                <w:szCs w:val="21"/>
              </w:rPr>
              <w:t>working remotely</w:t>
            </w:r>
          </w:p>
          <w:p w14:paraId="3151C388" w14:textId="77777777" w:rsidR="00A558A7" w:rsidRPr="001D39F4" w:rsidRDefault="00A558A7" w:rsidP="0064483B">
            <w:pPr>
              <w:rPr>
                <w:rFonts w:ascii="Arial" w:hAnsi="Arial" w:cs="Arial"/>
                <w:sz w:val="22"/>
                <w:szCs w:val="21"/>
              </w:rPr>
            </w:pPr>
          </w:p>
          <w:p w14:paraId="28C70C54" w14:textId="77777777" w:rsidR="00A61540" w:rsidRPr="001D39F4" w:rsidRDefault="005E34DD" w:rsidP="0064483B">
            <w:pPr>
              <w:rPr>
                <w:rFonts w:ascii="Arial" w:hAnsi="Arial" w:cs="Arial"/>
                <w:sz w:val="22"/>
                <w:szCs w:val="21"/>
              </w:rPr>
            </w:pPr>
            <w:r>
              <w:rPr>
                <w:rFonts w:ascii="Arial" w:hAnsi="Arial" w:cs="Arial"/>
                <w:sz w:val="22"/>
                <w:szCs w:val="21"/>
              </w:rPr>
              <w:t>p</w:t>
            </w:r>
            <w:r w:rsidR="008C60BE" w:rsidRPr="001D39F4">
              <w:rPr>
                <w:rFonts w:ascii="Arial" w:hAnsi="Arial" w:cs="Arial"/>
                <w:sz w:val="22"/>
                <w:szCs w:val="21"/>
              </w:rPr>
              <w:t>ublicised a welcome for flexible working requests</w:t>
            </w:r>
            <w:r w:rsidR="00A61540" w:rsidRPr="001D39F4">
              <w:rPr>
                <w:rFonts w:ascii="Arial" w:hAnsi="Arial" w:cs="Arial"/>
                <w:sz w:val="22"/>
                <w:szCs w:val="21"/>
              </w:rPr>
              <w:t xml:space="preserve"> on every advert</w:t>
            </w:r>
          </w:p>
          <w:p w14:paraId="7730B6C6" w14:textId="77777777" w:rsidR="00A558A7" w:rsidRPr="001D39F4" w:rsidRDefault="00A558A7" w:rsidP="0064483B">
            <w:pPr>
              <w:rPr>
                <w:rFonts w:ascii="Arial" w:hAnsi="Arial" w:cs="Arial"/>
                <w:sz w:val="22"/>
                <w:szCs w:val="21"/>
              </w:rPr>
            </w:pPr>
          </w:p>
          <w:p w14:paraId="22E0B5FA" w14:textId="77777777" w:rsidR="00A558A7" w:rsidRDefault="005E34DD" w:rsidP="0064483B">
            <w:pPr>
              <w:rPr>
                <w:rFonts w:ascii="Arial" w:hAnsi="Arial" w:cs="Arial"/>
                <w:sz w:val="22"/>
                <w:szCs w:val="21"/>
              </w:rPr>
            </w:pPr>
            <w:r>
              <w:rPr>
                <w:rFonts w:ascii="Arial" w:hAnsi="Arial" w:cs="Arial"/>
                <w:sz w:val="22"/>
                <w:szCs w:val="21"/>
              </w:rPr>
              <w:t>p</w:t>
            </w:r>
            <w:r w:rsidR="00A61540" w:rsidRPr="001D39F4">
              <w:rPr>
                <w:rFonts w:ascii="Arial" w:hAnsi="Arial" w:cs="Arial"/>
                <w:sz w:val="22"/>
                <w:szCs w:val="21"/>
              </w:rPr>
              <w:t>romote</w:t>
            </w:r>
            <w:r w:rsidR="003657BF" w:rsidRPr="001D39F4">
              <w:rPr>
                <w:rFonts w:ascii="Arial" w:hAnsi="Arial" w:cs="Arial"/>
                <w:sz w:val="22"/>
                <w:szCs w:val="21"/>
              </w:rPr>
              <w:t>d</w:t>
            </w:r>
            <w:r w:rsidR="00A61540" w:rsidRPr="001D39F4">
              <w:rPr>
                <w:rFonts w:ascii="Arial" w:hAnsi="Arial" w:cs="Arial"/>
                <w:sz w:val="22"/>
                <w:szCs w:val="21"/>
              </w:rPr>
              <w:t xml:space="preserve"> flexible working ethos specifically within recruitment and selection tr</w:t>
            </w:r>
            <w:r w:rsidR="000D5B60">
              <w:rPr>
                <w:rFonts w:ascii="Arial" w:hAnsi="Arial" w:cs="Arial"/>
                <w:sz w:val="22"/>
                <w:szCs w:val="21"/>
              </w:rPr>
              <w:t>aining and at Council induction</w:t>
            </w:r>
          </w:p>
          <w:p w14:paraId="21B20EF7" w14:textId="77777777" w:rsidR="000D5B60" w:rsidRPr="001D39F4" w:rsidRDefault="000D5B60" w:rsidP="0064483B">
            <w:pPr>
              <w:rPr>
                <w:rFonts w:ascii="Arial" w:hAnsi="Arial" w:cs="Arial"/>
                <w:sz w:val="22"/>
                <w:szCs w:val="21"/>
              </w:rPr>
            </w:pPr>
          </w:p>
          <w:p w14:paraId="305AFAB2" w14:textId="54506CCC" w:rsidR="00A61540" w:rsidRDefault="005E34DD" w:rsidP="0064483B">
            <w:pPr>
              <w:rPr>
                <w:rFonts w:ascii="Arial" w:hAnsi="Arial" w:cs="Arial"/>
                <w:sz w:val="22"/>
                <w:szCs w:val="21"/>
              </w:rPr>
            </w:pPr>
            <w:r>
              <w:rPr>
                <w:rFonts w:ascii="Arial" w:hAnsi="Arial" w:cs="Arial"/>
                <w:sz w:val="22"/>
                <w:szCs w:val="21"/>
              </w:rPr>
              <w:t>u</w:t>
            </w:r>
            <w:r w:rsidR="003657BF" w:rsidRPr="001D39F4">
              <w:rPr>
                <w:rFonts w:ascii="Arial" w:hAnsi="Arial" w:cs="Arial"/>
                <w:sz w:val="22"/>
                <w:szCs w:val="21"/>
              </w:rPr>
              <w:t>ndertaken some a</w:t>
            </w:r>
            <w:r w:rsidR="00C3006E" w:rsidRPr="001D39F4">
              <w:rPr>
                <w:rFonts w:ascii="Arial" w:hAnsi="Arial" w:cs="Arial"/>
                <w:sz w:val="22"/>
                <w:szCs w:val="21"/>
              </w:rPr>
              <w:t>nalysis on part time/full time ratios within the quartiles</w:t>
            </w:r>
          </w:p>
          <w:p w14:paraId="2C6AAC5F" w14:textId="13637F52" w:rsidR="009A0586" w:rsidRDefault="009A0586" w:rsidP="0064483B">
            <w:pPr>
              <w:rPr>
                <w:rFonts w:ascii="Arial" w:hAnsi="Arial" w:cs="Arial"/>
                <w:sz w:val="22"/>
                <w:szCs w:val="21"/>
              </w:rPr>
            </w:pPr>
          </w:p>
          <w:p w14:paraId="6B183937" w14:textId="15D6498F" w:rsidR="009A0586" w:rsidRDefault="009A0586" w:rsidP="0064483B">
            <w:pPr>
              <w:rPr>
                <w:rFonts w:ascii="Arial" w:hAnsi="Arial" w:cs="Arial"/>
                <w:sz w:val="22"/>
                <w:szCs w:val="21"/>
              </w:rPr>
            </w:pPr>
            <w:r>
              <w:rPr>
                <w:rFonts w:ascii="Arial" w:hAnsi="Arial" w:cs="Arial"/>
                <w:sz w:val="22"/>
                <w:szCs w:val="21"/>
              </w:rPr>
              <w:t>undertaken a staff engagement survey which includes the topic of flexible working</w:t>
            </w:r>
          </w:p>
          <w:p w14:paraId="7EB09AE9" w14:textId="12DB12BB" w:rsidR="001649A7" w:rsidRDefault="001649A7" w:rsidP="0064483B">
            <w:pPr>
              <w:rPr>
                <w:rFonts w:ascii="Arial" w:hAnsi="Arial" w:cs="Arial"/>
                <w:sz w:val="22"/>
                <w:szCs w:val="21"/>
              </w:rPr>
            </w:pPr>
          </w:p>
          <w:p w14:paraId="796A56AA" w14:textId="7EF13812" w:rsidR="00A27B60" w:rsidRDefault="00A27B60" w:rsidP="0064483B">
            <w:pPr>
              <w:rPr>
                <w:rFonts w:ascii="Arial" w:hAnsi="Arial" w:cs="Arial"/>
                <w:sz w:val="22"/>
                <w:szCs w:val="21"/>
              </w:rPr>
            </w:pPr>
            <w:r>
              <w:rPr>
                <w:rFonts w:ascii="Arial" w:hAnsi="Arial" w:cs="Arial"/>
                <w:sz w:val="22"/>
                <w:szCs w:val="21"/>
              </w:rPr>
              <w:t>Linked with Bath Spa University to support their students in a research project in strategies being adopted to reduce the gender pay gap</w:t>
            </w:r>
          </w:p>
          <w:p w14:paraId="46F4D6B9" w14:textId="2D505A9A" w:rsidR="001649A7" w:rsidRPr="001D39F4" w:rsidRDefault="001649A7" w:rsidP="0064483B">
            <w:pPr>
              <w:rPr>
                <w:rFonts w:ascii="Arial" w:hAnsi="Arial" w:cs="Arial"/>
                <w:sz w:val="22"/>
                <w:szCs w:val="21"/>
              </w:rPr>
            </w:pPr>
          </w:p>
        </w:tc>
        <w:tc>
          <w:tcPr>
            <w:tcW w:w="5244" w:type="dxa"/>
            <w:tcBorders>
              <w:top w:val="single" w:sz="4" w:space="0" w:color="auto"/>
              <w:bottom w:val="single" w:sz="4" w:space="0" w:color="auto"/>
            </w:tcBorders>
            <w:vAlign w:val="center"/>
          </w:tcPr>
          <w:p w14:paraId="39DE4B81" w14:textId="2A7799E2" w:rsidR="00F05716" w:rsidRPr="001D39F4" w:rsidRDefault="00F05716" w:rsidP="0064483B">
            <w:pPr>
              <w:rPr>
                <w:rFonts w:ascii="Arial" w:hAnsi="Arial" w:cs="Arial"/>
                <w:sz w:val="22"/>
                <w:szCs w:val="21"/>
              </w:rPr>
            </w:pPr>
            <w:r w:rsidRPr="001D39F4">
              <w:rPr>
                <w:rFonts w:ascii="Arial" w:hAnsi="Arial" w:cs="Arial"/>
                <w:sz w:val="22"/>
                <w:szCs w:val="21"/>
              </w:rPr>
              <w:t>continue to promote flexible working – particularly within Managers @My</w:t>
            </w:r>
            <w:r w:rsidR="000D5B60">
              <w:rPr>
                <w:rFonts w:ascii="Arial" w:hAnsi="Arial" w:cs="Arial"/>
                <w:sz w:val="22"/>
                <w:szCs w:val="21"/>
              </w:rPr>
              <w:t>Best essential managers package</w:t>
            </w:r>
            <w:r w:rsidR="00AB50AF">
              <w:rPr>
                <w:rFonts w:ascii="Arial" w:hAnsi="Arial" w:cs="Arial"/>
                <w:sz w:val="22"/>
                <w:szCs w:val="21"/>
              </w:rPr>
              <w:t xml:space="preserve"> and as part of the wider Preparing for the Future programme</w:t>
            </w:r>
          </w:p>
          <w:p w14:paraId="2003549B" w14:textId="77777777" w:rsidR="00A558A7" w:rsidRPr="001D39F4" w:rsidRDefault="00A558A7" w:rsidP="0064483B">
            <w:pPr>
              <w:rPr>
                <w:rFonts w:ascii="Arial" w:hAnsi="Arial" w:cs="Arial"/>
                <w:sz w:val="22"/>
                <w:szCs w:val="21"/>
              </w:rPr>
            </w:pPr>
          </w:p>
          <w:p w14:paraId="0FAB01D5" w14:textId="77777777" w:rsidR="00A558A7" w:rsidRPr="001D39F4" w:rsidRDefault="00A558A7" w:rsidP="0064483B">
            <w:pPr>
              <w:rPr>
                <w:rFonts w:ascii="Arial" w:hAnsi="Arial" w:cs="Arial"/>
                <w:sz w:val="22"/>
                <w:szCs w:val="21"/>
              </w:rPr>
            </w:pPr>
          </w:p>
          <w:p w14:paraId="4EDAA333" w14:textId="41CFC0C5" w:rsidR="002324C3" w:rsidRDefault="001649A7" w:rsidP="0064483B">
            <w:pPr>
              <w:rPr>
                <w:rFonts w:ascii="Arial" w:hAnsi="Arial" w:cs="Arial"/>
                <w:sz w:val="22"/>
                <w:szCs w:val="21"/>
              </w:rPr>
            </w:pPr>
            <w:r>
              <w:rPr>
                <w:rFonts w:ascii="Arial" w:hAnsi="Arial" w:cs="Arial"/>
                <w:sz w:val="22"/>
                <w:szCs w:val="21"/>
              </w:rPr>
              <w:t>review</w:t>
            </w:r>
            <w:r w:rsidR="003657BF" w:rsidRPr="001D39F4">
              <w:rPr>
                <w:rFonts w:ascii="Arial" w:hAnsi="Arial" w:cs="Arial"/>
                <w:sz w:val="22"/>
                <w:szCs w:val="21"/>
              </w:rPr>
              <w:t xml:space="preserve"> Staff Engagement survey</w:t>
            </w:r>
            <w:r>
              <w:rPr>
                <w:rFonts w:ascii="Arial" w:hAnsi="Arial" w:cs="Arial"/>
                <w:sz w:val="22"/>
                <w:szCs w:val="21"/>
              </w:rPr>
              <w:t xml:space="preserve"> results</w:t>
            </w:r>
            <w:r w:rsidR="003657BF" w:rsidRPr="001D39F4">
              <w:rPr>
                <w:rFonts w:ascii="Arial" w:hAnsi="Arial" w:cs="Arial"/>
                <w:sz w:val="22"/>
                <w:szCs w:val="21"/>
              </w:rPr>
              <w:t xml:space="preserve"> to understand barriers to flexible working</w:t>
            </w:r>
          </w:p>
          <w:p w14:paraId="4D477696" w14:textId="499D3900" w:rsidR="00E7438B" w:rsidRDefault="00E7438B" w:rsidP="0064483B">
            <w:pPr>
              <w:rPr>
                <w:rFonts w:ascii="Arial" w:hAnsi="Arial" w:cs="Arial"/>
                <w:sz w:val="22"/>
                <w:szCs w:val="21"/>
              </w:rPr>
            </w:pPr>
          </w:p>
          <w:p w14:paraId="2FA08D0B" w14:textId="03239F6C" w:rsidR="00E7438B" w:rsidRDefault="00E7438B" w:rsidP="0064483B">
            <w:pPr>
              <w:rPr>
                <w:rFonts w:ascii="Arial" w:hAnsi="Arial" w:cs="Arial"/>
                <w:sz w:val="22"/>
                <w:szCs w:val="21"/>
              </w:rPr>
            </w:pPr>
            <w:r>
              <w:rPr>
                <w:rFonts w:ascii="Arial" w:hAnsi="Arial" w:cs="Arial"/>
                <w:sz w:val="22"/>
                <w:szCs w:val="21"/>
              </w:rPr>
              <w:t>Introduce Blended Working Charter as part of Preparing for the Future and new ways of working post-</w:t>
            </w:r>
            <w:proofErr w:type="spellStart"/>
            <w:r>
              <w:rPr>
                <w:rFonts w:ascii="Arial" w:hAnsi="Arial" w:cs="Arial"/>
                <w:sz w:val="22"/>
                <w:szCs w:val="21"/>
              </w:rPr>
              <w:t>Covid</w:t>
            </w:r>
            <w:proofErr w:type="spellEnd"/>
          </w:p>
          <w:p w14:paraId="6E867A34" w14:textId="77777777" w:rsidR="00A27B60" w:rsidRDefault="00A27B60" w:rsidP="0064483B">
            <w:pPr>
              <w:rPr>
                <w:rFonts w:ascii="Arial" w:hAnsi="Arial" w:cs="Arial"/>
                <w:sz w:val="22"/>
                <w:szCs w:val="21"/>
              </w:rPr>
            </w:pPr>
          </w:p>
          <w:p w14:paraId="2E720C31" w14:textId="36D0F64E" w:rsidR="00A27B60" w:rsidRPr="001D39F4" w:rsidRDefault="00A27B60" w:rsidP="0064483B">
            <w:pPr>
              <w:rPr>
                <w:rFonts w:ascii="Arial" w:hAnsi="Arial" w:cs="Arial"/>
                <w:sz w:val="22"/>
                <w:szCs w:val="21"/>
              </w:rPr>
            </w:pPr>
          </w:p>
        </w:tc>
      </w:tr>
    </w:tbl>
    <w:p w14:paraId="0B9F26FE" w14:textId="77777777" w:rsidR="00FF5204" w:rsidRDefault="00FF5204" w:rsidP="00ED239A">
      <w:pPr>
        <w:rPr>
          <w:rFonts w:ascii="Arial" w:hAnsi="Arial" w:cs="Arial"/>
          <w:sz w:val="24"/>
          <w:szCs w:val="24"/>
          <w:highlight w:val="yellow"/>
        </w:rPr>
      </w:pPr>
    </w:p>
    <w:sectPr w:rsidR="00FF5204" w:rsidSect="005E34DD">
      <w:pgSz w:w="16834" w:h="11909" w:orient="landscape" w:code="9"/>
      <w:pgMar w:top="425" w:right="1440" w:bottom="170" w:left="1134" w:header="709" w:footer="39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4CAE6" w14:textId="77777777" w:rsidR="008D5B60" w:rsidRDefault="008D5B60" w:rsidP="00EF2D06">
      <w:r>
        <w:separator/>
      </w:r>
    </w:p>
  </w:endnote>
  <w:endnote w:type="continuationSeparator" w:id="0">
    <w:p w14:paraId="5726919F" w14:textId="77777777" w:rsidR="008D5B60" w:rsidRDefault="008D5B60" w:rsidP="00EF2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7729066"/>
      <w:docPartObj>
        <w:docPartGallery w:val="Page Numbers (Bottom of Page)"/>
        <w:docPartUnique/>
      </w:docPartObj>
    </w:sdtPr>
    <w:sdtEndPr>
      <w:rPr>
        <w:noProof/>
      </w:rPr>
    </w:sdtEndPr>
    <w:sdtContent>
      <w:p w14:paraId="21B43368" w14:textId="77777777" w:rsidR="00E7438B" w:rsidRDefault="00E7438B">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1924E41E" w14:textId="77777777" w:rsidR="00E7438B" w:rsidRDefault="00E743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BD35E" w14:textId="7F1B6F43" w:rsidR="00E7438B" w:rsidRDefault="00E7438B">
    <w:pPr>
      <w:pStyle w:val="Footer"/>
    </w:pPr>
    <w:r w:rsidRPr="00EA0226">
      <w:rPr>
        <w:noProof/>
      </w:rPr>
      <mc:AlternateContent>
        <mc:Choice Requires="wps">
          <w:drawing>
            <wp:anchor distT="0" distB="0" distL="114300" distR="114300" simplePos="0" relativeHeight="251658240" behindDoc="0" locked="0" layoutInCell="1" allowOverlap="1" wp14:anchorId="24227206" wp14:editId="587D1E2E">
              <wp:simplePos x="0" y="0"/>
              <wp:positionH relativeFrom="column">
                <wp:posOffset>5347335</wp:posOffset>
              </wp:positionH>
              <wp:positionV relativeFrom="paragraph">
                <wp:posOffset>594995</wp:posOffset>
              </wp:positionV>
              <wp:extent cx="1079500" cy="1079500"/>
              <wp:effectExtent l="0" t="0" r="6350" b="6350"/>
              <wp:wrapNone/>
              <wp:docPr id="5" name="Right Triangle 5"/>
              <wp:cNvGraphicFramePr/>
              <a:graphic xmlns:a="http://schemas.openxmlformats.org/drawingml/2006/main">
                <a:graphicData uri="http://schemas.microsoft.com/office/word/2010/wordprocessingShape">
                  <wps:wsp>
                    <wps:cNvSpPr/>
                    <wps:spPr>
                      <a:xfrm rot="5400000">
                        <a:off x="0" y="0"/>
                        <a:ext cx="1079500" cy="1079500"/>
                      </a:xfrm>
                      <a:prstGeom prst="rtTriangle">
                        <a:avLst/>
                      </a:prstGeom>
                      <a:solidFill>
                        <a:srgbClr val="7BAF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362ACB" id="_x0000_t6" coordsize="21600,21600" o:spt="6" path="m,l,21600r21600,xe">
              <v:stroke joinstyle="miter"/>
              <v:path gradientshapeok="t" o:connecttype="custom" o:connectlocs="0,0;0,10800;0,21600;10800,21600;21600,21600;10800,10800" textboxrect="1800,12600,12600,19800"/>
            </v:shapetype>
            <v:shape id="Right Triangle 5" o:spid="_x0000_s1026" type="#_x0000_t6" style="position:absolute;margin-left:421.05pt;margin-top:46.85pt;width:85pt;height:8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" fillcolor="#7bafd4"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66B6C" w14:textId="77777777" w:rsidR="008D5B60" w:rsidRDefault="008D5B60" w:rsidP="00EF2D06">
      <w:r>
        <w:separator/>
      </w:r>
    </w:p>
  </w:footnote>
  <w:footnote w:type="continuationSeparator" w:id="0">
    <w:p w14:paraId="3EB351DF" w14:textId="77777777" w:rsidR="008D5B60" w:rsidRDefault="008D5B60" w:rsidP="00EF2D06">
      <w:r>
        <w:continuationSeparator/>
      </w:r>
    </w:p>
  </w:footnote>
  <w:footnote w:id="1">
    <w:p w14:paraId="52FBA7EC" w14:textId="4B99A86F" w:rsidR="00E7438B" w:rsidRPr="001C647C" w:rsidRDefault="00E7438B" w:rsidP="00891B84">
      <w:pPr>
        <w:pStyle w:val="FootnoteText"/>
        <w:rPr>
          <w:rFonts w:ascii="Arial" w:hAnsi="Arial" w:cs="Arial"/>
          <w:sz w:val="16"/>
          <w:szCs w:val="16"/>
        </w:rPr>
      </w:pPr>
      <w:r w:rsidRPr="001C647C">
        <w:rPr>
          <w:rStyle w:val="FootnoteReference"/>
          <w:rFonts w:ascii="Arial" w:hAnsi="Arial" w:cs="Arial"/>
          <w:sz w:val="16"/>
          <w:szCs w:val="16"/>
        </w:rPr>
        <w:footnoteRef/>
      </w:r>
      <w:r w:rsidRPr="001C647C">
        <w:rPr>
          <w:rFonts w:ascii="Arial" w:hAnsi="Arial" w:cs="Arial"/>
          <w:sz w:val="16"/>
          <w:szCs w:val="16"/>
        </w:rPr>
        <w:t xml:space="preserve"> Full pay relevant employees are those relevant employees who, during the relevant pay period, are not </w:t>
      </w:r>
      <w:r>
        <w:rPr>
          <w:rFonts w:ascii="Arial" w:hAnsi="Arial" w:cs="Arial"/>
          <w:sz w:val="16"/>
          <w:szCs w:val="16"/>
        </w:rPr>
        <w:br/>
      </w:r>
      <w:r w:rsidRPr="001C647C">
        <w:rPr>
          <w:rFonts w:ascii="Arial" w:hAnsi="Arial" w:cs="Arial"/>
          <w:sz w:val="16"/>
          <w:szCs w:val="16"/>
        </w:rPr>
        <w:t xml:space="preserve">being paid at a reduced or nil rate as a result of being on ‘leave’. </w:t>
      </w:r>
      <w:r>
        <w:rPr>
          <w:rFonts w:ascii="Arial" w:hAnsi="Arial" w:cs="Arial"/>
          <w:sz w:val="16"/>
          <w:szCs w:val="16"/>
        </w:rPr>
        <w:t>This data includes casual workers.</w:t>
      </w:r>
    </w:p>
    <w:p w14:paraId="1B65E114" w14:textId="77777777" w:rsidR="00E7438B" w:rsidRPr="001C647C" w:rsidRDefault="00E7438B" w:rsidP="00891B84">
      <w:pPr>
        <w:pStyle w:val="FootnoteText"/>
        <w:rPr>
          <w:rFonts w:ascii="Arial" w:hAnsi="Arial" w:cs="Arial"/>
          <w:sz w:val="16"/>
          <w:szCs w:val="16"/>
        </w:rPr>
      </w:pPr>
    </w:p>
  </w:footnote>
  <w:footnote w:id="2">
    <w:p w14:paraId="6F0F88A1" w14:textId="6C4E0889" w:rsidR="00E7438B" w:rsidRPr="00A06F93" w:rsidRDefault="00E7438B" w:rsidP="00B136D6">
      <w:pPr>
        <w:shd w:val="clear" w:color="auto" w:fill="FFFFFF"/>
        <w:spacing w:before="100" w:beforeAutospacing="1" w:after="180"/>
        <w:rPr>
          <w:rFonts w:ascii="Arial" w:hAnsi="Arial" w:cs="Arial"/>
          <w:sz w:val="16"/>
          <w:szCs w:val="16"/>
        </w:rPr>
      </w:pPr>
      <w:r w:rsidRPr="00A06F93">
        <w:rPr>
          <w:rStyle w:val="FootnoteReference"/>
          <w:rFonts w:ascii="Arial" w:hAnsi="Arial" w:cs="Arial"/>
          <w:sz w:val="16"/>
          <w:szCs w:val="16"/>
        </w:rPr>
        <w:footnoteRef/>
      </w:r>
      <w:r w:rsidRPr="00A06F93">
        <w:rPr>
          <w:rFonts w:ascii="Arial" w:hAnsi="Arial" w:cs="Arial"/>
          <w:sz w:val="16"/>
          <w:szCs w:val="16"/>
        </w:rPr>
        <w:t xml:space="preserve"> </w:t>
      </w:r>
      <w:r>
        <w:rPr>
          <w:rFonts w:ascii="Arial" w:hAnsi="Arial" w:cs="Arial"/>
          <w:sz w:val="16"/>
          <w:szCs w:val="16"/>
        </w:rPr>
        <w:t xml:space="preserve">Data taken from </w:t>
      </w:r>
      <w:r w:rsidRPr="00A06F93">
        <w:rPr>
          <w:rFonts w:ascii="Arial" w:hAnsi="Arial" w:cs="Arial"/>
          <w:sz w:val="16"/>
          <w:szCs w:val="16"/>
        </w:rPr>
        <w:t>LGA Report 201</w:t>
      </w:r>
      <w:r>
        <w:rPr>
          <w:rFonts w:ascii="Arial" w:hAnsi="Arial" w:cs="Arial"/>
          <w:sz w:val="16"/>
          <w:szCs w:val="16"/>
        </w:rPr>
        <w:t>9</w:t>
      </w:r>
      <w:r w:rsidRPr="00A06F93">
        <w:rPr>
          <w:rFonts w:ascii="Arial" w:hAnsi="Arial" w:cs="Arial"/>
          <w:sz w:val="16"/>
          <w:szCs w:val="16"/>
        </w:rPr>
        <w:t xml:space="preserve"> (</w:t>
      </w:r>
      <w:r>
        <w:rPr>
          <w:rFonts w:ascii="Arial" w:hAnsi="Arial" w:cs="Arial"/>
          <w:sz w:val="16"/>
          <w:szCs w:val="16"/>
        </w:rPr>
        <w:t xml:space="preserve">based on 31 March </w:t>
      </w:r>
      <w:r w:rsidRPr="00A06F93">
        <w:rPr>
          <w:rFonts w:ascii="Arial" w:hAnsi="Arial" w:cs="Arial"/>
          <w:sz w:val="16"/>
          <w:szCs w:val="16"/>
        </w:rPr>
        <w:t>201</w:t>
      </w:r>
      <w:r>
        <w:rPr>
          <w:rFonts w:ascii="Arial" w:hAnsi="Arial" w:cs="Arial"/>
          <w:sz w:val="16"/>
          <w:szCs w:val="16"/>
        </w:rPr>
        <w:t>8</w:t>
      </w:r>
      <w:r w:rsidRPr="00A06F93">
        <w:rPr>
          <w:rFonts w:ascii="Arial" w:hAnsi="Arial" w:cs="Arial"/>
          <w:sz w:val="16"/>
          <w:szCs w:val="16"/>
        </w:rPr>
        <w:t xml:space="preserve"> data) </w:t>
      </w:r>
      <w:r>
        <w:rPr>
          <w:rFonts w:ascii="Arial" w:hAnsi="Arial" w:cs="Arial"/>
          <w:sz w:val="16"/>
          <w:szCs w:val="16"/>
        </w:rPr>
        <w:t xml:space="preserve">- </w:t>
      </w:r>
      <w:r w:rsidRPr="00A06F93">
        <w:rPr>
          <w:rFonts w:ascii="Arial" w:hAnsi="Arial" w:cs="Arial"/>
          <w:sz w:val="16"/>
          <w:szCs w:val="16"/>
        </w:rPr>
        <w:t xml:space="preserve"> </w:t>
      </w:r>
      <w:hyperlink r:id="rId1" w:history="1">
        <w:r w:rsidRPr="00A06F93">
          <w:rPr>
            <w:rStyle w:val="Hyperlink"/>
            <w:rFonts w:ascii="Arial" w:hAnsi="Arial" w:cs="Arial"/>
            <w:sz w:val="16"/>
            <w:szCs w:val="16"/>
          </w:rPr>
          <w:t>https://www.local.gov.uk/gender-pay-gap</w:t>
        </w:r>
      </w:hyperlink>
      <w:r w:rsidRPr="00A06F93">
        <w:rPr>
          <w:rFonts w:ascii="Arial" w:hAnsi="Arial" w:cs="Arial"/>
          <w:sz w:val="16"/>
          <w:szCs w:val="16"/>
        </w:rPr>
        <w:t xml:space="preserve"> </w:t>
      </w:r>
      <w:r>
        <w:rPr>
          <w:rFonts w:ascii="Arial" w:hAnsi="Arial" w:cs="Arial"/>
          <w:sz w:val="16"/>
          <w:szCs w:val="16"/>
        </w:rPr>
        <w:t xml:space="preserve"> accessed January 2020 and May 2021. </w:t>
      </w:r>
    </w:p>
    <w:p w14:paraId="41F976A2" w14:textId="77777777" w:rsidR="00E7438B" w:rsidRDefault="00E7438B" w:rsidP="00B136D6">
      <w:pPr>
        <w:pStyle w:val="FootnoteText"/>
        <w:rPr>
          <w:highlight w:val="yellow"/>
        </w:rPr>
      </w:pPr>
      <w:r w:rsidRPr="00A06F93">
        <w:rPr>
          <w:highlight w:val="yellow"/>
        </w:rPr>
        <w:t xml:space="preserve"> </w:t>
      </w:r>
    </w:p>
    <w:p w14:paraId="1A48FF4B" w14:textId="77777777" w:rsidR="00E7438B" w:rsidRDefault="00E7438B" w:rsidP="00B136D6">
      <w:pPr>
        <w:pStyle w:val="FootnoteText"/>
      </w:pPr>
    </w:p>
  </w:footnote>
  <w:footnote w:id="3">
    <w:p w14:paraId="2D72C331" w14:textId="3E3F9ACF" w:rsidR="00E7438B" w:rsidRDefault="00E7438B">
      <w:pPr>
        <w:pStyle w:val="FootnoteText"/>
      </w:pPr>
      <w:r>
        <w:rPr>
          <w:rStyle w:val="FootnoteReference"/>
        </w:rPr>
        <w:t>3</w:t>
      </w:r>
      <w:r w:rsidRPr="00A06F93">
        <w:rPr>
          <w:rFonts w:ascii="Arial" w:hAnsi="Arial" w:cs="Arial"/>
          <w:sz w:val="16"/>
          <w:szCs w:val="16"/>
        </w:rPr>
        <w:t xml:space="preserve"> Bonus pay for B&amp;NES is defined as long service award payments, golden hellos and recruitment and retention allowances to attract and retain teaching staff,</w:t>
      </w:r>
      <w:r>
        <w:rPr>
          <w:rFonts w:ascii="Arial" w:hAnsi="Arial" w:cs="Arial"/>
          <w:sz w:val="16"/>
          <w:szCs w:val="16"/>
        </w:rPr>
        <w:t xml:space="preserve"> </w:t>
      </w:r>
      <w:r w:rsidRPr="00A06F93">
        <w:rPr>
          <w:rFonts w:ascii="Arial" w:hAnsi="Arial" w:cs="Arial"/>
          <w:sz w:val="16"/>
          <w:szCs w:val="16"/>
        </w:rPr>
        <w:t xml:space="preserve">one-off ex-gratia payments.  It does not include honorarium payments which are already included in the overall </w:t>
      </w:r>
      <w:r>
        <w:rPr>
          <w:rFonts w:ascii="Arial" w:hAnsi="Arial" w:cs="Arial"/>
          <w:sz w:val="16"/>
          <w:szCs w:val="16"/>
        </w:rPr>
        <w:t xml:space="preserve">basic </w:t>
      </w:r>
      <w:r w:rsidRPr="00A06F93">
        <w:rPr>
          <w:rFonts w:ascii="Arial" w:hAnsi="Arial" w:cs="Arial"/>
          <w:sz w:val="16"/>
          <w:szCs w:val="16"/>
        </w:rPr>
        <w:t>hourly rate pay calculation.</w:t>
      </w:r>
      <w:r>
        <w:rPr>
          <w:rFonts w:ascii="Arial" w:hAnsi="Arial" w:cs="Arial"/>
          <w:sz w:val="16"/>
          <w:szCs w:val="16"/>
        </w:rPr>
        <w:t xml:space="preserve">  </w:t>
      </w:r>
    </w:p>
  </w:footnote>
  <w:footnote w:id="4">
    <w:p w14:paraId="37FF70F7" w14:textId="77777777" w:rsidR="00E7438B" w:rsidRPr="003407DF" w:rsidRDefault="00E7438B" w:rsidP="005F3865">
      <w:pPr>
        <w:pStyle w:val="FootnoteText"/>
      </w:pPr>
      <w:r w:rsidRPr="003407DF">
        <w:rPr>
          <w:rStyle w:val="FootnoteReference"/>
        </w:rPr>
        <w:footnoteRef/>
      </w:r>
      <w:r w:rsidRPr="003407DF">
        <w:t xml:space="preserve"> </w:t>
      </w:r>
    </w:p>
    <w:p w14:paraId="5D9D9583" w14:textId="77777777" w:rsidR="00E7438B" w:rsidRDefault="00E7438B" w:rsidP="005F3865">
      <w:pPr>
        <w:pStyle w:val="FootnoteText"/>
      </w:pPr>
      <w:r>
        <w:t xml:space="preserve">A small number of specialist roles fall under </w:t>
      </w:r>
      <w:proofErr w:type="spellStart"/>
      <w:r>
        <w:t>Soulbury</w:t>
      </w:r>
      <w:proofErr w:type="spellEnd"/>
      <w:r>
        <w:t>, JNC or School Teacher Pay terms and conditions that are not Hay evaluated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E67B9" w14:textId="77777777" w:rsidR="00E7438B" w:rsidRDefault="00E7438B">
    <w:pPr>
      <w:pStyle w:val="Header"/>
    </w:pPr>
    <w:r w:rsidRPr="001C647C">
      <w:rPr>
        <w:rFonts w:ascii="Arial" w:hAnsi="Arial" w:cs="Arial"/>
        <w:noProof/>
        <w:color w:val="747474"/>
      </w:rPr>
      <w:drawing>
        <wp:anchor distT="0" distB="0" distL="114300" distR="114300" simplePos="0" relativeHeight="251656192" behindDoc="0" locked="0" layoutInCell="1" allowOverlap="1" wp14:anchorId="2C73A198" wp14:editId="6B0B0E19">
          <wp:simplePos x="0" y="0"/>
          <wp:positionH relativeFrom="column">
            <wp:posOffset>-59055</wp:posOffset>
          </wp:positionH>
          <wp:positionV relativeFrom="paragraph">
            <wp:posOffset>-281305</wp:posOffset>
          </wp:positionV>
          <wp:extent cx="2192020" cy="884555"/>
          <wp:effectExtent l="0" t="0" r="0" b="0"/>
          <wp:wrapSquare wrapText="bothSides"/>
          <wp:docPr id="11" name="Picture 11" descr="BATHNES__RGB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THNES__RGB_10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2020" cy="8845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A6195"/>
    <w:multiLevelType w:val="hybridMultilevel"/>
    <w:tmpl w:val="6AFE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550045"/>
    <w:multiLevelType w:val="multilevel"/>
    <w:tmpl w:val="FB1E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7425D6"/>
    <w:multiLevelType w:val="multilevel"/>
    <w:tmpl w:val="9EF24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437736"/>
    <w:multiLevelType w:val="hybridMultilevel"/>
    <w:tmpl w:val="4D9A7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2924E3"/>
    <w:multiLevelType w:val="hybridMultilevel"/>
    <w:tmpl w:val="9BAC8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7C4500"/>
    <w:multiLevelType w:val="hybridMultilevel"/>
    <w:tmpl w:val="ACB63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746D5"/>
    <w:multiLevelType w:val="multilevel"/>
    <w:tmpl w:val="442C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A04F10"/>
    <w:multiLevelType w:val="multilevel"/>
    <w:tmpl w:val="B8D8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6"/>
  </w:num>
  <w:num w:numId="4">
    <w:abstractNumId w:val="0"/>
  </w:num>
  <w:num w:numId="5">
    <w:abstractNumId w:val="5"/>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6918"/>
    <w:rsid w:val="00000443"/>
    <w:rsid w:val="0000608C"/>
    <w:rsid w:val="00021A48"/>
    <w:rsid w:val="00022937"/>
    <w:rsid w:val="000267F0"/>
    <w:rsid w:val="000271B0"/>
    <w:rsid w:val="00035CA1"/>
    <w:rsid w:val="00044D5A"/>
    <w:rsid w:val="00057C48"/>
    <w:rsid w:val="0006266B"/>
    <w:rsid w:val="000637F1"/>
    <w:rsid w:val="00065190"/>
    <w:rsid w:val="000721AC"/>
    <w:rsid w:val="00084C41"/>
    <w:rsid w:val="000854FA"/>
    <w:rsid w:val="0009400A"/>
    <w:rsid w:val="000948C9"/>
    <w:rsid w:val="000A316B"/>
    <w:rsid w:val="000B736B"/>
    <w:rsid w:val="000C2F85"/>
    <w:rsid w:val="000C4055"/>
    <w:rsid w:val="000C53A6"/>
    <w:rsid w:val="000D4A5F"/>
    <w:rsid w:val="000D5B60"/>
    <w:rsid w:val="000D638E"/>
    <w:rsid w:val="000D703A"/>
    <w:rsid w:val="000E1890"/>
    <w:rsid w:val="000E2CDE"/>
    <w:rsid w:val="000F4453"/>
    <w:rsid w:val="00150425"/>
    <w:rsid w:val="001649A7"/>
    <w:rsid w:val="00183530"/>
    <w:rsid w:val="001A3400"/>
    <w:rsid w:val="001A5BAE"/>
    <w:rsid w:val="001A6625"/>
    <w:rsid w:val="001A788E"/>
    <w:rsid w:val="001B670A"/>
    <w:rsid w:val="001C1618"/>
    <w:rsid w:val="001C4976"/>
    <w:rsid w:val="001C647C"/>
    <w:rsid w:val="001D2119"/>
    <w:rsid w:val="001D39F4"/>
    <w:rsid w:val="001D755B"/>
    <w:rsid w:val="001E22E2"/>
    <w:rsid w:val="001E2D56"/>
    <w:rsid w:val="001F78AB"/>
    <w:rsid w:val="001F7AE0"/>
    <w:rsid w:val="00205A62"/>
    <w:rsid w:val="0021470B"/>
    <w:rsid w:val="00221C48"/>
    <w:rsid w:val="00223062"/>
    <w:rsid w:val="002324C3"/>
    <w:rsid w:val="00233E22"/>
    <w:rsid w:val="002444F6"/>
    <w:rsid w:val="002477D7"/>
    <w:rsid w:val="002502DA"/>
    <w:rsid w:val="00257D9D"/>
    <w:rsid w:val="00257EB9"/>
    <w:rsid w:val="0027216B"/>
    <w:rsid w:val="00273DC7"/>
    <w:rsid w:val="00275DA6"/>
    <w:rsid w:val="00276E4E"/>
    <w:rsid w:val="0028048A"/>
    <w:rsid w:val="00280B40"/>
    <w:rsid w:val="00291246"/>
    <w:rsid w:val="00294D8A"/>
    <w:rsid w:val="002954CF"/>
    <w:rsid w:val="002B2286"/>
    <w:rsid w:val="0030112D"/>
    <w:rsid w:val="00302E00"/>
    <w:rsid w:val="00303CD1"/>
    <w:rsid w:val="0030563D"/>
    <w:rsid w:val="00313B70"/>
    <w:rsid w:val="003211B3"/>
    <w:rsid w:val="003407DF"/>
    <w:rsid w:val="003468E1"/>
    <w:rsid w:val="00353657"/>
    <w:rsid w:val="00353E31"/>
    <w:rsid w:val="003657BF"/>
    <w:rsid w:val="003732E3"/>
    <w:rsid w:val="003A45AD"/>
    <w:rsid w:val="003D190F"/>
    <w:rsid w:val="003D2978"/>
    <w:rsid w:val="003D71AC"/>
    <w:rsid w:val="003E6355"/>
    <w:rsid w:val="003F34B4"/>
    <w:rsid w:val="003F370F"/>
    <w:rsid w:val="003F3DA9"/>
    <w:rsid w:val="00401138"/>
    <w:rsid w:val="004077C4"/>
    <w:rsid w:val="00411F43"/>
    <w:rsid w:val="004127CE"/>
    <w:rsid w:val="004246F7"/>
    <w:rsid w:val="00424E1D"/>
    <w:rsid w:val="004257B8"/>
    <w:rsid w:val="00444CE9"/>
    <w:rsid w:val="004457FB"/>
    <w:rsid w:val="00446579"/>
    <w:rsid w:val="004609A3"/>
    <w:rsid w:val="00465B3E"/>
    <w:rsid w:val="00466942"/>
    <w:rsid w:val="0048739F"/>
    <w:rsid w:val="00494A1B"/>
    <w:rsid w:val="004A0F9F"/>
    <w:rsid w:val="004A517A"/>
    <w:rsid w:val="004F744B"/>
    <w:rsid w:val="00501420"/>
    <w:rsid w:val="00510A2E"/>
    <w:rsid w:val="00510BA2"/>
    <w:rsid w:val="00522923"/>
    <w:rsid w:val="00522FC1"/>
    <w:rsid w:val="00527207"/>
    <w:rsid w:val="00543D15"/>
    <w:rsid w:val="00545352"/>
    <w:rsid w:val="00551E0A"/>
    <w:rsid w:val="00564862"/>
    <w:rsid w:val="0059085E"/>
    <w:rsid w:val="0059225B"/>
    <w:rsid w:val="005B7E26"/>
    <w:rsid w:val="005C6777"/>
    <w:rsid w:val="005C7856"/>
    <w:rsid w:val="005D065A"/>
    <w:rsid w:val="005E1A8C"/>
    <w:rsid w:val="005E34DD"/>
    <w:rsid w:val="005F2686"/>
    <w:rsid w:val="005F3865"/>
    <w:rsid w:val="00610E89"/>
    <w:rsid w:val="00630E3F"/>
    <w:rsid w:val="006336F0"/>
    <w:rsid w:val="0064483B"/>
    <w:rsid w:val="00645B7A"/>
    <w:rsid w:val="0066399A"/>
    <w:rsid w:val="00686C14"/>
    <w:rsid w:val="00693FA0"/>
    <w:rsid w:val="00694672"/>
    <w:rsid w:val="0069759B"/>
    <w:rsid w:val="006B1D32"/>
    <w:rsid w:val="006B30CF"/>
    <w:rsid w:val="006B744C"/>
    <w:rsid w:val="006C4D37"/>
    <w:rsid w:val="006F3512"/>
    <w:rsid w:val="006F5F18"/>
    <w:rsid w:val="006F7445"/>
    <w:rsid w:val="0070193E"/>
    <w:rsid w:val="00703CF2"/>
    <w:rsid w:val="00704AA8"/>
    <w:rsid w:val="00710A87"/>
    <w:rsid w:val="00714C9B"/>
    <w:rsid w:val="0071680C"/>
    <w:rsid w:val="00716D51"/>
    <w:rsid w:val="007203FF"/>
    <w:rsid w:val="00721DCD"/>
    <w:rsid w:val="007240FB"/>
    <w:rsid w:val="007307C2"/>
    <w:rsid w:val="00732A9D"/>
    <w:rsid w:val="00733B4A"/>
    <w:rsid w:val="0073505F"/>
    <w:rsid w:val="00742E8F"/>
    <w:rsid w:val="00743467"/>
    <w:rsid w:val="00766582"/>
    <w:rsid w:val="0077461E"/>
    <w:rsid w:val="00776323"/>
    <w:rsid w:val="00783423"/>
    <w:rsid w:val="00784CBF"/>
    <w:rsid w:val="007A34B4"/>
    <w:rsid w:val="007A6663"/>
    <w:rsid w:val="007B7608"/>
    <w:rsid w:val="007B7C85"/>
    <w:rsid w:val="007C72F7"/>
    <w:rsid w:val="007C7AD6"/>
    <w:rsid w:val="007D1A26"/>
    <w:rsid w:val="007D32AD"/>
    <w:rsid w:val="007D3A7D"/>
    <w:rsid w:val="007D5E27"/>
    <w:rsid w:val="007D7FA9"/>
    <w:rsid w:val="007E4C44"/>
    <w:rsid w:val="007E4D7B"/>
    <w:rsid w:val="007E5F2C"/>
    <w:rsid w:val="00801CFB"/>
    <w:rsid w:val="00806667"/>
    <w:rsid w:val="00813CE3"/>
    <w:rsid w:val="0081619E"/>
    <w:rsid w:val="0082207D"/>
    <w:rsid w:val="00823207"/>
    <w:rsid w:val="0082617B"/>
    <w:rsid w:val="00835665"/>
    <w:rsid w:val="00847465"/>
    <w:rsid w:val="00847BB5"/>
    <w:rsid w:val="00852386"/>
    <w:rsid w:val="00854F64"/>
    <w:rsid w:val="0088753D"/>
    <w:rsid w:val="00891B84"/>
    <w:rsid w:val="008951B8"/>
    <w:rsid w:val="008977C3"/>
    <w:rsid w:val="008B5D46"/>
    <w:rsid w:val="008B5F14"/>
    <w:rsid w:val="008C60BE"/>
    <w:rsid w:val="008D018B"/>
    <w:rsid w:val="008D42B9"/>
    <w:rsid w:val="008D5B60"/>
    <w:rsid w:val="008E203C"/>
    <w:rsid w:val="008F13D8"/>
    <w:rsid w:val="008F1617"/>
    <w:rsid w:val="009017C6"/>
    <w:rsid w:val="009046EA"/>
    <w:rsid w:val="009058A0"/>
    <w:rsid w:val="00915829"/>
    <w:rsid w:val="00916F59"/>
    <w:rsid w:val="009311E0"/>
    <w:rsid w:val="009375B5"/>
    <w:rsid w:val="00950CE6"/>
    <w:rsid w:val="0095392C"/>
    <w:rsid w:val="0097184B"/>
    <w:rsid w:val="00975F69"/>
    <w:rsid w:val="00996A5F"/>
    <w:rsid w:val="0099726B"/>
    <w:rsid w:val="00997AA0"/>
    <w:rsid w:val="009A0586"/>
    <w:rsid w:val="009A080D"/>
    <w:rsid w:val="009A713C"/>
    <w:rsid w:val="009B43A9"/>
    <w:rsid w:val="009D2A55"/>
    <w:rsid w:val="009E000E"/>
    <w:rsid w:val="009E3A53"/>
    <w:rsid w:val="009E6F73"/>
    <w:rsid w:val="009F1B83"/>
    <w:rsid w:val="009F3159"/>
    <w:rsid w:val="00A14D13"/>
    <w:rsid w:val="00A26AB7"/>
    <w:rsid w:val="00A27B60"/>
    <w:rsid w:val="00A34C70"/>
    <w:rsid w:val="00A362CE"/>
    <w:rsid w:val="00A408C9"/>
    <w:rsid w:val="00A50106"/>
    <w:rsid w:val="00A558A7"/>
    <w:rsid w:val="00A61540"/>
    <w:rsid w:val="00A817CC"/>
    <w:rsid w:val="00A83109"/>
    <w:rsid w:val="00A86463"/>
    <w:rsid w:val="00A95A1C"/>
    <w:rsid w:val="00AA16B0"/>
    <w:rsid w:val="00AB50AF"/>
    <w:rsid w:val="00AC13A8"/>
    <w:rsid w:val="00AC770A"/>
    <w:rsid w:val="00AE76AD"/>
    <w:rsid w:val="00AF7B1E"/>
    <w:rsid w:val="00B12F4B"/>
    <w:rsid w:val="00B136D6"/>
    <w:rsid w:val="00B31A3A"/>
    <w:rsid w:val="00B526B7"/>
    <w:rsid w:val="00B5304C"/>
    <w:rsid w:val="00B5633E"/>
    <w:rsid w:val="00B57977"/>
    <w:rsid w:val="00B65FA6"/>
    <w:rsid w:val="00B83540"/>
    <w:rsid w:val="00B906BE"/>
    <w:rsid w:val="00B93F2C"/>
    <w:rsid w:val="00B941EA"/>
    <w:rsid w:val="00BA03FB"/>
    <w:rsid w:val="00BA1522"/>
    <w:rsid w:val="00BC2146"/>
    <w:rsid w:val="00BD13A3"/>
    <w:rsid w:val="00BD2693"/>
    <w:rsid w:val="00BD3029"/>
    <w:rsid w:val="00BE53AE"/>
    <w:rsid w:val="00BF4592"/>
    <w:rsid w:val="00C03641"/>
    <w:rsid w:val="00C20A04"/>
    <w:rsid w:val="00C212B8"/>
    <w:rsid w:val="00C213E3"/>
    <w:rsid w:val="00C24648"/>
    <w:rsid w:val="00C3006E"/>
    <w:rsid w:val="00C300F6"/>
    <w:rsid w:val="00C3340F"/>
    <w:rsid w:val="00C36FB9"/>
    <w:rsid w:val="00C568E9"/>
    <w:rsid w:val="00C612DD"/>
    <w:rsid w:val="00C65396"/>
    <w:rsid w:val="00C723C0"/>
    <w:rsid w:val="00C77D0F"/>
    <w:rsid w:val="00C94AED"/>
    <w:rsid w:val="00CA254B"/>
    <w:rsid w:val="00CB2993"/>
    <w:rsid w:val="00CC05F8"/>
    <w:rsid w:val="00CC56EF"/>
    <w:rsid w:val="00CE6476"/>
    <w:rsid w:val="00CF5D30"/>
    <w:rsid w:val="00D00267"/>
    <w:rsid w:val="00D22F4C"/>
    <w:rsid w:val="00D2540E"/>
    <w:rsid w:val="00D40A06"/>
    <w:rsid w:val="00D51356"/>
    <w:rsid w:val="00D563D2"/>
    <w:rsid w:val="00D65562"/>
    <w:rsid w:val="00D725D3"/>
    <w:rsid w:val="00D7289B"/>
    <w:rsid w:val="00D9496A"/>
    <w:rsid w:val="00DB1018"/>
    <w:rsid w:val="00DC1693"/>
    <w:rsid w:val="00DE095D"/>
    <w:rsid w:val="00DF0774"/>
    <w:rsid w:val="00E364AC"/>
    <w:rsid w:val="00E36CB2"/>
    <w:rsid w:val="00E604AA"/>
    <w:rsid w:val="00E60784"/>
    <w:rsid w:val="00E627F8"/>
    <w:rsid w:val="00E72982"/>
    <w:rsid w:val="00E7438B"/>
    <w:rsid w:val="00E8459F"/>
    <w:rsid w:val="00E90A6F"/>
    <w:rsid w:val="00E97DF2"/>
    <w:rsid w:val="00EA0226"/>
    <w:rsid w:val="00EC02FF"/>
    <w:rsid w:val="00EC038A"/>
    <w:rsid w:val="00EC319D"/>
    <w:rsid w:val="00ED239A"/>
    <w:rsid w:val="00EE63F9"/>
    <w:rsid w:val="00EE6918"/>
    <w:rsid w:val="00EF2D06"/>
    <w:rsid w:val="00EF38B2"/>
    <w:rsid w:val="00EF76AA"/>
    <w:rsid w:val="00F04D1F"/>
    <w:rsid w:val="00F05716"/>
    <w:rsid w:val="00F34A50"/>
    <w:rsid w:val="00F424AD"/>
    <w:rsid w:val="00F446D9"/>
    <w:rsid w:val="00F45DE8"/>
    <w:rsid w:val="00F51AF8"/>
    <w:rsid w:val="00F5208E"/>
    <w:rsid w:val="00F5378B"/>
    <w:rsid w:val="00F642C0"/>
    <w:rsid w:val="00F6525A"/>
    <w:rsid w:val="00F85A1E"/>
    <w:rsid w:val="00FA283D"/>
    <w:rsid w:val="00FB2103"/>
    <w:rsid w:val="00FB70B4"/>
    <w:rsid w:val="00FB77F4"/>
    <w:rsid w:val="00FC0648"/>
    <w:rsid w:val="00FD14A6"/>
    <w:rsid w:val="00FE363F"/>
    <w:rsid w:val="00FE6C06"/>
    <w:rsid w:val="00FF0EFC"/>
    <w:rsid w:val="00FF5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EA66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F2D06"/>
  </w:style>
  <w:style w:type="character" w:customStyle="1" w:styleId="FootnoteTextChar">
    <w:name w:val="Footnote Text Char"/>
    <w:basedOn w:val="DefaultParagraphFont"/>
    <w:link w:val="FootnoteText"/>
    <w:uiPriority w:val="99"/>
    <w:semiHidden/>
    <w:rsid w:val="00EF2D06"/>
  </w:style>
  <w:style w:type="character" w:styleId="FootnoteReference">
    <w:name w:val="footnote reference"/>
    <w:basedOn w:val="DefaultParagraphFont"/>
    <w:uiPriority w:val="99"/>
    <w:semiHidden/>
    <w:unhideWhenUsed/>
    <w:rsid w:val="00EF2D06"/>
    <w:rPr>
      <w:vertAlign w:val="superscript"/>
    </w:rPr>
  </w:style>
  <w:style w:type="table" w:styleId="TableGrid">
    <w:name w:val="Table Grid"/>
    <w:basedOn w:val="TableNormal"/>
    <w:uiPriority w:val="59"/>
    <w:rsid w:val="00B90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505F"/>
    <w:rPr>
      <w:sz w:val="16"/>
      <w:szCs w:val="16"/>
    </w:rPr>
  </w:style>
  <w:style w:type="paragraph" w:styleId="CommentText">
    <w:name w:val="annotation text"/>
    <w:basedOn w:val="Normal"/>
    <w:link w:val="CommentTextChar"/>
    <w:uiPriority w:val="99"/>
    <w:unhideWhenUsed/>
    <w:rsid w:val="0073505F"/>
  </w:style>
  <w:style w:type="character" w:customStyle="1" w:styleId="CommentTextChar">
    <w:name w:val="Comment Text Char"/>
    <w:basedOn w:val="DefaultParagraphFont"/>
    <w:link w:val="CommentText"/>
    <w:uiPriority w:val="99"/>
    <w:rsid w:val="0073505F"/>
  </w:style>
  <w:style w:type="paragraph" w:styleId="CommentSubject">
    <w:name w:val="annotation subject"/>
    <w:basedOn w:val="CommentText"/>
    <w:next w:val="CommentText"/>
    <w:link w:val="CommentSubjectChar"/>
    <w:uiPriority w:val="99"/>
    <w:semiHidden/>
    <w:unhideWhenUsed/>
    <w:rsid w:val="0073505F"/>
    <w:rPr>
      <w:b/>
      <w:bCs/>
    </w:rPr>
  </w:style>
  <w:style w:type="character" w:customStyle="1" w:styleId="CommentSubjectChar">
    <w:name w:val="Comment Subject Char"/>
    <w:basedOn w:val="CommentTextChar"/>
    <w:link w:val="CommentSubject"/>
    <w:uiPriority w:val="99"/>
    <w:semiHidden/>
    <w:rsid w:val="0073505F"/>
    <w:rPr>
      <w:b/>
      <w:bCs/>
    </w:rPr>
  </w:style>
  <w:style w:type="paragraph" w:styleId="BalloonText">
    <w:name w:val="Balloon Text"/>
    <w:basedOn w:val="Normal"/>
    <w:link w:val="BalloonTextChar"/>
    <w:uiPriority w:val="99"/>
    <w:semiHidden/>
    <w:unhideWhenUsed/>
    <w:rsid w:val="0073505F"/>
    <w:rPr>
      <w:rFonts w:ascii="Tahoma" w:hAnsi="Tahoma" w:cs="Tahoma"/>
      <w:sz w:val="16"/>
      <w:szCs w:val="16"/>
    </w:rPr>
  </w:style>
  <w:style w:type="character" w:customStyle="1" w:styleId="BalloonTextChar">
    <w:name w:val="Balloon Text Char"/>
    <w:basedOn w:val="DefaultParagraphFont"/>
    <w:link w:val="BalloonText"/>
    <w:uiPriority w:val="99"/>
    <w:semiHidden/>
    <w:rsid w:val="0073505F"/>
    <w:rPr>
      <w:rFonts w:ascii="Tahoma" w:hAnsi="Tahoma" w:cs="Tahoma"/>
      <w:sz w:val="16"/>
      <w:szCs w:val="16"/>
    </w:rPr>
  </w:style>
  <w:style w:type="paragraph" w:styleId="Header">
    <w:name w:val="header"/>
    <w:basedOn w:val="Normal"/>
    <w:link w:val="HeaderChar"/>
    <w:uiPriority w:val="99"/>
    <w:unhideWhenUsed/>
    <w:rsid w:val="00AA16B0"/>
    <w:pPr>
      <w:tabs>
        <w:tab w:val="center" w:pos="4513"/>
        <w:tab w:val="right" w:pos="9026"/>
      </w:tabs>
    </w:pPr>
  </w:style>
  <w:style w:type="character" w:customStyle="1" w:styleId="HeaderChar">
    <w:name w:val="Header Char"/>
    <w:basedOn w:val="DefaultParagraphFont"/>
    <w:link w:val="Header"/>
    <w:uiPriority w:val="99"/>
    <w:rsid w:val="00AA16B0"/>
  </w:style>
  <w:style w:type="paragraph" w:styleId="Footer">
    <w:name w:val="footer"/>
    <w:basedOn w:val="Normal"/>
    <w:link w:val="FooterChar"/>
    <w:uiPriority w:val="99"/>
    <w:unhideWhenUsed/>
    <w:rsid w:val="00AA16B0"/>
    <w:pPr>
      <w:tabs>
        <w:tab w:val="center" w:pos="4513"/>
        <w:tab w:val="right" w:pos="9026"/>
      </w:tabs>
    </w:pPr>
  </w:style>
  <w:style w:type="character" w:customStyle="1" w:styleId="FooterChar">
    <w:name w:val="Footer Char"/>
    <w:basedOn w:val="DefaultParagraphFont"/>
    <w:link w:val="Footer"/>
    <w:uiPriority w:val="99"/>
    <w:rsid w:val="00AA16B0"/>
  </w:style>
  <w:style w:type="character" w:styleId="Hyperlink">
    <w:name w:val="Hyperlink"/>
    <w:basedOn w:val="DefaultParagraphFont"/>
    <w:uiPriority w:val="99"/>
    <w:unhideWhenUsed/>
    <w:rsid w:val="00021A48"/>
    <w:rPr>
      <w:color w:val="0000FF" w:themeColor="hyperlink"/>
      <w:u w:val="single"/>
    </w:rPr>
  </w:style>
  <w:style w:type="paragraph" w:styleId="ListParagraph">
    <w:name w:val="List Paragraph"/>
    <w:basedOn w:val="Normal"/>
    <w:uiPriority w:val="34"/>
    <w:qFormat/>
    <w:rsid w:val="00F45DE8"/>
    <w:pPr>
      <w:ind w:left="720"/>
      <w:contextualSpacing/>
    </w:pPr>
  </w:style>
  <w:style w:type="character" w:styleId="FollowedHyperlink">
    <w:name w:val="FollowedHyperlink"/>
    <w:basedOn w:val="DefaultParagraphFont"/>
    <w:uiPriority w:val="99"/>
    <w:semiHidden/>
    <w:unhideWhenUsed/>
    <w:rsid w:val="00FB2103"/>
    <w:rPr>
      <w:color w:val="800080" w:themeColor="followedHyperlink"/>
      <w:u w:val="single"/>
    </w:rPr>
  </w:style>
  <w:style w:type="paragraph" w:customStyle="1" w:styleId="Default">
    <w:name w:val="Default"/>
    <w:rsid w:val="00FB2103"/>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A2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080895">
      <w:bodyDiv w:val="1"/>
      <w:marLeft w:val="0"/>
      <w:marRight w:val="0"/>
      <w:marTop w:val="0"/>
      <w:marBottom w:val="0"/>
      <w:divBdr>
        <w:top w:val="none" w:sz="0" w:space="0" w:color="auto"/>
        <w:left w:val="none" w:sz="0" w:space="0" w:color="auto"/>
        <w:bottom w:val="none" w:sz="0" w:space="0" w:color="auto"/>
        <w:right w:val="none" w:sz="0" w:space="0" w:color="auto"/>
      </w:divBdr>
    </w:div>
    <w:div w:id="274362886">
      <w:bodyDiv w:val="1"/>
      <w:marLeft w:val="0"/>
      <w:marRight w:val="0"/>
      <w:marTop w:val="0"/>
      <w:marBottom w:val="0"/>
      <w:divBdr>
        <w:top w:val="none" w:sz="0" w:space="0" w:color="auto"/>
        <w:left w:val="none" w:sz="0" w:space="0" w:color="auto"/>
        <w:bottom w:val="none" w:sz="0" w:space="0" w:color="auto"/>
        <w:right w:val="none" w:sz="0" w:space="0" w:color="auto"/>
      </w:divBdr>
    </w:div>
    <w:div w:id="300426521">
      <w:bodyDiv w:val="1"/>
      <w:marLeft w:val="0"/>
      <w:marRight w:val="0"/>
      <w:marTop w:val="0"/>
      <w:marBottom w:val="0"/>
      <w:divBdr>
        <w:top w:val="none" w:sz="0" w:space="0" w:color="auto"/>
        <w:left w:val="none" w:sz="0" w:space="0" w:color="auto"/>
        <w:bottom w:val="none" w:sz="0" w:space="0" w:color="auto"/>
        <w:right w:val="none" w:sz="0" w:space="0" w:color="auto"/>
      </w:divBdr>
    </w:div>
    <w:div w:id="631789215">
      <w:bodyDiv w:val="1"/>
      <w:marLeft w:val="0"/>
      <w:marRight w:val="0"/>
      <w:marTop w:val="0"/>
      <w:marBottom w:val="0"/>
      <w:divBdr>
        <w:top w:val="none" w:sz="0" w:space="0" w:color="auto"/>
        <w:left w:val="none" w:sz="0" w:space="0" w:color="auto"/>
        <w:bottom w:val="none" w:sz="0" w:space="0" w:color="auto"/>
        <w:right w:val="none" w:sz="0" w:space="0" w:color="auto"/>
      </w:divBdr>
    </w:div>
    <w:div w:id="779103526">
      <w:bodyDiv w:val="1"/>
      <w:marLeft w:val="0"/>
      <w:marRight w:val="0"/>
      <w:marTop w:val="0"/>
      <w:marBottom w:val="0"/>
      <w:divBdr>
        <w:top w:val="none" w:sz="0" w:space="0" w:color="auto"/>
        <w:left w:val="none" w:sz="0" w:space="0" w:color="auto"/>
        <w:bottom w:val="none" w:sz="0" w:space="0" w:color="auto"/>
        <w:right w:val="none" w:sz="0" w:space="0" w:color="auto"/>
      </w:divBdr>
    </w:div>
    <w:div w:id="979266216">
      <w:bodyDiv w:val="1"/>
      <w:marLeft w:val="0"/>
      <w:marRight w:val="0"/>
      <w:marTop w:val="0"/>
      <w:marBottom w:val="0"/>
      <w:divBdr>
        <w:top w:val="none" w:sz="0" w:space="0" w:color="auto"/>
        <w:left w:val="none" w:sz="0" w:space="0" w:color="auto"/>
        <w:bottom w:val="none" w:sz="0" w:space="0" w:color="auto"/>
        <w:right w:val="none" w:sz="0" w:space="0" w:color="auto"/>
      </w:divBdr>
    </w:div>
    <w:div w:id="1413896030">
      <w:bodyDiv w:val="1"/>
      <w:marLeft w:val="0"/>
      <w:marRight w:val="0"/>
      <w:marTop w:val="0"/>
      <w:marBottom w:val="0"/>
      <w:divBdr>
        <w:top w:val="none" w:sz="0" w:space="0" w:color="auto"/>
        <w:left w:val="none" w:sz="0" w:space="0" w:color="auto"/>
        <w:bottom w:val="none" w:sz="0" w:space="0" w:color="auto"/>
        <w:right w:val="none" w:sz="0" w:space="0" w:color="auto"/>
      </w:divBdr>
    </w:div>
    <w:div w:id="1415204855">
      <w:bodyDiv w:val="1"/>
      <w:marLeft w:val="0"/>
      <w:marRight w:val="0"/>
      <w:marTop w:val="0"/>
      <w:marBottom w:val="0"/>
      <w:divBdr>
        <w:top w:val="none" w:sz="0" w:space="0" w:color="auto"/>
        <w:left w:val="none" w:sz="0" w:space="0" w:color="auto"/>
        <w:bottom w:val="none" w:sz="0" w:space="0" w:color="auto"/>
        <w:right w:val="none" w:sz="0" w:space="0" w:color="auto"/>
      </w:divBdr>
    </w:div>
    <w:div w:id="1650595908">
      <w:bodyDiv w:val="1"/>
      <w:marLeft w:val="0"/>
      <w:marRight w:val="0"/>
      <w:marTop w:val="0"/>
      <w:marBottom w:val="0"/>
      <w:divBdr>
        <w:top w:val="none" w:sz="0" w:space="0" w:color="auto"/>
        <w:left w:val="none" w:sz="0" w:space="0" w:color="auto"/>
        <w:bottom w:val="none" w:sz="0" w:space="0" w:color="auto"/>
        <w:right w:val="none" w:sz="0" w:space="0" w:color="auto"/>
      </w:divBdr>
    </w:div>
    <w:div w:id="1857035370">
      <w:bodyDiv w:val="1"/>
      <w:marLeft w:val="0"/>
      <w:marRight w:val="0"/>
      <w:marTop w:val="0"/>
      <w:marBottom w:val="0"/>
      <w:divBdr>
        <w:top w:val="none" w:sz="0" w:space="0" w:color="auto"/>
        <w:left w:val="none" w:sz="0" w:space="0" w:color="auto"/>
        <w:bottom w:val="none" w:sz="0" w:space="0" w:color="auto"/>
        <w:right w:val="none" w:sz="0" w:space="0" w:color="auto"/>
      </w:divBdr>
    </w:div>
    <w:div w:id="1919708756">
      <w:bodyDiv w:val="1"/>
      <w:marLeft w:val="0"/>
      <w:marRight w:val="0"/>
      <w:marTop w:val="0"/>
      <w:marBottom w:val="0"/>
      <w:divBdr>
        <w:top w:val="none" w:sz="0" w:space="0" w:color="auto"/>
        <w:left w:val="none" w:sz="0" w:space="0" w:color="auto"/>
        <w:bottom w:val="none" w:sz="0" w:space="0" w:color="auto"/>
        <w:right w:val="none" w:sz="0" w:space="0" w:color="auto"/>
      </w:divBdr>
    </w:div>
    <w:div w:id="193562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local.gov.uk/gender-pay-ga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49D6A-083D-4253-9342-B6E723A6D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2358</Words>
  <Characters>13445</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2021-07-08T13:39:00Z</dcterms:created>
  <dcterms:modified xsi:type="dcterms:W3CDTF">2021-07-08T13:39:00Z</dcterms:modified>
</cp:coreProperties>
</file>