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3" w:rsidRDefault="001F14D3" w:rsidP="001F14D3">
      <w:pPr>
        <w:pStyle w:val="NoSpacing"/>
      </w:pPr>
    </w:p>
    <w:p w:rsidR="0056011F" w:rsidRDefault="00AF4D4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sz w:val="20"/>
          <w:szCs w:val="20"/>
        </w:rPr>
      </w:pPr>
      <w:r w:rsidRPr="00AD3BE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25DC" wp14:editId="5BF10E16">
                <wp:simplePos x="0" y="0"/>
                <wp:positionH relativeFrom="column">
                  <wp:posOffset>-425302</wp:posOffset>
                </wp:positionH>
                <wp:positionV relativeFrom="paragraph">
                  <wp:posOffset>155664</wp:posOffset>
                </wp:positionV>
                <wp:extent cx="6546215" cy="1169581"/>
                <wp:effectExtent l="57150" t="38100" r="83185" b="10731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1169581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11F" w:rsidRPr="00077495" w:rsidRDefault="0056011F" w:rsidP="005601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74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841363" w:rsidRDefault="00841363" w:rsidP="008413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Sexual behaviours expressed by children and young people under the age of 18 years old that are developmentally inappropriate may be harmful towards themselves or others, and/or be abusive towards another child, young person or adult. </w:t>
                            </w:r>
                          </w:p>
                          <w:p w:rsidR="00077495" w:rsidRDefault="0007749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FC0799" w:rsidRDefault="00FC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33.5pt;margin-top:12.25pt;width:515.45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6215,11695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NlzwIAAAUGAAAOAAAAZHJzL2Uyb0RvYy54bWysVN1r2zAQfx/sfxB6Xx1nSdaGOiWkdAxK&#10;G9KOPiuyFGuTdd5J+ej++p1kOw1rYWPsxb7Tff/u4/LqUFu2U+gNuILnZwPOlJNQGrcp+NfHmw/n&#10;nPkgXCksOFXwZ+X51ez9u8t9M1VDqMCWChk5cX66bwpehdBMs8zLStXCn0GjHAk1YC0CsbjJShR7&#10;8l7bbDgYTLI9YNkgSOU9vV63Qj5L/rVWMtxr7VVgtuCUW0hfTN91/GazSzHdoGgqI7s0xD9kUQvj&#10;KOjR1bUIgm3RvHJVG4ngQYczCXUGWhupUg1UTT74rZqHSjQq1ULg+OYIk/9/buXdbonMlAUfceZE&#10;TS1awdaV7NqIDThh2QLQUYtWBKVwG6vYKIK2b/yUbB+aJXacJzIicNBYxz/Vxg4J6Ocj0OoQmKTH&#10;yXg0GeZjziTJ8nxyMT7Po9fsxbxBHz4rqFkkCo4xqWFMKiaSoBa7Wx8S5mWXuSi/5Zzp2lILd5R6&#10;394T+fCVnGJ2nojqo0a3XiqnPpaRlAQMii4VwFBBNzI3CC60Q2TNpgors2FoaPRDhUotA2eloWlL&#10;KuT+xKVvWtdrtVP2sa29fcsiti2aiQrPVsUkrFspTa0i/PIEQFoStbDIqNiCC0kJhx7HpB3NtLH2&#10;aDj8s2GnH01VWqCj8V9EPVqkyITN0bg2DvCt6OX3PmXd6tMYnNQdyXBYH7opW0P5TAOL0G6yb+SN&#10;oQG5FT4sBVLfacnpHIV7+mgL+4JDR3FWAf586z3q00aRlLM9nYKC+x9bgYoz+8XRrl3ko1G8HYkZ&#10;jT8NicFTyfpU4rb1AqgdNImUXSKjfrA9qRHqJ7pa8xiVRMJJil1wGbBnFqE9UXT3pJrPkxrdi0aE&#10;W/fQyH4A4rQ+Hp4ENt1oBlqwO+jPRjfY7Wy96MbWOJhvA2gTojBC3OLaMXRr0i52Qx6P2SmftF6u&#10;9+wXAAAA//8DAFBLAwQUAAYACAAAACEA6HigEOEAAAAKAQAADwAAAGRycy9kb3ducmV2LnhtbEyP&#10;wU7DMBBE70j8g7VI3FqbAGkb4lQQCSEihERbcd7GJo6I7Sh20vD3bE9wnJ3R7Jt8O9uOTXoIrXcS&#10;bpYCmHa1V61rJBz2z4s1sBDRKey80xJ+dIBtcXmRY6b8yX3oaRcbRiUuZCjBxNhnnIfaaIth6Xvt&#10;yPvyg8VIcmi4GvBE5bbjiRApt9g6+mCw16XR9fdutBJe3z7D/DJOKimT8r16EliZspLy+mp+fAAW&#10;9Rz/wnDGJ3QoiOnoR6cC6yQs0hVtiRKSu3tgFNiktxtgRzqI9Qp4kfP/E4pfAAAA//8DAFBLAQIt&#10;ABQABgAIAAAAIQC2gziS/gAAAOEBAAATAAAAAAAAAAAAAAAAAAAAAABbQ29udGVudF9UeXBlc10u&#10;eG1sUEsBAi0AFAAGAAgAAAAhADj9If/WAAAAlAEAAAsAAAAAAAAAAAAAAAAALwEAAF9yZWxzLy5y&#10;ZWxzUEsBAi0AFAAGAAgAAAAhAA47g2XPAgAABQYAAA4AAAAAAAAAAAAAAAAALgIAAGRycy9lMm9E&#10;b2MueG1sUEsBAi0AFAAGAAgAAAAhAOh4oBDhAAAACgEAAA8AAAAAAAAAAAAAAAAAKQUAAGRycy9k&#10;b3ducmV2LnhtbFBLBQYAAAAABAAEAPMAAAA3BgAAAAA=&#10;" adj="-11796480,,5400" path="m,l6546215,r,l6546215,1169581r,l,1169581r,l,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546215,0;6546215,0;6546215,1169581;6546215,1169581;0,1169581;0,1169581;0,0;0,0" o:connectangles="0,0,0,0,0,0,0,0,0" textboxrect="0,0,6546215,1169581"/>
                <v:textbox>
                  <w:txbxContent>
                    <w:p w:rsidR="0056011F" w:rsidRPr="00077495" w:rsidRDefault="0056011F" w:rsidP="005601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74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Definition</w:t>
                      </w:r>
                    </w:p>
                    <w:p w:rsidR="00841363" w:rsidRDefault="00841363" w:rsidP="008413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Sexual behaviours expressed by children and young people under the age of 18 years old that are developmentally inappropriate may be harmful towards themselves or others, and/or be abusive towards another child, young person or adult. </w:t>
                      </w:r>
                    </w:p>
                    <w:p w:rsidR="00077495" w:rsidRDefault="00077495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FC0799" w:rsidRDefault="00FC0799"/>
                  </w:txbxContent>
                </v:textbox>
              </v:shape>
            </w:pict>
          </mc:Fallback>
        </mc:AlternateContent>
      </w:r>
    </w:p>
    <w:p w:rsidR="0056011F" w:rsidRDefault="0056011F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sz w:val="20"/>
          <w:szCs w:val="20"/>
        </w:rPr>
      </w:pPr>
    </w:p>
    <w:p w:rsidR="009D4428" w:rsidRPr="00F046A0" w:rsidRDefault="00F046A0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sz w:val="20"/>
          <w:szCs w:val="20"/>
        </w:rPr>
      </w:pPr>
      <w:r w:rsidRPr="00F046A0">
        <w:rPr>
          <w:sz w:val="20"/>
          <w:szCs w:val="20"/>
        </w:rPr>
        <w:t>from placement</w:t>
      </w:r>
      <w:r w:rsidR="00A03F9D">
        <w:rPr>
          <w:sz w:val="20"/>
          <w:szCs w:val="20"/>
        </w:rPr>
        <w:t xml:space="preserve"> </w:t>
      </w:r>
      <w:r w:rsidRPr="00F046A0">
        <w:rPr>
          <w:sz w:val="20"/>
          <w:szCs w:val="20"/>
        </w:rPr>
        <w:t>without Consent mean</w:t>
      </w:r>
      <w:r>
        <w:rPr>
          <w:sz w:val="20"/>
          <w:szCs w:val="20"/>
        </w:rPr>
        <w:t>?</w:t>
      </w:r>
    </w:p>
    <w:p w:rsidR="0013003E" w:rsidRDefault="0013003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3003E" w:rsidRDefault="0013003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3003E" w:rsidRDefault="00681A7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3589F" wp14:editId="6FABB2A3">
                <wp:simplePos x="0" y="0"/>
                <wp:positionH relativeFrom="column">
                  <wp:posOffset>-425302</wp:posOffset>
                </wp:positionH>
                <wp:positionV relativeFrom="paragraph">
                  <wp:posOffset>179070</wp:posOffset>
                </wp:positionV>
                <wp:extent cx="6546215" cy="6060558"/>
                <wp:effectExtent l="38100" t="38100" r="83185" b="11176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6060558"/>
                        </a:xfrm>
                        <a:prstGeom prst="round2DiagRect">
                          <a:avLst>
                            <a:gd name="adj1" fmla="val 419"/>
                            <a:gd name="adj2" fmla="val 0"/>
                          </a:avLst>
                        </a:prstGeom>
                        <a:solidFill>
                          <a:srgbClr val="CCFF99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24" w:rsidRDefault="008F2CBE" w:rsidP="0017492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Concerns and r</w:t>
                            </w:r>
                            <w:r w:rsidR="00174924" w:rsidRPr="00FC0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4924" w:rsidRDefault="00174924" w:rsidP="0017492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749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Hackett’s continuum (2010) can help indicate the level of concern:</w:t>
                            </w:r>
                          </w:p>
                          <w:tbl>
                            <w:tblPr>
                              <w:tblStyle w:val="TableGrid"/>
                              <w:tblW w:w="935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  <w:gridCol w:w="1843"/>
                              <w:gridCol w:w="1984"/>
                              <w:gridCol w:w="1843"/>
                            </w:tblGrid>
                            <w:tr w:rsidR="00174924" w:rsidTr="007D5935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</w:tcPr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Normal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Developmentally expected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Socially acceptable</w:t>
                                  </w:r>
                                </w:p>
                                <w:p w:rsidR="00174924" w:rsidRDefault="00174924" w:rsidP="007D5935">
                                  <w:pPr>
                                    <w:ind w:left="-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Consensual, mutual, reciprocal</w:t>
                                  </w:r>
                                </w:p>
                                <w:p w:rsidR="00174924" w:rsidRDefault="00174924" w:rsidP="007D5935">
                                  <w:pPr>
                                    <w:ind w:left="-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Shared decision making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99"/>
                                </w:tcPr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Inappropriate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Single instances of inappropriate sexual behaviour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Socially acceptable behaviour within peer group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Context for behaviour may be inappropriate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Generally consensual and reciprocal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Problematic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Problematic and concerning behaviours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Developmentally unusual and socially unexpected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overt elements of victimisation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Consent issues may be unclear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May lack reciprocity or equal power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May include levels of compulsivity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66FF"/>
                                </w:tcPr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Abusive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Victimising intent or outcome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Includes misuse of power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Coercion and force to ensure victim compliance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Intrusive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Informed consent lacking or not able to be freely given by victim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May include elements of expressive violence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66CC"/>
                                </w:tcPr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Violent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Physically violent sexual abuse</w:t>
                                  </w:r>
                                </w:p>
                                <w:p w:rsidR="00174924" w:rsidRDefault="00174924" w:rsidP="007D593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Highly intrusive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Instrumental violence which is physiologically and/or sexually arousing to the perpetrator</w:t>
                                  </w: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74924" w:rsidRDefault="00174924" w:rsidP="007D5935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Sadism </w:t>
                                  </w:r>
                                </w:p>
                              </w:tc>
                            </w:tr>
                          </w:tbl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433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rained staff may use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Brook Traffic Light Tool </w:t>
                            </w:r>
                            <w:r w:rsidR="00EC29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(2012</w:t>
                            </w:r>
                            <w:bookmarkStart w:id="0" w:name="_GoBack"/>
                            <w:bookmarkEnd w:id="0"/>
                            <w:r w:rsid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categorise sexual behaviours</w:t>
                            </w:r>
                            <w:r w:rsid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according to the age of the child</w:t>
                            </w:r>
                            <w:r w:rsid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help suggest the level of risk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should be used with the published guidance and together with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forms of assessment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56CFB" w:rsidRDefault="00B56CFB" w:rsidP="00B56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6CFB" w:rsidRDefault="00433801" w:rsidP="00B56CF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‘G</w:t>
                            </w:r>
                            <w:r w:rsid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reen’ behaviours reflect natural curiosity and consensual experimentation between children of similar age or developmental ability</w:t>
                            </w:r>
                            <w:r w:rsidR="00174924"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4924" w:rsidRPr="00B56CFB" w:rsidRDefault="00174924" w:rsidP="00B56CF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‘A</w:t>
                            </w:r>
                            <w:r w:rsid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mber’ behaviours are </w:t>
                            </w:r>
                            <w:r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unusual for that particular child, of potential concern due to age or developmental differences and/or activity type,</w:t>
                            </w:r>
                            <w:r w:rsidR="00B56CFB"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frequency, duration or context</w:t>
                            </w:r>
                            <w:r w:rsidRPr="00B56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4924" w:rsidRPr="00174924" w:rsidRDefault="00B56CFB" w:rsidP="00B56CF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‘Red’ behaviours</w:t>
                            </w:r>
                            <w:r w:rsid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be excessive, secretive, coercive or threatening and may involve significant age, development or power differences and be of concern due to the activity type, frequency, duration or context.</w:t>
                            </w:r>
                          </w:p>
                          <w:p w:rsidR="00174924" w:rsidRDefault="00174924" w:rsidP="00B56CF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CBE" w:rsidRPr="008F2CBE" w:rsidRDefault="008F2CBE" w:rsidP="008F2CB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Harmful sexual behaviour may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used by children who have been groomed and exploited but this is not always the case.</w:t>
                            </w:r>
                          </w:p>
                          <w:p w:rsidR="008F2CBE" w:rsidRDefault="008F2CBE" w:rsidP="008F2CB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924" w:rsidRDefault="00174924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18BF" w:rsidRDefault="00FC0799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Principles</w:t>
                            </w:r>
                          </w:p>
                          <w:p w:rsidR="00CC50A9" w:rsidRDefault="00CC50A9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Style w:val="Heading3Char"/>
                                <w:rFonts w:ascii="Arial" w:eastAsiaTheme="minorHAnsi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3Char"/>
                                <w:rFonts w:ascii="Arial" w:eastAsiaTheme="minorHAnsi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Consideration must be given to the victim’s support and safeguarding needs in accordance with usual safeguarding procedures.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Remember many children and young people who carry out harmful sexual behaviour have themselves been victims of abuse, neglect or other trauma and may benefit from a trauma-informed approach to meeting their needs.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Even if their behaviour causes great concern, it is vital to view them as children first and offenders second.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Universal and early help agencies can often provide the support that children and parents/carers need, utilising</w:t>
                            </w:r>
                            <w:r w:rsidR="00174924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the Early Help Assessment and the</w:t>
                            </w: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range of information and tools referred to in the full Protocol.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There is a Clinical Specialist within CAMHS who can advise on the appropriate level of response and there are specialist tools that can be used, with training, to help with this.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1A79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As with any other safeguarding issue, if there is an immediate risk of significant harm, Social Care must be contacted.</w:t>
                            </w:r>
                          </w:p>
                          <w:p w:rsidR="00681A79" w:rsidRPr="00681A79" w:rsidRDefault="00681A79" w:rsidP="00681A79">
                            <w:pPr>
                              <w:pStyle w:val="ListParagraph"/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F4D4E" w:rsidRPr="00681A79" w:rsidRDefault="00AF4D4E" w:rsidP="001418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418BF" w:rsidRPr="00681A79" w:rsidRDefault="001418BF" w:rsidP="00FC07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4207" w:rsidRDefault="00644207" w:rsidP="0064420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77495" w:rsidRDefault="00077495" w:rsidP="006442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4207" w:rsidRPr="00077495" w:rsidRDefault="00644207" w:rsidP="000774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7" style="position:absolute;margin-left:-33.5pt;margin-top:14.1pt;width:515.45pt;height:4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6215,6060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+N7AIAAEIGAAAOAAAAZHJzL2Uyb0RvYy54bWysVFtv0zAUfkfiP1h+Z2m6ttuqpVPVqQhp&#10;2qpuaM+uYzcGxzbH7o1fz7GTpgUmgRAvyTk+9+9cbu/2tSZbAV5ZU9D8okeJMNyWyqwL+vll/uGa&#10;Eh+YKZm2RhT0IDy9m7x/d7tzY9G3ldWlAIJOjB/vXEGrENw4yzyvRM38hXXCoFBaqFlAFtZZCWyH&#10;3mud9Xu9UbazUDqwXHiPr/eNkE6SfykFD09SehGILijmFtIX0ncVv9nklo3XwFyleJsG+4csaqYM&#10;Bu1c3bPAyAbUb65qxcF6K8MFt3VmpVRcpBqwmrz3SzXPFXMi1YLgeNfB5P+fW/64XQBRZUGvKDGs&#10;xhYt7caU5F6xtTVMk5kFgy1aIpTMrLUgVxG0nfNjtH12C2g5j2REYC+hjn+sjewT0IcOaLEPhOPj&#10;aDgY9fMhJRxlo96oNxxeR6/ZydyBDx+FrUkkCgoxqX5MKiaSoGbbBx8S5mWbOSu/5JTIWmMLt5j6&#10;IL9pG3ym0T/XSAOAUVtfSB3jRsfealXOldaJgfVqpoGg44LOZvP5TXKOJj+rcWHEZRktOMIJrC3A&#10;QqhsO2hzsCY0mWm1rsJSrQkoXJhQgRCLQEmpcEaTSvR/culd43oltkK/NIg1b1nsSNODRIWDFjEJ&#10;bZZCYoMR9TzBllZLdJUwjt7DZYt+0o5mEqvuDPt/Nmz1o6lIa9cZ/0XUziJFRmw641oZC29FL7/m&#10;bcqy0cfhOas7kmG/2qfJTprxZWXLA0472OYMeMfnCqfrgfmwYIBDgxcCb1l4wo/UdldQ21KUVBa+&#10;v/Ue9XEdUUrJDu9IQf23DQNBif5kcFFv8sEgHp7EDIZXfWTgXLI6l5hNPbM4XzjGmF0io37QR1KC&#10;rV/x5E1jVBQxwzF2QXmAIzMLzX3Do8nFdJrU8Ng4Fh7Ms+PHOYiD/rJ/ZeDaCQ24nY/2eHPanWhG&#10;7KQbO2TsdBOsVCEKT7i2DB6qtMjtrMdLeM4nrdPpn/wAAAD//wMAUEsDBBQABgAIAAAAIQCLHA9/&#10;3wAAAAoBAAAPAAAAZHJzL2Rvd25yZXYueG1sTI/BTsMwEETvSPyDtUjcWocgJWmIUyEkoNeWInp0&#10;401iiNdR7Lbh71lOcJvVjGbfVOvZDeKMU7CeFNwtExBIjTeWOgX7t+dFASJETUYPnlDBNwZY19dX&#10;lS6Nv9AWz7vYCS6hUGoFfYxjKWVoenQ6LP2IxF7rJ6cjn1MnzaQvXO4GmSZJJp22xB96PeJTj83X&#10;7uQUbDY2f8ltK1+lfD/sPw/bj6Gdlbq9mR8fQESc418YfvEZHWpmOvoTmSAGBYss5y1RQVqkIDiw&#10;yu5XII4sijQDWVfy/4T6BwAA//8DAFBLAQItABQABgAIAAAAIQC2gziS/gAAAOEBAAATAAAAAAAA&#10;AAAAAAAAAAAAAABbQ29udGVudF9UeXBlc10ueG1sUEsBAi0AFAAGAAgAAAAhADj9If/WAAAAlAEA&#10;AAsAAAAAAAAAAAAAAAAALwEAAF9yZWxzLy5yZWxzUEsBAi0AFAAGAAgAAAAhAJ1Rz43sAgAAQgYA&#10;AA4AAAAAAAAAAAAAAAAALgIAAGRycy9lMm9Eb2MueG1sUEsBAi0AFAAGAAgAAAAhAIscD3/fAAAA&#10;CgEAAA8AAAAAAAAAAAAAAAAARgUAAGRycy9kb3ducmV2LnhtbFBLBQYAAAAABAAEAPMAAABSBgAA&#10;AAA=&#10;" adj="-11796480,,5400" path="m25394,l6546215,r,l6546215,6035164v,14025,-11369,25394,-25394,25394l,6060558r,l,25394c,11369,11369,,25394,xe" fillcolor="#cf9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25394,0;6546215,0;6546215,0;6546215,6035164;6520821,6060558;0,6060558;0,6060558;0,25394;25394,0" o:connectangles="0,0,0,0,0,0,0,0,0" textboxrect="0,0,6546215,6060558"/>
                <v:textbox>
                  <w:txbxContent>
                    <w:p w:rsidR="00174924" w:rsidRDefault="008F2CBE" w:rsidP="0017492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Concerns and r</w:t>
                      </w:r>
                      <w:r w:rsidR="00174924" w:rsidRPr="00FC0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isks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4924" w:rsidRDefault="00174924" w:rsidP="0017492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749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Hackett’s continuum (2010) can help indicate the level of concern:</w:t>
                      </w:r>
                    </w:p>
                    <w:tbl>
                      <w:tblPr>
                        <w:tblStyle w:val="TableGrid"/>
                        <w:tblW w:w="935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  <w:gridCol w:w="1843"/>
                        <w:gridCol w:w="1984"/>
                        <w:gridCol w:w="1843"/>
                      </w:tblGrid>
                      <w:tr w:rsidR="00174924" w:rsidTr="007D5935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</w:tcPr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Normal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Developmentally expected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Socially acceptable</w:t>
                            </w:r>
                          </w:p>
                          <w:p w:rsidR="00174924" w:rsidRDefault="00174924" w:rsidP="007D5935">
                            <w:pPr>
                              <w:ind w:left="-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Consensual, mutual, reciprocal</w:t>
                            </w:r>
                          </w:p>
                          <w:p w:rsidR="00174924" w:rsidRDefault="00174924" w:rsidP="007D5935">
                            <w:pPr>
                              <w:ind w:left="-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Shared decision making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99"/>
                          </w:tcPr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Inappropriate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Single instances of inappropriate sexual behaviour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Socially acceptable behaviour within peer group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Context for behaviour may be inappropriate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Generally consensual and reciprocal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Problematic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Problematic and concerning behaviours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Developmentally unusual and socially unexpected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overt elements of victimisation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Consent issues may be unclear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May lack reciprocity or equal power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May include levels of compulsivity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66FF"/>
                          </w:tcPr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Abusive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Victimising intent or outcome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Includes misuse of power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Coercion and force to ensure victim compliance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Intrusive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Informed consent lacking or not able to be freely given by victim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May include elements of expressive violence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66CC"/>
                          </w:tcPr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Violent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Physically violent sexual abuse</w:t>
                            </w:r>
                          </w:p>
                          <w:p w:rsidR="00174924" w:rsidRDefault="00174924" w:rsidP="007D59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Highly intrusive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Instrumental violence which is physiologically and/or sexually arousing to the perpetrator</w:t>
                            </w:r>
                          </w:p>
                          <w:p w:rsidR="00174924" w:rsidRDefault="00174924" w:rsidP="007D5935">
                            <w:pPr>
                              <w:pStyle w:val="ListParagrap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74924" w:rsidRDefault="00174924" w:rsidP="007D59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Sadism </w:t>
                            </w:r>
                          </w:p>
                        </w:tc>
                      </w:tr>
                    </w:tbl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43380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rained staff may use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Brook Traffic Light Tool </w:t>
                      </w:r>
                      <w:r w:rsidR="00EC29F7">
                        <w:rPr>
                          <w:rFonts w:ascii="Arial" w:hAnsi="Arial" w:cs="Arial"/>
                          <w:sz w:val="24"/>
                          <w:szCs w:val="24"/>
                        </w:rPr>
                        <w:t>(2012</w:t>
                      </w:r>
                      <w:bookmarkStart w:id="1" w:name="_GoBack"/>
                      <w:bookmarkEnd w:id="1"/>
                      <w:r w:rsid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categorise sexual behaviours</w:t>
                      </w:r>
                      <w:r w:rsid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according to the age of the child</w:t>
                      </w:r>
                      <w:r w:rsid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help suggest the level of risk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should be used with the published guidance and together with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other </w:t>
                      </w:r>
                      <w:r w:rsid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>forms of assessment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56CFB" w:rsidRDefault="00B56CFB" w:rsidP="00B56C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6CFB" w:rsidRDefault="00433801" w:rsidP="00B56CF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>‘G</w:t>
                      </w:r>
                      <w:r w:rsid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>reen’ behaviours reflect natural curiosity and consensual experimentation between children of similar age or developmental ability</w:t>
                      </w:r>
                      <w:r w:rsidR="00174924"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4924" w:rsidRPr="00B56CFB" w:rsidRDefault="00174924" w:rsidP="00B56CF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>‘A</w:t>
                      </w:r>
                      <w:r w:rsid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mber’ behaviours are </w:t>
                      </w:r>
                      <w:r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>unusual for that particular child, of potential concern due to age or developmental differences and/or activity type,</w:t>
                      </w:r>
                      <w:r w:rsidR="00B56CFB"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frequency, duration or context</w:t>
                      </w:r>
                      <w:r w:rsidRPr="00B56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4924" w:rsidRPr="00174924" w:rsidRDefault="00B56CFB" w:rsidP="00B56CF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‘Red’ behaviours</w:t>
                      </w:r>
                      <w:r w:rsid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be excessive, secretive, coercive or threatening and may involve significant age, development or power differences and be of concern due to the activity type, frequency, duration or context.</w:t>
                      </w:r>
                    </w:p>
                    <w:p w:rsidR="00174924" w:rsidRDefault="00174924" w:rsidP="00B56CF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F2CBE" w:rsidRPr="008F2CBE" w:rsidRDefault="008F2CBE" w:rsidP="008F2CB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Harmful sexual behaviour may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used by children who have been groomed and exploited but this is not always the case.</w:t>
                      </w:r>
                    </w:p>
                    <w:p w:rsidR="008F2CBE" w:rsidRDefault="008F2CBE" w:rsidP="008F2CBE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4924" w:rsidRDefault="00174924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418BF" w:rsidRDefault="00FC0799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 Principles</w:t>
                      </w:r>
                    </w:p>
                    <w:p w:rsidR="00CC50A9" w:rsidRDefault="00CC50A9" w:rsidP="001418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Style w:val="Heading3Char"/>
                          <w:rFonts w:ascii="Arial" w:eastAsiaTheme="minorHAnsi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3Char"/>
                          <w:rFonts w:ascii="Arial" w:eastAsiaTheme="minorHAnsi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Consideration must be given to the victim’s support and safeguarding needs in accordance with usual safeguarding procedures.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Remember many children and young people who carry out harmful sexual behaviour have themselves been victims of abuse, neglect or other trauma and may benefit from a trauma-informed approach to meeting their needs.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Even if their behaviour causes great concern, it is vital to view them as children first and offenders second.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Universal and early help agencies can often provide the support that children and parents/carers need, utilising</w:t>
                      </w:r>
                      <w:r w:rsidR="00174924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the Early Help Assessment and the</w:t>
                      </w: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range of information and tools referred to in the full Protocol.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There is a Clinical Specialist within CAMHS who can advise on the appropriate level of response and there are specialist tools that can be used, with training, to help with this.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81A79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As with any other safeguarding issue, if there is an immediate risk of significant harm, Social Care must be contacted.</w:t>
                      </w:r>
                    </w:p>
                    <w:p w:rsidR="00681A79" w:rsidRPr="00681A79" w:rsidRDefault="00681A79" w:rsidP="00681A79">
                      <w:pPr>
                        <w:pStyle w:val="ListParagraph"/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AF4D4E" w:rsidRPr="00681A79" w:rsidRDefault="00AF4D4E" w:rsidP="001418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418BF" w:rsidRPr="00681A79" w:rsidRDefault="001418BF" w:rsidP="00FC07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4207" w:rsidRDefault="00644207" w:rsidP="0064420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077495" w:rsidRDefault="00077495" w:rsidP="006442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4207" w:rsidRPr="00077495" w:rsidRDefault="00644207" w:rsidP="000774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C2C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F3C2C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F3C2C" w:rsidRPr="00F046A0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9D4428" w:rsidRDefault="009D4428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9D4428" w:rsidRDefault="009D4428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1F14D3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1F14D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1F14D3" w:rsidRDefault="00BA5EB3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  <w:r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63B7B" wp14:editId="0B64DA85">
                <wp:simplePos x="0" y="0"/>
                <wp:positionH relativeFrom="column">
                  <wp:posOffset>-435935</wp:posOffset>
                </wp:positionH>
                <wp:positionV relativeFrom="paragraph">
                  <wp:posOffset>293946</wp:posOffset>
                </wp:positionV>
                <wp:extent cx="6442075" cy="2913321"/>
                <wp:effectExtent l="57150" t="57150" r="92075" b="11620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2913321"/>
                        </a:xfrm>
                        <a:prstGeom prst="round2DiagRect">
                          <a:avLst>
                            <a:gd name="adj1" fmla="val 1387"/>
                            <a:gd name="adj2" fmla="val 0"/>
                          </a:avLst>
                        </a:prstGeom>
                        <a:solidFill>
                          <a:srgbClr val="CCFF99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12C" w:rsidRDefault="008F2CBE" w:rsidP="00A03F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Principles</w:t>
                            </w:r>
                          </w:p>
                          <w:p w:rsidR="00DD55FB" w:rsidRPr="00BA5EB3" w:rsidRDefault="00240ECE" w:rsidP="00BA5EB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3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Separate c</w:t>
                            </w:r>
                            <w:r w:rsidR="00BA5EB3">
                              <w:rPr>
                                <w:rStyle w:val="Heading3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onsideration must</w:t>
                            </w:r>
                            <w:r w:rsidR="00BA5EB3" w:rsidRPr="00BA5EB3">
                              <w:rPr>
                                <w:rStyle w:val="Heading3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be given to the </w:t>
                            </w:r>
                            <w:r w:rsidR="00DD55FB" w:rsidRPr="00BA5EB3">
                              <w:rPr>
                                <w:rStyle w:val="Heading3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victim’s support and safeguarding needs in accordance with usual safeguarding procedures, including calling a separate Strategy meeting</w:t>
                            </w:r>
                          </w:p>
                          <w:p w:rsidR="00BA5EB3" w:rsidRDefault="00BA5EB3" w:rsidP="00BA5EB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5EB3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Many children and young people who carry out harmful sexual behaviour have themselves been victims of abuse, neglect or other trauma </w:t>
                            </w:r>
                            <w: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A5EB3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may benefit from a trauma-informed approach to meeting their needs.</w:t>
                            </w:r>
                          </w:p>
                          <w:p w:rsidR="008F2CBE" w:rsidRPr="00240ECE" w:rsidRDefault="00BA5EB3" w:rsidP="00A03F9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Heading2Char"/>
                                <w:rFonts w:ascii="Arial" w:eastAsiaTheme="minorHAnsi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5EB3"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It is vital </w:t>
                            </w:r>
                            <w: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to view them as children first and offenders second</w:t>
                            </w:r>
                          </w:p>
                          <w:p w:rsidR="00240ECE" w:rsidRPr="00BA5EB3" w:rsidRDefault="00240ECE" w:rsidP="00A03F9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Heading2Char"/>
                                <w:rFonts w:ascii="Arial" w:eastAsiaTheme="minorHAnsi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rFonts w:ascii="Arial" w:eastAsia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All assessment must take full account of the voice of the child</w:t>
                            </w:r>
                          </w:p>
                          <w:p w:rsidR="00BA5EB3" w:rsidRDefault="00BA5EB3" w:rsidP="00A03F9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5E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Much of the work to address concerns can be undertaken by staff working in universal and targeted settings</w:t>
                            </w:r>
                          </w:p>
                          <w:p w:rsidR="00240ECE" w:rsidRDefault="00240ECE" w:rsidP="00A03F9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Parents/carers may benefit from additional information and support</w:t>
                            </w:r>
                          </w:p>
                          <w:p w:rsidR="008F2CBE" w:rsidRDefault="008F2CBE" w:rsidP="00A03F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8" style="position:absolute;margin-left:-34.35pt;margin-top:23.15pt;width:507.25pt;height:2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2075,2913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Cz7gIAAEMGAAAOAAAAZHJzL2Uyb0RvYy54bWysVEtv2zAMvg/YfxB0Xx076SNBnSJIkWFA&#10;0QZph54VWbK1yZJHKa/9+lGy42RbgQ3DLjYpvsmPvL3b15psBThlTU7TiwElwnBbKFPm9PPL4sMN&#10;Jc4zUzBtjcjpQTh6N33/7nbXTERmK6sLAQSdGDfZNTmtvG8mSeJ4JWrmLmwjDAqlhZp5ZKFMCmA7&#10;9F7rJBsMrpKdhaIBy4Vz+HrfCuk0+pdScP8kpROe6Jxibj5+IX7X4ZtMb9mkBNZUindpsH/IombK&#10;YNDe1T3zjGxA/eaqVhyss9JfcFsnVkrFRawBq0kHv1TzXLFGxFqwOa7p2+T+n1v+uF0CUUVOcVCG&#10;1Tiild2YgtwrVlrDNJlbMDiiFbaSmVILchOatmvcBG2fmyV0nEMydGAvoQ5/rI3sY6MPfaPF3hOO&#10;j1ejUTa4vqSEoywbp8Nhlgavycm8Aec/CluTQOQUQlJZSCokElvNtg/Ox54XXeas+JJSImuNI9xi&#10;6unw5rqb8JlKdq4SEYBhO2dIHQMHz85qVSyU1pGBcj3XQNBzTufzxWI87nL+WY0LI4ZFsODYT2Bd&#10;BRZ8ZTukLcAa32amVVn5lSoJKNwYX4EQS09JoRCkUQVTcieXrmldr8VW6Je2Ze1bEkbSDiFS/qBF&#10;SEKblZA4YWx7GvsWd0v0lTCO3v2wKyVqBzOJVfeG2Z8NO/1gKuLe9cZ/EbW3iJGxN71xrYyFt6IX&#10;X4+Ika0+oues7kD6/XofoZ2F4sLL2hYHhDvY9g64hi8UwuuBOb9kgKjBE4HHzD/hR2q7y6ntKEoq&#10;C9/feg/6uI8opWSHhySn7tuGgaBEfzK4qeN0NAqXJzKjy+sMGTiXrM8lZlPPLeILcYzZRTLoe30k&#10;Jdj6FW/eLERFETMcY+eUezgyc98eOLyaXMxmUQ2vTcP8g3lu+BEHAegv+1cGTYdQj+v5aI9Hp9uJ&#10;FmIn3TAhY2cbb6XyQXjqa8fgpYqb3GE9nMJzPmqdbv/0BwAAAP//AwBQSwMEFAAGAAgAAAAhANNk&#10;ATDgAAAACgEAAA8AAABkcnMvZG93bnJldi54bWxMj8FOwzAQRO9I/IO1SNxau6UJTYhTRSDEkVI4&#10;cNzGJkmJ11HstoGvZznBcbVPM2+KzeR6cbJj6DxpWMwVCEu1Nx01Gt5eH2drECEiGew9WQ1fNsCm&#10;vLwoMDf+TC/2tIuN4BAKOWpoYxxyKUPdWodh7gdL/Pvwo8PI59hIM+KZw10vl0ql0mFH3NDiYO9b&#10;W3/ujk7DU7XdVsuheVAxOcjsmQ7vGX5rfX01VXcgop3iHwy/+qwOJTvt/ZFMEL2GWbq+ZVTDKr0B&#10;wUC2SnjLXkOikgXIspD/J5Q/AAAA//8DAFBLAQItABQABgAIAAAAIQC2gziS/gAAAOEBAAATAAAA&#10;AAAAAAAAAAAAAAAAAABbQ29udGVudF9UeXBlc10ueG1sUEsBAi0AFAAGAAgAAAAhADj9If/WAAAA&#10;lAEAAAsAAAAAAAAAAAAAAAAALwEAAF9yZWxzLy5yZWxzUEsBAi0AFAAGAAgAAAAhAEWU0LPuAgAA&#10;QwYAAA4AAAAAAAAAAAAAAAAALgIAAGRycy9lMm9Eb2MueG1sUEsBAi0AFAAGAAgAAAAhANNkATDg&#10;AAAACgEAAA8AAAAAAAAAAAAAAAAASAUAAGRycy9kb3ducmV2LnhtbFBLBQYAAAAABAAEAPMAAABV&#10;BgAAAAA=&#10;" adj="-11796480,,5400" path="m40408,l6442075,r,l6442075,2872913v,22317,-18091,40408,-40408,40408l,2913321r,l,40408c,18091,18091,,40408,xe" fillcolor="#cf9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40408,0;6442075,0;6442075,0;6442075,2872913;6401667,2913321;0,2913321;0,2913321;0,40408;40408,0" o:connectangles="0,0,0,0,0,0,0,0,0" textboxrect="0,0,6442075,2913321"/>
                <v:textbox>
                  <w:txbxContent>
                    <w:p w:rsidR="006A712C" w:rsidRDefault="008F2CBE" w:rsidP="00A03F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Principles</w:t>
                      </w:r>
                    </w:p>
                    <w:p w:rsidR="00DD55FB" w:rsidRPr="00BA5EB3" w:rsidRDefault="00240ECE" w:rsidP="00BA5EB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eading3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Separate c</w:t>
                      </w:r>
                      <w:r w:rsidR="00BA5EB3">
                        <w:rPr>
                          <w:rStyle w:val="Heading3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onsideration must</w:t>
                      </w:r>
                      <w:r w:rsidR="00BA5EB3" w:rsidRPr="00BA5EB3">
                        <w:rPr>
                          <w:rStyle w:val="Heading3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be given to the </w:t>
                      </w:r>
                      <w:r w:rsidR="00DD55FB" w:rsidRPr="00BA5EB3">
                        <w:rPr>
                          <w:rStyle w:val="Heading3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victim’s support and safeguarding needs in accordance with usual safeguarding procedures, including calling a separate Strategy meeting</w:t>
                      </w:r>
                    </w:p>
                    <w:p w:rsidR="00BA5EB3" w:rsidRDefault="00BA5EB3" w:rsidP="00BA5EB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BA5EB3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Many children and young people who carry out harmful sexual behaviour have themselves been victims of abuse, neglect or other trauma </w:t>
                      </w:r>
                      <w: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and </w:t>
                      </w:r>
                      <w:r w:rsidRPr="00BA5EB3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may benefit from a trauma-informed approach to meeting their needs.</w:t>
                      </w:r>
                    </w:p>
                    <w:p w:rsidR="008F2CBE" w:rsidRPr="00240ECE" w:rsidRDefault="00BA5EB3" w:rsidP="00A03F9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Style w:val="Heading2Char"/>
                          <w:rFonts w:ascii="Arial" w:eastAsiaTheme="minorHAnsi" w:hAnsi="Arial" w:cs="Arial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BA5EB3"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It is vital </w:t>
                      </w:r>
                      <w: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to view them as children first and offenders second</w:t>
                      </w:r>
                    </w:p>
                    <w:p w:rsidR="00240ECE" w:rsidRPr="00BA5EB3" w:rsidRDefault="00240ECE" w:rsidP="00A03F9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Style w:val="Heading2Char"/>
                          <w:rFonts w:ascii="Arial" w:eastAsiaTheme="minorHAnsi" w:hAnsi="Arial" w:cs="Arial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  <w:rFonts w:ascii="Arial" w:eastAsia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All assessment must take full account of the voice of the child</w:t>
                      </w:r>
                    </w:p>
                    <w:p w:rsidR="00BA5EB3" w:rsidRDefault="00BA5EB3" w:rsidP="00A03F9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5EB3">
                        <w:rPr>
                          <w:rFonts w:ascii="Arial" w:hAnsi="Arial" w:cs="Arial"/>
                          <w:sz w:val="24"/>
                          <w:szCs w:val="24"/>
                        </w:rPr>
                        <w:t>Much of the work to address concerns can be undertaken by staff working in universal and targeted settings</w:t>
                      </w:r>
                    </w:p>
                    <w:p w:rsidR="00240ECE" w:rsidRDefault="00240ECE" w:rsidP="00A03F9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Parents/carers may benefit from additional information and support</w:t>
                      </w:r>
                    </w:p>
                    <w:p w:rsidR="008F2CBE" w:rsidRDefault="008F2CBE" w:rsidP="00A03F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4D3" w:rsidRPr="004B61BB" w:rsidRDefault="00BC31B7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sz w:val="20"/>
          <w:szCs w:val="20"/>
        </w:rPr>
      </w:pPr>
      <w:r w:rsidRPr="00BC31B7">
        <w:rPr>
          <w:sz w:val="20"/>
          <w:szCs w:val="20"/>
        </w:rPr>
        <w:t xml:space="preserve"> </w:t>
      </w:r>
    </w:p>
    <w:p w:rsidR="009D4428" w:rsidRDefault="009D4428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</w:pPr>
      <w:bookmarkStart w:id="2" w:name="bookmark22"/>
      <w:bookmarkStart w:id="3" w:name="bookmark21"/>
    </w:p>
    <w:p w:rsidR="007931F7" w:rsidRDefault="007931F7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</w:pPr>
    </w:p>
    <w:p w:rsidR="007931F7" w:rsidRDefault="007931F7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  <w:rPr>
          <w:b w:val="0"/>
        </w:rPr>
      </w:pPr>
    </w:p>
    <w:p w:rsidR="007163DD" w:rsidRDefault="007163DD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  <w:rPr>
          <w:b w:val="0"/>
        </w:rPr>
      </w:pPr>
    </w:p>
    <w:p w:rsidR="007163DD" w:rsidRDefault="007163DD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  <w:rPr>
          <w:b w:val="0"/>
        </w:rPr>
      </w:pPr>
    </w:p>
    <w:p w:rsidR="007163DD" w:rsidRDefault="007163DD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  <w:rPr>
          <w:b w:val="0"/>
        </w:rPr>
      </w:pPr>
    </w:p>
    <w:p w:rsidR="007163DD" w:rsidRDefault="00240ECE" w:rsidP="009D4428">
      <w:pPr>
        <w:pStyle w:val="MSGENFONTSTYLENAMETEMPLATEROLELEVELMSGENFONTSTYLENAMEBYROLEHEADING10"/>
        <w:keepNext/>
        <w:keepLines/>
        <w:shd w:val="clear" w:color="auto" w:fill="auto"/>
        <w:spacing w:after="352"/>
        <w:ind w:left="400"/>
        <w:rPr>
          <w:b w:val="0"/>
        </w:rPr>
      </w:pPr>
      <w:r w:rsidRPr="004B61B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B21B0" wp14:editId="3A5802B4">
                <wp:simplePos x="0" y="0"/>
                <wp:positionH relativeFrom="column">
                  <wp:posOffset>-436245</wp:posOffset>
                </wp:positionH>
                <wp:positionV relativeFrom="paragraph">
                  <wp:posOffset>219710</wp:posOffset>
                </wp:positionV>
                <wp:extent cx="6437630" cy="4124325"/>
                <wp:effectExtent l="57150" t="38100" r="77470" b="104775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412432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95" w:rsidRDefault="00077495" w:rsidP="0007749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418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prac</w:t>
                            </w:r>
                            <w:r w:rsidR="00FC0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titioners do</w:t>
                            </w:r>
                            <w:r w:rsidRPr="001418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74924" w:rsidRDefault="00174924" w:rsidP="000774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Consult with your </w:t>
                            </w:r>
                            <w:r w:rsidR="00240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agency’s </w:t>
                            </w:r>
                            <w:r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safeguarding lead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the CAMHS </w:t>
                            </w:r>
                            <w:r w:rsidR="00240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HSB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Clinical Specialist</w:t>
                            </w:r>
                            <w:r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help determine the level of concern.</w:t>
                            </w:r>
                          </w:p>
                          <w:p w:rsidR="00240ECE" w:rsidRDefault="00240ECE" w:rsidP="0017492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behaviours are ‘green, there is no known risk but may be an opportunity to positively reinforce appropriate behaviour or provide relevant information and support</w:t>
                            </w:r>
                          </w:p>
                          <w:p w:rsidR="00433801" w:rsidRDefault="00240ECE" w:rsidP="0017492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is a risk of harm i.e. the </w:t>
                            </w:r>
                            <w:r w:rsid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behaviours are ‘amber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,’ </w:t>
                            </w:r>
                            <w:r w:rsidR="00557A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consult with the CAMHS HSB Clinical Specialist and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or update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Early Help Assessment. Establish any risk to child displaying harmful sexual behaviour and to alleged victims and make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multi-agency plan </w:t>
                            </w:r>
                          </w:p>
                          <w:p w:rsidR="00174924" w:rsidRDefault="00174924" w:rsidP="0043380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</w:t>
                            </w:r>
                            <w:r w:rsidR="00433801"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 is an immediate risk of significant harm i.e.</w:t>
                            </w:r>
                            <w:r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behaviour is ‘red,’ consult with Social Care Duty on 01225 396312</w:t>
                            </w:r>
                            <w:r w:rsidR="00433801"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396313</w:t>
                            </w:r>
                            <w:r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agree the way forward. </w:t>
                            </w:r>
                            <w:r w:rsidR="00433801"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Request for Service Forms can be found at: </w:t>
                            </w:r>
                            <w:hyperlink r:id="rId8" w:history="1">
                              <w:r w:rsidR="00433801" w:rsidRPr="00A67BD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https://www.bathnes.gov.uk/services/children-young-people-and-families/child-protection</w:t>
                              </w:r>
                            </w:hyperlink>
                          </w:p>
                          <w:p w:rsidR="00433801" w:rsidRPr="00240ECE" w:rsidRDefault="00433801" w:rsidP="00240EC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0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behaviour may be abusive or violent, trained staff will undertake a specific assessment (‘AIM3’) to understand the needs and risks and plan work to be undertaken to address these</w:t>
                            </w:r>
                          </w:p>
                          <w:p w:rsidR="00FC0799" w:rsidRDefault="00433801" w:rsidP="003A022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Police have been notified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children either admit an offence or are charged to Court, the Youth Offen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ding Service will be involved in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response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harmful sexual behaviour, including completion of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‘AIM3’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assessment</w:t>
                            </w:r>
                            <w:r w:rsidR="00174924" w:rsidRPr="001749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3801" w:rsidRDefault="00433801" w:rsidP="00433801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0226" w:rsidRDefault="003A0226" w:rsidP="003A0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3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safeguarding procedures 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av</w:t>
                            </w:r>
                            <w:r w:rsidR="00240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ailable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r w:rsidRPr="003A02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240ECE" w:rsidRPr="0087793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https://www.proceduresonline.com/swcpp</w:t>
                              </w:r>
                            </w:hyperlink>
                          </w:p>
                          <w:p w:rsidR="00240ECE" w:rsidRPr="003A0226" w:rsidRDefault="00240ECE" w:rsidP="003A0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011F" w:rsidRPr="003A0226" w:rsidRDefault="0056011F" w:rsidP="005601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3" o:spid="_x0000_s1029" style="position:absolute;left:0;text-align:left;margin-left:-34.35pt;margin-top:17.3pt;width:506.9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7630,412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UXkwIAAJMFAAAOAAAAZHJzL2Uyb0RvYy54bWysVNtOGzEQfa/Uf7D8Xja7CdBGbFAURFUJ&#10;ASJUPDteO9nW9ri2k0369Yy9F9KC1Krqi3dm537m2BeXe63ITjhfgylpfjKiRBgOVW3WJf36eP3h&#10;IyU+MFMxBUaU9CA8vZy9f3fR2KkoYAOqEo5gEuOnjS3pJgQ7zTLPN0IzfwJWGDRKcJoFVN06qxxr&#10;MLtWWTEanWUNuMo64MJ7/HvVGuks5ZdS8HAnpReBqJJibyGdLp2reGazCzZdO2Y3Ne/aYP/QhWa1&#10;waJDqisWGNm6+lUqXXMHHmQ44aAzkLLmIs2A0+Sj36ZZbpgVaRYEx9sBJv//0vLb3b0jdVXSMSWG&#10;aVzRA2xNRZYok2VdCbIAZ3BHD4glM2slyDii1lg/xeClvXed5lGMEOyl0/GLw5F9QvowIC32gXD8&#10;eTYZn5+NcSEcbZO8mIyL05g1ewm3zofPAjSJQkld7KqIXcVGEtZsd+NDAr3qWmfVt5wSqRXucMcU&#10;6fd7ZC9e2bFmlwmlviq2EidsZ0pSOCgRiynzICQihlPkqY3EVbFQjmDJkjLOhQl5N03yjmGyVmoI&#10;LP4c2PnHUJF4PAT/RdUhIlUGE4ZgXRtwb1Wvvvcty9a/R6CdO0IQ9qt9R5Vu5SuoDkgfB+298pZf&#10;17itG+bDPXO4BNwwPg7hDg+poCkpdBIlG3A/3/of/ZHfaKWkwYtZUv9jy5ygRH0xyPxP+WQSb3JS&#10;JqfnBSru2LI6tpitXgBuBWmB3SUx+gfVi9KBfsI3ZB6rookZjrVLyoPrlUVoHwx8hbiYz5Mb3l7L&#10;wo1ZWt7zIFLncf/EnO0oG5Dtt9Bf4o5lLclffOOGDMy3AWQdojEi3eLaKXjzUfrlaTnWk9fLWzp7&#10;BgAA//8DAFBLAwQUAAYACAAAACEA5YN5498AAAAKAQAADwAAAGRycy9kb3ducmV2LnhtbEyPMU/D&#10;MBCFdyT+g3VIbK0TCG5I41QIiQE2Cgvb1XbjiPicxk6b8usxEx1P79N739Wb2fXsaMbQeZKQLzNg&#10;hpTXHbUSPj9eFiWwEJE09p6MhLMJsGmur2qstD/RuzluY8tSCYUKJdgYh4rzoKxxGJZ+MJSyvR8d&#10;xnSOLdcjnlK56/ldlgnusKO0YHEwz9ao7+3kJOCP/8re2kKclRome5in1eF1kvL2Zn5aA4tmjv8w&#10;/OkndWiS085PpAPrJSxEuUqohPtCAEvAY/GQA9tJEGWRA29qfvlC8wsAAP//AwBQSwECLQAUAAYA&#10;CAAAACEAtoM4kv4AAADhAQAAEwAAAAAAAAAAAAAAAAAAAAAAW0NvbnRlbnRfVHlwZXNdLnhtbFBL&#10;AQItABQABgAIAAAAIQA4/SH/1gAAAJQBAAALAAAAAAAAAAAAAAAAAC8BAABfcmVscy8ucmVsc1BL&#10;AQItABQABgAIAAAAIQCcveUXkwIAAJMFAAAOAAAAAAAAAAAAAAAAAC4CAABkcnMvZTJvRG9jLnht&#10;bFBLAQItABQABgAIAAAAIQDlg3nj3wAAAAoBAAAPAAAAAAAAAAAAAAAAAO0EAABkcnMvZG93bnJl&#10;di54bWxQSwUGAAAAAAQABADzAAAA+QUAAAAA&#10;" adj="-11796480,,5400" path="m,l6437630,r,l6437630,4124325r,l,4124325r,l,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37630,0;6437630,0;6437630,4124325;6437630,4124325;0,4124325;0,4124325;0,0;0,0" o:connectangles="0,0,0,0,0,0,0,0,0" textboxrect="0,0,6437630,4124325"/>
                <v:textbox>
                  <w:txbxContent>
                    <w:p w:rsidR="00077495" w:rsidRDefault="00077495" w:rsidP="0007749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418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prac</w:t>
                      </w:r>
                      <w:r w:rsidR="00FC0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titioners do</w:t>
                      </w:r>
                      <w:r w:rsidRPr="001418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174924" w:rsidRDefault="00174924" w:rsidP="000774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Consult with your </w:t>
                      </w:r>
                      <w:r w:rsidR="00240E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agency’s </w:t>
                      </w:r>
                      <w:r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>safeguarding lead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the CAMHS </w:t>
                      </w:r>
                      <w:r w:rsidR="00240E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HSB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Clinical Specialist</w:t>
                      </w:r>
                      <w:r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help determine the level of concern.</w:t>
                      </w:r>
                    </w:p>
                    <w:p w:rsidR="00240ECE" w:rsidRDefault="00240ECE" w:rsidP="0017492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the behaviours are ‘green, there is no known risk but may be an opportunity to positively reinforce appropriate behaviour or provide relevant information and support</w:t>
                      </w:r>
                    </w:p>
                    <w:p w:rsidR="00433801" w:rsidRDefault="00240ECE" w:rsidP="0017492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is a risk of harm i.e. the </w:t>
                      </w:r>
                      <w:r w:rsid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>behaviours are ‘amber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,’ </w:t>
                      </w:r>
                      <w:r w:rsidR="00557A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consult with the CAMHS HSB Clinical Specialist and </w:t>
                      </w:r>
                      <w:bookmarkStart w:id="3" w:name="_GoBack"/>
                      <w:bookmarkEnd w:id="3"/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or update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Early Help Assessment. Establish any risk to child displaying harmful sexual behaviour and to alleged victims and make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multi-agency plan </w:t>
                      </w:r>
                    </w:p>
                    <w:p w:rsidR="00174924" w:rsidRDefault="00174924" w:rsidP="0043380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If the</w:t>
                      </w:r>
                      <w:r w:rsidR="00433801"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re is an immediate risk of significant harm i.e.</w:t>
                      </w:r>
                      <w:r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behaviour is ‘red,’ consult with Social Care Duty on 01225 396312</w:t>
                      </w:r>
                      <w:r w:rsidR="00433801"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396313</w:t>
                      </w:r>
                      <w:r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agree the way forward. </w:t>
                      </w:r>
                      <w:r w:rsidR="00433801"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Request for Service Forms can be found at: </w:t>
                      </w:r>
                      <w:hyperlink r:id="rId10" w:history="1">
                        <w:r w:rsidR="00433801" w:rsidRPr="00A67BD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https://www.bathnes.gov.uk/services/children-young-people-and-families/child-protection</w:t>
                        </w:r>
                      </w:hyperlink>
                    </w:p>
                    <w:p w:rsidR="00433801" w:rsidRPr="00240ECE" w:rsidRDefault="00433801" w:rsidP="00240EC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0ECE">
                        <w:rPr>
                          <w:rFonts w:ascii="Arial" w:hAnsi="Arial" w:cs="Arial"/>
                          <w:sz w:val="24"/>
                          <w:szCs w:val="24"/>
                        </w:rPr>
                        <w:t>Where behaviour may be abusive or violent, trained staff will undertake a specific assessment (‘AIM3’) to understand the needs and risks and plan work to be undertaken to address these</w:t>
                      </w:r>
                    </w:p>
                    <w:p w:rsidR="00FC0799" w:rsidRDefault="00433801" w:rsidP="003A022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Police have been notified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children either admit an offence or are charged to Court, the Youth Offen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ding Service will be involved in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response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harmful sexual behaviour, including completion of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‘AIM3’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assessment</w:t>
                      </w:r>
                      <w:r w:rsidR="00174924" w:rsidRPr="0017492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33801" w:rsidRDefault="00433801" w:rsidP="00433801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0226" w:rsidRDefault="003A0226" w:rsidP="003A0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3801">
                        <w:rPr>
                          <w:rFonts w:ascii="Arial" w:hAnsi="Arial" w:cs="Arial"/>
                          <w:sz w:val="24"/>
                          <w:szCs w:val="24"/>
                        </w:rPr>
                        <w:t>All safeguarding procedures are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av</w:t>
                      </w:r>
                      <w:r w:rsidR="00240E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ailable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</w:t>
                      </w:r>
                      <w:r w:rsidRPr="003A02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240ECE" w:rsidRPr="0087793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https://www.proceduresonline.com/swcpp</w:t>
                        </w:r>
                      </w:hyperlink>
                    </w:p>
                    <w:p w:rsidR="00240ECE" w:rsidRPr="003A0226" w:rsidRDefault="00240ECE" w:rsidP="003A0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011F" w:rsidRPr="003A0226" w:rsidRDefault="0056011F" w:rsidP="005601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bookmarkEnd w:id="3"/>
    <w:p w:rsidR="00E5012E" w:rsidRPr="00BA5EB3" w:rsidRDefault="00E5012E" w:rsidP="00AD3BE0"/>
    <w:sectPr w:rsidR="00E5012E" w:rsidRPr="00BA5EB3" w:rsidSect="00945725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CB" w:rsidRDefault="00237BCB" w:rsidP="001F3C2C">
      <w:pPr>
        <w:spacing w:after="0" w:line="240" w:lineRule="auto"/>
      </w:pPr>
      <w:r>
        <w:separator/>
      </w:r>
    </w:p>
  </w:endnote>
  <w:endnote w:type="continuationSeparator" w:id="0">
    <w:p w:rsidR="00237BCB" w:rsidRDefault="00237BCB" w:rsidP="001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CB" w:rsidRDefault="00237BCB" w:rsidP="001F3C2C">
      <w:pPr>
        <w:spacing w:after="0" w:line="240" w:lineRule="auto"/>
      </w:pPr>
      <w:r>
        <w:separator/>
      </w:r>
    </w:p>
  </w:footnote>
  <w:footnote w:type="continuationSeparator" w:id="0">
    <w:p w:rsidR="00237BCB" w:rsidRDefault="00237BCB" w:rsidP="001F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D3" w:rsidRPr="00077495" w:rsidRDefault="001F3C2C" w:rsidP="001F14D3">
    <w:pPr>
      <w:pStyle w:val="Header"/>
      <w:tabs>
        <w:tab w:val="left" w:pos="7592"/>
      </w:tabs>
      <w:ind w:right="-613" w:hanging="709"/>
      <w:jc w:val="center"/>
      <w:rPr>
        <w:noProof/>
        <w:sz w:val="24"/>
        <w:szCs w:val="24"/>
        <w:lang w:eastAsia="en-GB"/>
      </w:rPr>
    </w:pPr>
    <w:r>
      <w:rPr>
        <w:noProof/>
        <w:lang w:eastAsia="en-GB"/>
      </w:rPr>
      <w:drawing>
        <wp:inline distT="0" distB="0" distL="0" distR="0" wp14:anchorId="51E95955" wp14:editId="0014E175">
          <wp:extent cx="667875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63" cy="590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14D3">
      <w:rPr>
        <w:rFonts w:ascii="Arial" w:hAnsi="Arial" w:cs="Arial"/>
        <w:b/>
        <w:noProof/>
        <w:sz w:val="24"/>
        <w:szCs w:val="24"/>
        <w:lang w:eastAsia="en-GB"/>
      </w:rPr>
      <w:t xml:space="preserve">                         </w:t>
    </w:r>
    <w:r w:rsidR="001F14D3" w:rsidRPr="00077495">
      <w:rPr>
        <w:rFonts w:ascii="Arial" w:hAnsi="Arial" w:cs="Arial"/>
        <w:b/>
        <w:noProof/>
        <w:sz w:val="24"/>
        <w:szCs w:val="24"/>
        <w:lang w:eastAsia="en-GB"/>
      </w:rPr>
      <w:t>Bath &amp; North East Somerset Council</w:t>
    </w:r>
    <w:r w:rsidR="001F14D3" w:rsidRPr="00077495">
      <w:rPr>
        <w:noProof/>
        <w:sz w:val="24"/>
        <w:szCs w:val="24"/>
        <w:lang w:eastAsia="en-GB"/>
      </w:rPr>
      <w:t xml:space="preserve">                  </w:t>
    </w:r>
    <w:r w:rsidR="001F14D3" w:rsidRPr="00077495">
      <w:rPr>
        <w:noProof/>
        <w:sz w:val="24"/>
        <w:szCs w:val="24"/>
        <w:lang w:eastAsia="en-GB"/>
      </w:rPr>
      <w:drawing>
        <wp:inline distT="0" distB="0" distL="0" distR="0" wp14:anchorId="1F2117DA" wp14:editId="539CCB94">
          <wp:extent cx="1426464" cy="548640"/>
          <wp:effectExtent l="0" t="0" r="254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9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3C2C" w:rsidRPr="001F14D3" w:rsidRDefault="001F14D3" w:rsidP="001F14D3">
    <w:pPr>
      <w:pStyle w:val="Header"/>
      <w:tabs>
        <w:tab w:val="clear" w:pos="4513"/>
        <w:tab w:val="clear" w:pos="9026"/>
        <w:tab w:val="left" w:pos="7592"/>
      </w:tabs>
      <w:ind w:right="-613" w:hanging="709"/>
      <w:jc w:val="center"/>
      <w:rPr>
        <w:rFonts w:ascii="Arial" w:hAnsi="Arial" w:cs="Arial"/>
        <w:b/>
        <w:sz w:val="24"/>
        <w:szCs w:val="24"/>
      </w:rPr>
    </w:pPr>
    <w:r w:rsidRPr="00077495">
      <w:rPr>
        <w:rFonts w:ascii="Arial" w:hAnsi="Arial" w:cs="Arial"/>
        <w:b/>
        <w:noProof/>
        <w:sz w:val="24"/>
        <w:szCs w:val="24"/>
        <w:lang w:eastAsia="en-GB"/>
      </w:rPr>
      <w:t xml:space="preserve">‘One Minute Guide’ to </w:t>
    </w:r>
    <w:r w:rsidR="00FC0799">
      <w:rPr>
        <w:rFonts w:ascii="Arial" w:hAnsi="Arial" w:cs="Arial"/>
        <w:b/>
        <w:noProof/>
        <w:sz w:val="24"/>
        <w:szCs w:val="24"/>
        <w:lang w:eastAsia="en-GB"/>
      </w:rPr>
      <w:t>Children’s Harmful Sexual Behaviour (HSB)</w:t>
    </w:r>
    <w:r w:rsidR="00F046A0">
      <w:rPr>
        <w:rFonts w:ascii="Arial" w:hAnsi="Arial" w:cs="Arial"/>
        <w:b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4794_"/>
      </v:shape>
    </w:pict>
  </w:numPicBullet>
  <w:numPicBullet w:numPicBulletId="1">
    <w:pict>
      <v:shape id="_x0000_i1027" type="#_x0000_t75" style="width:8.35pt;height:8.35pt" o:bullet="t">
        <v:imagedata r:id="rId2" o:title="BD14792_"/>
      </v:shape>
    </w:pict>
  </w:numPicBullet>
  <w:abstractNum w:abstractNumId="0">
    <w:nsid w:val="01BB2091"/>
    <w:multiLevelType w:val="hybridMultilevel"/>
    <w:tmpl w:val="28D25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F1FDD"/>
    <w:multiLevelType w:val="hybridMultilevel"/>
    <w:tmpl w:val="20B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0513"/>
    <w:multiLevelType w:val="hybridMultilevel"/>
    <w:tmpl w:val="CDA84C1C"/>
    <w:lvl w:ilvl="0" w:tplc="712AFA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60FD"/>
    <w:multiLevelType w:val="hybridMultilevel"/>
    <w:tmpl w:val="4EE4D9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C6E"/>
    <w:multiLevelType w:val="hybridMultilevel"/>
    <w:tmpl w:val="AB6E265C"/>
    <w:lvl w:ilvl="0" w:tplc="00E006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14A"/>
    <w:multiLevelType w:val="hybridMultilevel"/>
    <w:tmpl w:val="A2EE0BEE"/>
    <w:lvl w:ilvl="0" w:tplc="9AFC46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4CAB"/>
    <w:multiLevelType w:val="hybridMultilevel"/>
    <w:tmpl w:val="36642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A2C"/>
    <w:multiLevelType w:val="hybridMultilevel"/>
    <w:tmpl w:val="613A5262"/>
    <w:lvl w:ilvl="0" w:tplc="85E400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1772"/>
    <w:multiLevelType w:val="hybridMultilevel"/>
    <w:tmpl w:val="71A07826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3801"/>
    <w:multiLevelType w:val="hybridMultilevel"/>
    <w:tmpl w:val="95B4A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44EB5"/>
    <w:multiLevelType w:val="hybridMultilevel"/>
    <w:tmpl w:val="70C47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07B24"/>
    <w:multiLevelType w:val="hybridMultilevel"/>
    <w:tmpl w:val="AB4AB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D29EE"/>
    <w:multiLevelType w:val="hybridMultilevel"/>
    <w:tmpl w:val="AC8035FE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2F75"/>
    <w:multiLevelType w:val="hybridMultilevel"/>
    <w:tmpl w:val="B5A2A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C109C"/>
    <w:multiLevelType w:val="hybridMultilevel"/>
    <w:tmpl w:val="C95C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01C2"/>
    <w:multiLevelType w:val="hybridMultilevel"/>
    <w:tmpl w:val="564C3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1269"/>
    <w:multiLevelType w:val="hybridMultilevel"/>
    <w:tmpl w:val="32CAF3D4"/>
    <w:lvl w:ilvl="0" w:tplc="00B810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76102"/>
    <w:multiLevelType w:val="hybridMultilevel"/>
    <w:tmpl w:val="9398DB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82FCD"/>
    <w:multiLevelType w:val="hybridMultilevel"/>
    <w:tmpl w:val="ED7EBC28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A365A"/>
    <w:multiLevelType w:val="multilevel"/>
    <w:tmpl w:val="B060EA3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5685DD2"/>
    <w:multiLevelType w:val="hybridMultilevel"/>
    <w:tmpl w:val="83A0112A"/>
    <w:lvl w:ilvl="0" w:tplc="D9CAB8F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390F"/>
    <w:multiLevelType w:val="hybridMultilevel"/>
    <w:tmpl w:val="4B962528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51590"/>
    <w:multiLevelType w:val="hybridMultilevel"/>
    <w:tmpl w:val="BA62D1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C510F"/>
    <w:multiLevelType w:val="hybridMultilevel"/>
    <w:tmpl w:val="E4BA5BD0"/>
    <w:lvl w:ilvl="0" w:tplc="448E7F7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51F2A"/>
    <w:multiLevelType w:val="hybridMultilevel"/>
    <w:tmpl w:val="7016819C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B6B6C"/>
    <w:multiLevelType w:val="hybridMultilevel"/>
    <w:tmpl w:val="CCDC9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53581C"/>
    <w:multiLevelType w:val="hybridMultilevel"/>
    <w:tmpl w:val="68D4244A"/>
    <w:lvl w:ilvl="0" w:tplc="1E921F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D625E"/>
    <w:multiLevelType w:val="hybridMultilevel"/>
    <w:tmpl w:val="AD2C0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B5293"/>
    <w:multiLevelType w:val="hybridMultilevel"/>
    <w:tmpl w:val="536EF2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B4887"/>
    <w:multiLevelType w:val="hybridMultilevel"/>
    <w:tmpl w:val="1C2C42D2"/>
    <w:lvl w:ilvl="0" w:tplc="448E7F7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EE3599"/>
    <w:multiLevelType w:val="hybridMultilevel"/>
    <w:tmpl w:val="A552E944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66D70"/>
    <w:multiLevelType w:val="hybridMultilevel"/>
    <w:tmpl w:val="3FDC6860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B222B"/>
    <w:multiLevelType w:val="hybridMultilevel"/>
    <w:tmpl w:val="2E84F05A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15B33"/>
    <w:multiLevelType w:val="hybridMultilevel"/>
    <w:tmpl w:val="9EC2F2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91096"/>
    <w:multiLevelType w:val="hybridMultilevel"/>
    <w:tmpl w:val="E5C0A6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B072C"/>
    <w:multiLevelType w:val="hybridMultilevel"/>
    <w:tmpl w:val="AE1042F0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25123"/>
    <w:multiLevelType w:val="hybridMultilevel"/>
    <w:tmpl w:val="ED708E0E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816BC"/>
    <w:multiLevelType w:val="hybridMultilevel"/>
    <w:tmpl w:val="B02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44E17"/>
    <w:multiLevelType w:val="hybridMultilevel"/>
    <w:tmpl w:val="1302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A1A5F"/>
    <w:multiLevelType w:val="hybridMultilevel"/>
    <w:tmpl w:val="BB58D3AC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26C96"/>
    <w:multiLevelType w:val="hybridMultilevel"/>
    <w:tmpl w:val="735ACA2A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24"/>
  </w:num>
  <w:num w:numId="5">
    <w:abstractNumId w:val="32"/>
  </w:num>
  <w:num w:numId="6">
    <w:abstractNumId w:val="7"/>
  </w:num>
  <w:num w:numId="7">
    <w:abstractNumId w:val="39"/>
  </w:num>
  <w:num w:numId="8">
    <w:abstractNumId w:val="29"/>
  </w:num>
  <w:num w:numId="9">
    <w:abstractNumId w:val="36"/>
  </w:num>
  <w:num w:numId="10">
    <w:abstractNumId w:val="20"/>
  </w:num>
  <w:num w:numId="11">
    <w:abstractNumId w:val="21"/>
  </w:num>
  <w:num w:numId="12">
    <w:abstractNumId w:val="23"/>
  </w:num>
  <w:num w:numId="13">
    <w:abstractNumId w:val="37"/>
  </w:num>
  <w:num w:numId="14">
    <w:abstractNumId w:val="5"/>
  </w:num>
  <w:num w:numId="15">
    <w:abstractNumId w:val="30"/>
  </w:num>
  <w:num w:numId="16">
    <w:abstractNumId w:val="40"/>
  </w:num>
  <w:num w:numId="17">
    <w:abstractNumId w:val="35"/>
  </w:num>
  <w:num w:numId="18">
    <w:abstractNumId w:val="31"/>
  </w:num>
  <w:num w:numId="19">
    <w:abstractNumId w:val="8"/>
  </w:num>
  <w:num w:numId="20">
    <w:abstractNumId w:val="16"/>
  </w:num>
  <w:num w:numId="21">
    <w:abstractNumId w:val="12"/>
  </w:num>
  <w:num w:numId="22">
    <w:abstractNumId w:val="2"/>
  </w:num>
  <w:num w:numId="23">
    <w:abstractNumId w:val="18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34"/>
  </w:num>
  <w:num w:numId="29">
    <w:abstractNumId w:val="3"/>
  </w:num>
  <w:num w:numId="30">
    <w:abstractNumId w:val="10"/>
  </w:num>
  <w:num w:numId="31">
    <w:abstractNumId w:val="15"/>
  </w:num>
  <w:num w:numId="32">
    <w:abstractNumId w:val="27"/>
  </w:num>
  <w:num w:numId="33">
    <w:abstractNumId w:val="38"/>
  </w:num>
  <w:num w:numId="34">
    <w:abstractNumId w:val="13"/>
  </w:num>
  <w:num w:numId="35">
    <w:abstractNumId w:val="25"/>
  </w:num>
  <w:num w:numId="36">
    <w:abstractNumId w:val="9"/>
  </w:num>
  <w:num w:numId="37">
    <w:abstractNumId w:val="0"/>
  </w:num>
  <w:num w:numId="38">
    <w:abstractNumId w:val="11"/>
  </w:num>
  <w:num w:numId="39">
    <w:abstractNumId w:val="28"/>
  </w:num>
  <w:num w:numId="40">
    <w:abstractNumId w:val="28"/>
  </w:num>
  <w:num w:numId="41">
    <w:abstractNumId w:val="6"/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8"/>
    <w:rsid w:val="00077495"/>
    <w:rsid w:val="0013003E"/>
    <w:rsid w:val="001418BF"/>
    <w:rsid w:val="00174924"/>
    <w:rsid w:val="001F14D3"/>
    <w:rsid w:val="001F3C2C"/>
    <w:rsid w:val="00237BCB"/>
    <w:rsid w:val="00240ECE"/>
    <w:rsid w:val="0036635B"/>
    <w:rsid w:val="00396208"/>
    <w:rsid w:val="003A0226"/>
    <w:rsid w:val="00433801"/>
    <w:rsid w:val="004B61BB"/>
    <w:rsid w:val="004C6D28"/>
    <w:rsid w:val="00527CA6"/>
    <w:rsid w:val="00557AF5"/>
    <w:rsid w:val="0056011F"/>
    <w:rsid w:val="005A7653"/>
    <w:rsid w:val="00644207"/>
    <w:rsid w:val="00681A79"/>
    <w:rsid w:val="006A712C"/>
    <w:rsid w:val="007163DD"/>
    <w:rsid w:val="007931F7"/>
    <w:rsid w:val="00841363"/>
    <w:rsid w:val="008F2CBE"/>
    <w:rsid w:val="00945725"/>
    <w:rsid w:val="009D4428"/>
    <w:rsid w:val="009F5187"/>
    <w:rsid w:val="00A03F9D"/>
    <w:rsid w:val="00AD3BE0"/>
    <w:rsid w:val="00AF4D4E"/>
    <w:rsid w:val="00B56CFB"/>
    <w:rsid w:val="00BA5EB3"/>
    <w:rsid w:val="00BC31B7"/>
    <w:rsid w:val="00CC50A9"/>
    <w:rsid w:val="00CF497F"/>
    <w:rsid w:val="00DD55FB"/>
    <w:rsid w:val="00E10B1F"/>
    <w:rsid w:val="00E5012E"/>
    <w:rsid w:val="00EB66CD"/>
    <w:rsid w:val="00EC29F7"/>
    <w:rsid w:val="00F046A0"/>
    <w:rsid w:val="00F63939"/>
    <w:rsid w:val="00FC0799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1A79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1A79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9D44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D4428"/>
    <w:pPr>
      <w:widowControl w:val="0"/>
      <w:shd w:val="clear" w:color="auto" w:fill="FFFFFF"/>
      <w:spacing w:before="280" w:after="280" w:line="200" w:lineRule="exact"/>
      <w:ind w:hanging="400"/>
    </w:pPr>
    <w:rPr>
      <w:rFonts w:ascii="Arial" w:eastAsia="Arial" w:hAnsi="Arial" w:cs="Arial"/>
      <w:b/>
      <w:bCs/>
      <w:sz w:val="18"/>
      <w:szCs w:val="1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locked/>
    <w:rsid w:val="009D442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9D4428"/>
    <w:pPr>
      <w:widowControl w:val="0"/>
      <w:shd w:val="clear" w:color="auto" w:fill="FFFFFF"/>
      <w:spacing w:before="360" w:after="280" w:line="269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sid w:val="009D442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9D442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9D4428"/>
    <w:pPr>
      <w:widowControl w:val="0"/>
      <w:shd w:val="clear" w:color="auto" w:fill="FFFFFF"/>
      <w:spacing w:after="0" w:line="268" w:lineRule="exact"/>
      <w:jc w:val="both"/>
      <w:outlineLvl w:val="1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9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28"/>
    <w:rPr>
      <w:color w:val="0000FF" w:themeColor="hyperlink"/>
      <w:u w:val="singl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locked/>
    <w:rsid w:val="009D442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D4428"/>
    <w:pPr>
      <w:widowControl w:val="0"/>
      <w:shd w:val="clear" w:color="auto" w:fill="FFFFFF"/>
      <w:spacing w:after="460" w:line="290" w:lineRule="exact"/>
      <w:ind w:hanging="40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9D442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2C"/>
  </w:style>
  <w:style w:type="paragraph" w:styleId="Footer">
    <w:name w:val="footer"/>
    <w:basedOn w:val="Normal"/>
    <w:link w:val="Foot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2C"/>
  </w:style>
  <w:style w:type="paragraph" w:styleId="ListParagraph">
    <w:name w:val="List Paragraph"/>
    <w:basedOn w:val="Normal"/>
    <w:uiPriority w:val="34"/>
    <w:qFormat/>
    <w:rsid w:val="00F63939"/>
    <w:pPr>
      <w:ind w:left="720"/>
      <w:contextualSpacing/>
    </w:pPr>
  </w:style>
  <w:style w:type="paragraph" w:styleId="NoSpacing">
    <w:name w:val="No Spacing"/>
    <w:uiPriority w:val="1"/>
    <w:qFormat/>
    <w:rsid w:val="001F14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A79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1A79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1A79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9D44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D4428"/>
    <w:pPr>
      <w:widowControl w:val="0"/>
      <w:shd w:val="clear" w:color="auto" w:fill="FFFFFF"/>
      <w:spacing w:before="280" w:after="280" w:line="200" w:lineRule="exact"/>
      <w:ind w:hanging="400"/>
    </w:pPr>
    <w:rPr>
      <w:rFonts w:ascii="Arial" w:eastAsia="Arial" w:hAnsi="Arial" w:cs="Arial"/>
      <w:b/>
      <w:bCs/>
      <w:sz w:val="18"/>
      <w:szCs w:val="1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locked/>
    <w:rsid w:val="009D442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9D4428"/>
    <w:pPr>
      <w:widowControl w:val="0"/>
      <w:shd w:val="clear" w:color="auto" w:fill="FFFFFF"/>
      <w:spacing w:before="360" w:after="280" w:line="269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sid w:val="009D442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9D442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9D4428"/>
    <w:pPr>
      <w:widowControl w:val="0"/>
      <w:shd w:val="clear" w:color="auto" w:fill="FFFFFF"/>
      <w:spacing w:after="0" w:line="268" w:lineRule="exact"/>
      <w:jc w:val="both"/>
      <w:outlineLvl w:val="1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9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28"/>
    <w:rPr>
      <w:color w:val="0000FF" w:themeColor="hyperlink"/>
      <w:u w:val="singl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locked/>
    <w:rsid w:val="009D442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D4428"/>
    <w:pPr>
      <w:widowControl w:val="0"/>
      <w:shd w:val="clear" w:color="auto" w:fill="FFFFFF"/>
      <w:spacing w:after="460" w:line="290" w:lineRule="exact"/>
      <w:ind w:hanging="40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9D442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2C"/>
  </w:style>
  <w:style w:type="paragraph" w:styleId="Footer">
    <w:name w:val="footer"/>
    <w:basedOn w:val="Normal"/>
    <w:link w:val="Foot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2C"/>
  </w:style>
  <w:style w:type="paragraph" w:styleId="ListParagraph">
    <w:name w:val="List Paragraph"/>
    <w:basedOn w:val="Normal"/>
    <w:uiPriority w:val="34"/>
    <w:qFormat/>
    <w:rsid w:val="00F63939"/>
    <w:pPr>
      <w:ind w:left="720"/>
      <w:contextualSpacing/>
    </w:pPr>
  </w:style>
  <w:style w:type="paragraph" w:styleId="NoSpacing">
    <w:name w:val="No Spacing"/>
    <w:uiPriority w:val="1"/>
    <w:qFormat/>
    <w:rsid w:val="001F14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A7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nes.gov.uk/services/children-young-people-and-families/child-protec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ceduresonline.com/sw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thnes.gov.uk/services/children-young-people-and-families/child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swc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Zywek</dc:creator>
  <cp:lastModifiedBy>Sally Churchyard</cp:lastModifiedBy>
  <cp:revision>14</cp:revision>
  <cp:lastPrinted>2019-08-08T14:07:00Z</cp:lastPrinted>
  <dcterms:created xsi:type="dcterms:W3CDTF">2019-09-22T20:55:00Z</dcterms:created>
  <dcterms:modified xsi:type="dcterms:W3CDTF">2019-09-22T23:26:00Z</dcterms:modified>
</cp:coreProperties>
</file>