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675663" w14:textId="77777777" w:rsidR="00EE6918" w:rsidRPr="001C647C" w:rsidRDefault="00EE6918">
      <w:pPr>
        <w:rPr>
          <w:rFonts w:ascii="Arial" w:hAnsi="Arial" w:cs="Arial"/>
        </w:rPr>
      </w:pPr>
    </w:p>
    <w:p w14:paraId="600636A7" w14:textId="77777777" w:rsidR="00EA0226" w:rsidRDefault="00EA0226" w:rsidP="00EE6918">
      <w:pPr>
        <w:rPr>
          <w:rFonts w:ascii="Arial" w:hAnsi="Arial" w:cs="Arial"/>
          <w:b/>
          <w:sz w:val="24"/>
          <w:szCs w:val="24"/>
          <w:u w:val="single"/>
        </w:rPr>
      </w:pPr>
      <w:r w:rsidRPr="00EA0226">
        <w:rPr>
          <w:noProof/>
        </w:rPr>
        <mc:AlternateContent>
          <mc:Choice Requires="wps">
            <w:drawing>
              <wp:anchor distT="0" distB="0" distL="114300" distR="114300" simplePos="0" relativeHeight="251659264" behindDoc="0" locked="0" layoutInCell="1" allowOverlap="1" wp14:anchorId="73A78B14" wp14:editId="0AE5A154">
                <wp:simplePos x="0" y="0"/>
                <wp:positionH relativeFrom="column">
                  <wp:posOffset>-83820</wp:posOffset>
                </wp:positionH>
                <wp:positionV relativeFrom="paragraph">
                  <wp:posOffset>128905</wp:posOffset>
                </wp:positionV>
                <wp:extent cx="6419850" cy="37147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9850" cy="371475"/>
                        </a:xfrm>
                        <a:prstGeom prst="rect">
                          <a:avLst/>
                        </a:prstGeom>
                        <a:noFill/>
                        <a:ln w="9525">
                          <a:noFill/>
                          <a:miter lim="800000"/>
                          <a:headEnd/>
                          <a:tailEnd/>
                        </a:ln>
                      </wps:spPr>
                      <wps:txbx>
                        <w:txbxContent>
                          <w:p w14:paraId="4B2356EB" w14:textId="14906EE2" w:rsidR="00E7438B" w:rsidRPr="005D065A" w:rsidRDefault="00E7438B" w:rsidP="002F437B">
                            <w:pPr>
                              <w:jc w:val="center"/>
                              <w:rPr>
                                <w:rFonts w:ascii="Arial" w:hAnsi="Arial" w:cs="Arial"/>
                                <w:b/>
                                <w:sz w:val="32"/>
                                <w:szCs w:val="24"/>
                              </w:rPr>
                            </w:pPr>
                            <w:r w:rsidRPr="005D065A">
                              <w:rPr>
                                <w:rFonts w:ascii="Arial" w:hAnsi="Arial" w:cs="Arial"/>
                                <w:b/>
                                <w:sz w:val="32"/>
                                <w:szCs w:val="24"/>
                              </w:rPr>
                              <w:t xml:space="preserve">Gender Pay Gap Report </w:t>
                            </w:r>
                            <w:r w:rsidR="002C783B">
                              <w:rPr>
                                <w:rFonts w:ascii="Arial" w:hAnsi="Arial" w:cs="Arial"/>
                                <w:b/>
                                <w:sz w:val="32"/>
                                <w:szCs w:val="24"/>
                              </w:rPr>
                              <w:t xml:space="preserve">- </w:t>
                            </w:r>
                            <w:r>
                              <w:rPr>
                                <w:rFonts w:ascii="Arial" w:hAnsi="Arial" w:cs="Arial"/>
                                <w:b/>
                                <w:sz w:val="32"/>
                                <w:szCs w:val="24"/>
                              </w:rPr>
                              <w:t>snapshot date of 31 March</w:t>
                            </w:r>
                            <w:r w:rsidR="002C783B">
                              <w:rPr>
                                <w:rFonts w:ascii="Arial" w:hAnsi="Arial" w:cs="Arial"/>
                                <w:b/>
                                <w:sz w:val="32"/>
                                <w:szCs w:val="24"/>
                              </w:rPr>
                              <w:t xml:space="preserve"> 2021</w:t>
                            </w:r>
                          </w:p>
                          <w:p w14:paraId="25CA44F3" w14:textId="77777777" w:rsidR="00E7438B" w:rsidRDefault="00E7438B" w:rsidP="00EA022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3A78B14" id="_x0000_t202" coordsize="21600,21600" o:spt="202" path="m,l,21600r21600,l21600,xe">
                <v:stroke joinstyle="miter"/>
                <v:path gradientshapeok="t" o:connecttype="rect"/>
              </v:shapetype>
              <v:shape id="Text Box 2" o:spid="_x0000_s1026" type="#_x0000_t202" style="position:absolute;margin-left:-6.6pt;margin-top:10.15pt;width:505.5pt;height:2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" filled="f" stroked="f">
                <v:textbox>
                  <w:txbxContent>
                    <w:p w14:paraId="4B2356EB" w14:textId="14906EE2" w:rsidR="00E7438B" w:rsidRPr="005D065A" w:rsidRDefault="00E7438B" w:rsidP="002F437B">
                      <w:pPr>
                        <w:jc w:val="center"/>
                        <w:rPr>
                          <w:rFonts w:ascii="Arial" w:hAnsi="Arial" w:cs="Arial"/>
                          <w:b/>
                          <w:sz w:val="32"/>
                          <w:szCs w:val="24"/>
                        </w:rPr>
                      </w:pPr>
                      <w:r w:rsidRPr="005D065A">
                        <w:rPr>
                          <w:rFonts w:ascii="Arial" w:hAnsi="Arial" w:cs="Arial"/>
                          <w:b/>
                          <w:sz w:val="32"/>
                          <w:szCs w:val="24"/>
                        </w:rPr>
                        <w:t xml:space="preserve">Gender Pay Gap Report </w:t>
                      </w:r>
                      <w:r w:rsidR="002C783B">
                        <w:rPr>
                          <w:rFonts w:ascii="Arial" w:hAnsi="Arial" w:cs="Arial"/>
                          <w:b/>
                          <w:sz w:val="32"/>
                          <w:szCs w:val="24"/>
                        </w:rPr>
                        <w:t xml:space="preserve">- </w:t>
                      </w:r>
                      <w:r>
                        <w:rPr>
                          <w:rFonts w:ascii="Arial" w:hAnsi="Arial" w:cs="Arial"/>
                          <w:b/>
                          <w:sz w:val="32"/>
                          <w:szCs w:val="24"/>
                        </w:rPr>
                        <w:t>snapshot date of 31 March</w:t>
                      </w:r>
                      <w:r w:rsidR="002C783B">
                        <w:rPr>
                          <w:rFonts w:ascii="Arial" w:hAnsi="Arial" w:cs="Arial"/>
                          <w:b/>
                          <w:sz w:val="32"/>
                          <w:szCs w:val="24"/>
                        </w:rPr>
                        <w:t xml:space="preserve"> 2021</w:t>
                      </w:r>
                    </w:p>
                    <w:p w14:paraId="25CA44F3" w14:textId="77777777" w:rsidR="00E7438B" w:rsidRDefault="00E7438B" w:rsidP="00EA0226"/>
                  </w:txbxContent>
                </v:textbox>
              </v:shape>
            </w:pict>
          </mc:Fallback>
        </mc:AlternateContent>
      </w:r>
    </w:p>
    <w:p w14:paraId="696B9B34" w14:textId="77777777" w:rsidR="00EA0226" w:rsidRDefault="00EA0226" w:rsidP="00EE6918">
      <w:pPr>
        <w:rPr>
          <w:rFonts w:ascii="Arial" w:hAnsi="Arial" w:cs="Arial"/>
          <w:b/>
          <w:sz w:val="24"/>
          <w:szCs w:val="24"/>
          <w:u w:val="single"/>
        </w:rPr>
      </w:pPr>
    </w:p>
    <w:p w14:paraId="602E015D" w14:textId="77777777" w:rsidR="00EA0226" w:rsidRDefault="00EA0226" w:rsidP="00EE6918">
      <w:pPr>
        <w:rPr>
          <w:rFonts w:ascii="Arial" w:hAnsi="Arial" w:cs="Arial"/>
          <w:b/>
          <w:sz w:val="24"/>
          <w:szCs w:val="24"/>
          <w:u w:val="single"/>
        </w:rPr>
      </w:pPr>
    </w:p>
    <w:p w14:paraId="5FF74711" w14:textId="77777777" w:rsidR="007D7FA9" w:rsidRPr="007D7FA9" w:rsidRDefault="007D7FA9" w:rsidP="00EE6918">
      <w:pPr>
        <w:rPr>
          <w:rFonts w:ascii="Arial" w:hAnsi="Arial" w:cs="Arial"/>
          <w:sz w:val="10"/>
          <w:szCs w:val="24"/>
        </w:rPr>
      </w:pPr>
    </w:p>
    <w:p w14:paraId="2C6E41CD" w14:textId="77777777" w:rsidR="000267F0" w:rsidRPr="001C647C" w:rsidRDefault="00EE6918" w:rsidP="00EE6918">
      <w:pPr>
        <w:rPr>
          <w:rFonts w:ascii="Arial" w:hAnsi="Arial" w:cs="Arial"/>
          <w:sz w:val="24"/>
          <w:szCs w:val="24"/>
        </w:rPr>
      </w:pPr>
      <w:r w:rsidRPr="001C647C">
        <w:rPr>
          <w:rFonts w:ascii="Arial" w:hAnsi="Arial" w:cs="Arial"/>
          <w:sz w:val="24"/>
          <w:szCs w:val="24"/>
        </w:rPr>
        <w:t xml:space="preserve">The gender pay </w:t>
      </w:r>
      <w:r w:rsidR="0088753D">
        <w:rPr>
          <w:rFonts w:ascii="Arial" w:hAnsi="Arial" w:cs="Arial"/>
          <w:sz w:val="24"/>
          <w:szCs w:val="24"/>
        </w:rPr>
        <w:t xml:space="preserve">gap is different to equal pay. </w:t>
      </w:r>
      <w:r w:rsidRPr="001C647C">
        <w:rPr>
          <w:rFonts w:ascii="Arial" w:hAnsi="Arial" w:cs="Arial"/>
          <w:sz w:val="24"/>
          <w:szCs w:val="24"/>
        </w:rPr>
        <w:t>Equal pay relates to men and women recei</w:t>
      </w:r>
      <w:r w:rsidR="0088753D">
        <w:rPr>
          <w:rFonts w:ascii="Arial" w:hAnsi="Arial" w:cs="Arial"/>
          <w:sz w:val="24"/>
          <w:szCs w:val="24"/>
        </w:rPr>
        <w:t xml:space="preserve">ving equal pay for equal work. </w:t>
      </w:r>
      <w:r w:rsidRPr="001C647C">
        <w:rPr>
          <w:rFonts w:ascii="Arial" w:hAnsi="Arial" w:cs="Arial"/>
          <w:sz w:val="24"/>
          <w:szCs w:val="24"/>
        </w:rPr>
        <w:t xml:space="preserve">The gender pay gap is </w:t>
      </w:r>
      <w:r w:rsidR="000267F0" w:rsidRPr="001C647C">
        <w:rPr>
          <w:rFonts w:ascii="Arial" w:hAnsi="Arial" w:cs="Arial"/>
          <w:sz w:val="24"/>
          <w:szCs w:val="24"/>
        </w:rPr>
        <w:t>concerned with differences in the average earnings of men and women, regardle</w:t>
      </w:r>
      <w:r w:rsidR="0088753D">
        <w:rPr>
          <w:rFonts w:ascii="Arial" w:hAnsi="Arial" w:cs="Arial"/>
          <w:sz w:val="24"/>
          <w:szCs w:val="24"/>
        </w:rPr>
        <w:t xml:space="preserve">ss of their role or seniority. </w:t>
      </w:r>
      <w:r w:rsidR="000267F0" w:rsidRPr="001C647C">
        <w:rPr>
          <w:rFonts w:ascii="Arial" w:hAnsi="Arial" w:cs="Arial"/>
          <w:sz w:val="24"/>
          <w:szCs w:val="24"/>
        </w:rPr>
        <w:t>It is a broader measure that captures the pay inequalities resulting from differences in the sorts of jobs performed by men and women in the workforce.</w:t>
      </w:r>
    </w:p>
    <w:p w14:paraId="1CDF1B29" w14:textId="77777777" w:rsidR="000267F0" w:rsidRPr="001C647C" w:rsidRDefault="000267F0" w:rsidP="00EE6918">
      <w:pPr>
        <w:rPr>
          <w:rFonts w:ascii="Arial" w:hAnsi="Arial" w:cs="Arial"/>
          <w:sz w:val="24"/>
          <w:szCs w:val="24"/>
        </w:rPr>
      </w:pPr>
    </w:p>
    <w:p w14:paraId="3621A486" w14:textId="77777777" w:rsidR="00275DA6" w:rsidRPr="001C647C" w:rsidRDefault="00F51AF8" w:rsidP="00EE6918">
      <w:pPr>
        <w:rPr>
          <w:rFonts w:ascii="Arial" w:hAnsi="Arial" w:cs="Arial"/>
          <w:sz w:val="24"/>
          <w:szCs w:val="24"/>
        </w:rPr>
      </w:pPr>
      <w:r w:rsidRPr="001C647C">
        <w:rPr>
          <w:rFonts w:ascii="Arial" w:hAnsi="Arial" w:cs="Arial"/>
          <w:sz w:val="24"/>
          <w:szCs w:val="24"/>
        </w:rPr>
        <w:t>The data set out in this report has been calculated using the standard methodologies used in the Equality Act 2010 (Gender Pay Gap Information) Regulations 2017.</w:t>
      </w:r>
    </w:p>
    <w:p w14:paraId="43B17E19" w14:textId="77777777" w:rsidR="00275DA6" w:rsidRPr="001C647C" w:rsidRDefault="00275DA6" w:rsidP="00EE6918">
      <w:pPr>
        <w:rPr>
          <w:rFonts w:ascii="Arial" w:hAnsi="Arial" w:cs="Arial"/>
          <w:sz w:val="24"/>
          <w:szCs w:val="24"/>
        </w:rPr>
      </w:pPr>
    </w:p>
    <w:p w14:paraId="0B3F619F" w14:textId="77777777" w:rsidR="001C4976" w:rsidRDefault="001C4976" w:rsidP="00EE6918">
      <w:pPr>
        <w:rPr>
          <w:rFonts w:ascii="Arial" w:hAnsi="Arial" w:cs="Arial"/>
          <w:b/>
          <w:sz w:val="24"/>
          <w:szCs w:val="24"/>
        </w:rPr>
      </w:pPr>
    </w:p>
    <w:p w14:paraId="1990D0C1" w14:textId="77777777" w:rsidR="0088753D" w:rsidRPr="001C647C" w:rsidRDefault="00FB77F4" w:rsidP="00EE6918">
      <w:pPr>
        <w:rPr>
          <w:rFonts w:ascii="Arial" w:hAnsi="Arial" w:cs="Arial"/>
          <w:b/>
          <w:sz w:val="24"/>
          <w:szCs w:val="24"/>
        </w:rPr>
      </w:pPr>
      <w:r w:rsidRPr="001C647C">
        <w:rPr>
          <w:rFonts w:ascii="Arial" w:hAnsi="Arial" w:cs="Arial"/>
          <w:b/>
          <w:sz w:val="24"/>
          <w:szCs w:val="24"/>
        </w:rPr>
        <w:t>Workforce Profile</w:t>
      </w:r>
    </w:p>
    <w:p w14:paraId="63A5343C" w14:textId="77777777" w:rsidR="00FB77F4" w:rsidRPr="001C647C" w:rsidRDefault="00FB77F4" w:rsidP="00EE6918">
      <w:pPr>
        <w:rPr>
          <w:rFonts w:ascii="Arial" w:hAnsi="Arial" w:cs="Arial"/>
          <w:sz w:val="24"/>
          <w:szCs w:val="24"/>
        </w:rPr>
      </w:pPr>
    </w:p>
    <w:p w14:paraId="53D1BD82" w14:textId="27A3F6FE" w:rsidR="00FB77F4" w:rsidRPr="001C647C" w:rsidRDefault="00FB77F4" w:rsidP="00EE6918">
      <w:pPr>
        <w:rPr>
          <w:rFonts w:ascii="Arial" w:hAnsi="Arial" w:cs="Arial"/>
          <w:sz w:val="24"/>
          <w:szCs w:val="24"/>
        </w:rPr>
      </w:pPr>
      <w:r w:rsidRPr="004457FB">
        <w:rPr>
          <w:rFonts w:ascii="Arial" w:hAnsi="Arial" w:cs="Arial"/>
          <w:sz w:val="24"/>
          <w:szCs w:val="24"/>
        </w:rPr>
        <w:t xml:space="preserve">There were </w:t>
      </w:r>
      <w:r w:rsidR="00B20461">
        <w:rPr>
          <w:rFonts w:ascii="Arial" w:hAnsi="Arial" w:cs="Arial"/>
          <w:sz w:val="24"/>
          <w:szCs w:val="24"/>
        </w:rPr>
        <w:t>2488</w:t>
      </w:r>
      <w:r w:rsidR="00B20461" w:rsidRPr="004457FB">
        <w:rPr>
          <w:rFonts w:ascii="Arial" w:hAnsi="Arial" w:cs="Arial"/>
          <w:sz w:val="24"/>
          <w:szCs w:val="24"/>
        </w:rPr>
        <w:t xml:space="preserve"> </w:t>
      </w:r>
      <w:r w:rsidRPr="004457FB">
        <w:rPr>
          <w:rFonts w:ascii="Arial" w:hAnsi="Arial" w:cs="Arial"/>
          <w:sz w:val="24"/>
          <w:szCs w:val="24"/>
        </w:rPr>
        <w:t xml:space="preserve">employees working on the snapshot date of 31 March </w:t>
      </w:r>
      <w:r w:rsidR="00E604AA">
        <w:rPr>
          <w:rFonts w:ascii="Arial" w:hAnsi="Arial" w:cs="Arial"/>
          <w:sz w:val="24"/>
          <w:szCs w:val="24"/>
        </w:rPr>
        <w:t>202</w:t>
      </w:r>
      <w:r w:rsidR="00B20461">
        <w:rPr>
          <w:rFonts w:ascii="Arial" w:hAnsi="Arial" w:cs="Arial"/>
          <w:sz w:val="24"/>
          <w:szCs w:val="24"/>
        </w:rPr>
        <w:t>1</w:t>
      </w:r>
      <w:r w:rsidR="006F3512">
        <w:rPr>
          <w:rFonts w:ascii="Arial" w:hAnsi="Arial" w:cs="Arial"/>
          <w:sz w:val="24"/>
          <w:szCs w:val="24"/>
        </w:rPr>
        <w:t xml:space="preserve">. </w:t>
      </w:r>
      <w:r w:rsidRPr="004457FB">
        <w:rPr>
          <w:rFonts w:ascii="Arial" w:hAnsi="Arial" w:cs="Arial"/>
          <w:sz w:val="24"/>
          <w:szCs w:val="24"/>
        </w:rPr>
        <w:t xml:space="preserve">At this date the workforce comprised of </w:t>
      </w:r>
      <w:r w:rsidR="00B20461">
        <w:rPr>
          <w:rFonts w:ascii="Arial" w:hAnsi="Arial" w:cs="Arial"/>
          <w:sz w:val="24"/>
          <w:szCs w:val="24"/>
        </w:rPr>
        <w:t>62.</w:t>
      </w:r>
      <w:r w:rsidR="00906C19">
        <w:rPr>
          <w:rFonts w:ascii="Arial" w:hAnsi="Arial" w:cs="Arial"/>
          <w:sz w:val="24"/>
          <w:szCs w:val="24"/>
        </w:rPr>
        <w:t>4</w:t>
      </w:r>
      <w:r w:rsidRPr="004457FB">
        <w:rPr>
          <w:rFonts w:ascii="Arial" w:hAnsi="Arial" w:cs="Arial"/>
          <w:sz w:val="24"/>
          <w:szCs w:val="24"/>
        </w:rPr>
        <w:t xml:space="preserve">% female and </w:t>
      </w:r>
      <w:r w:rsidR="001A2E20">
        <w:rPr>
          <w:rFonts w:ascii="Arial" w:hAnsi="Arial" w:cs="Arial"/>
          <w:sz w:val="24"/>
          <w:szCs w:val="24"/>
        </w:rPr>
        <w:t>37.6</w:t>
      </w:r>
      <w:r w:rsidRPr="004457FB">
        <w:rPr>
          <w:rFonts w:ascii="Arial" w:hAnsi="Arial" w:cs="Arial"/>
          <w:sz w:val="24"/>
          <w:szCs w:val="24"/>
        </w:rPr>
        <w:t>% male</w:t>
      </w:r>
      <w:r w:rsidR="006F3512">
        <w:rPr>
          <w:rFonts w:ascii="Arial" w:hAnsi="Arial" w:cs="Arial"/>
          <w:sz w:val="24"/>
          <w:szCs w:val="24"/>
        </w:rPr>
        <w:t xml:space="preserve"> employees. </w:t>
      </w:r>
    </w:p>
    <w:p w14:paraId="0275A6B5" w14:textId="77777777" w:rsidR="00EB69A8" w:rsidRDefault="00EB69A8" w:rsidP="00EB69A8">
      <w:pPr>
        <w:rPr>
          <w:rFonts w:ascii="Arial" w:hAnsi="Arial" w:cs="Arial"/>
        </w:rPr>
      </w:pPr>
    </w:p>
    <w:p w14:paraId="7F0BF7D5" w14:textId="61EEB308" w:rsidR="00EB69A8" w:rsidRPr="00CE109C" w:rsidRDefault="00EB69A8" w:rsidP="00EB69A8">
      <w:pPr>
        <w:rPr>
          <w:rFonts w:ascii="Arial" w:hAnsi="Arial" w:cs="Arial"/>
          <w:sz w:val="24"/>
          <w:szCs w:val="24"/>
        </w:rPr>
      </w:pPr>
      <w:r w:rsidRPr="00CE109C">
        <w:rPr>
          <w:rFonts w:ascii="Arial" w:hAnsi="Arial" w:cs="Arial"/>
          <w:sz w:val="24"/>
          <w:szCs w:val="24"/>
        </w:rPr>
        <w:t xml:space="preserve">The job roles across the council cover a broad spectrum of services and work activities in a wide range of roles.  We have </w:t>
      </w:r>
      <w:r w:rsidR="00213A99">
        <w:rPr>
          <w:rFonts w:ascii="Arial" w:hAnsi="Arial" w:cs="Arial"/>
          <w:sz w:val="24"/>
          <w:szCs w:val="24"/>
        </w:rPr>
        <w:t>over</w:t>
      </w:r>
      <w:r w:rsidRPr="00CE109C">
        <w:rPr>
          <w:rFonts w:ascii="Arial" w:hAnsi="Arial" w:cs="Arial"/>
          <w:sz w:val="24"/>
          <w:szCs w:val="24"/>
        </w:rPr>
        <w:t xml:space="preserve"> 1</w:t>
      </w:r>
      <w:r w:rsidR="00213A99">
        <w:rPr>
          <w:rFonts w:ascii="Arial" w:hAnsi="Arial" w:cs="Arial"/>
          <w:sz w:val="24"/>
          <w:szCs w:val="24"/>
        </w:rPr>
        <w:t>000</w:t>
      </w:r>
      <w:r w:rsidRPr="00CE109C">
        <w:rPr>
          <w:rFonts w:ascii="Arial" w:hAnsi="Arial" w:cs="Arial"/>
          <w:sz w:val="24"/>
          <w:szCs w:val="24"/>
        </w:rPr>
        <w:t xml:space="preserve"> staff employed in frontline operational roles as waste and recycling operatives, as Registrars, in bereavement services, in customer services and libraries, in highways, as visitor assistants in our museums and heritage services, and as support</w:t>
      </w:r>
      <w:r w:rsidR="00C15591">
        <w:rPr>
          <w:rFonts w:ascii="Arial" w:hAnsi="Arial" w:cs="Arial"/>
          <w:sz w:val="24"/>
          <w:szCs w:val="24"/>
        </w:rPr>
        <w:t xml:space="preserve"> (care)</w:t>
      </w:r>
      <w:r w:rsidRPr="00CE109C">
        <w:rPr>
          <w:rFonts w:ascii="Arial" w:hAnsi="Arial" w:cs="Arial"/>
          <w:sz w:val="24"/>
          <w:szCs w:val="24"/>
        </w:rPr>
        <w:t xml:space="preserve"> workers in our care homes.  We have around 400 staff employed in frontline social care, education and protection roles working in environmental health, public protection, mental health, children’s social workers, educational psychologists, SEND support and safeguarding.  We also employ </w:t>
      </w:r>
      <w:r w:rsidR="002579D5">
        <w:rPr>
          <w:rFonts w:ascii="Arial" w:hAnsi="Arial" w:cs="Arial"/>
          <w:sz w:val="24"/>
          <w:szCs w:val="24"/>
        </w:rPr>
        <w:t>over</w:t>
      </w:r>
      <w:r w:rsidRPr="00CE109C">
        <w:rPr>
          <w:rFonts w:ascii="Arial" w:hAnsi="Arial" w:cs="Arial"/>
          <w:sz w:val="24"/>
          <w:szCs w:val="24"/>
        </w:rPr>
        <w:t xml:space="preserve"> </w:t>
      </w:r>
      <w:r w:rsidR="002579D5">
        <w:rPr>
          <w:rFonts w:ascii="Arial" w:hAnsi="Arial" w:cs="Arial"/>
          <w:sz w:val="24"/>
          <w:szCs w:val="24"/>
        </w:rPr>
        <w:t>1000</w:t>
      </w:r>
      <w:r w:rsidRPr="00CE109C">
        <w:rPr>
          <w:rFonts w:ascii="Arial" w:hAnsi="Arial" w:cs="Arial"/>
          <w:sz w:val="24"/>
          <w:szCs w:val="24"/>
        </w:rPr>
        <w:t xml:space="preserve"> staff in professional and support office-based roles such as planning, finance, HR&amp;OD, IT and pensions.</w:t>
      </w:r>
    </w:p>
    <w:p w14:paraId="30600AA8" w14:textId="77777777" w:rsidR="00FB77F4" w:rsidRPr="00FB70B4" w:rsidRDefault="00FB77F4" w:rsidP="00EE6918">
      <w:pPr>
        <w:rPr>
          <w:rFonts w:ascii="Arial" w:hAnsi="Arial" w:cs="Arial"/>
          <w:sz w:val="24"/>
          <w:szCs w:val="24"/>
        </w:rPr>
      </w:pPr>
    </w:p>
    <w:p w14:paraId="6F858E1E" w14:textId="283D8BBF" w:rsidR="00FB70B4" w:rsidRDefault="00FB70B4" w:rsidP="00EE6918">
      <w:pPr>
        <w:rPr>
          <w:rFonts w:ascii="Arial" w:hAnsi="Arial" w:cs="Arial"/>
          <w:sz w:val="24"/>
          <w:szCs w:val="24"/>
          <w:lang w:val="en"/>
        </w:rPr>
      </w:pPr>
      <w:r w:rsidRPr="001C647C">
        <w:rPr>
          <w:rFonts w:ascii="Arial" w:hAnsi="Arial" w:cs="Arial"/>
          <w:sz w:val="24"/>
          <w:szCs w:val="24"/>
          <w:lang w:val="en"/>
        </w:rPr>
        <w:t xml:space="preserve">Of this headcount, </w:t>
      </w:r>
      <w:r w:rsidR="00DA1FC7">
        <w:rPr>
          <w:rFonts w:ascii="Arial" w:hAnsi="Arial" w:cs="Arial"/>
          <w:sz w:val="24"/>
          <w:szCs w:val="24"/>
          <w:lang w:val="en"/>
        </w:rPr>
        <w:t>2401</w:t>
      </w:r>
      <w:r w:rsidR="00DA1FC7" w:rsidRPr="001C647C">
        <w:rPr>
          <w:rFonts w:ascii="Arial" w:hAnsi="Arial" w:cs="Arial"/>
          <w:sz w:val="24"/>
          <w:szCs w:val="24"/>
          <w:lang w:val="en"/>
        </w:rPr>
        <w:t xml:space="preserve"> </w:t>
      </w:r>
      <w:r w:rsidRPr="001C647C">
        <w:rPr>
          <w:rFonts w:ascii="Arial" w:hAnsi="Arial" w:cs="Arial"/>
          <w:sz w:val="24"/>
          <w:szCs w:val="24"/>
          <w:lang w:val="en"/>
        </w:rPr>
        <w:t>employees were identified as ‘full pay relevant employees’</w:t>
      </w:r>
      <w:r w:rsidR="00891B84" w:rsidRPr="008B5D46">
        <w:rPr>
          <w:rStyle w:val="FootnoteReference"/>
          <w:rFonts w:ascii="Arial" w:hAnsi="Arial" w:cs="Arial"/>
          <w:sz w:val="24"/>
          <w:szCs w:val="24"/>
        </w:rPr>
        <w:footnoteReference w:id="1"/>
      </w:r>
      <w:r w:rsidRPr="001C647C">
        <w:rPr>
          <w:rFonts w:ascii="Arial" w:hAnsi="Arial" w:cs="Arial"/>
          <w:sz w:val="24"/>
          <w:szCs w:val="24"/>
          <w:lang w:val="en"/>
        </w:rPr>
        <w:t>, as set out in the regulations, and included in the calculations</w:t>
      </w:r>
      <w:r w:rsidR="00EF38B2">
        <w:rPr>
          <w:rFonts w:ascii="Arial" w:hAnsi="Arial" w:cs="Arial"/>
          <w:sz w:val="24"/>
          <w:szCs w:val="24"/>
          <w:lang w:val="en"/>
        </w:rPr>
        <w:t>.</w:t>
      </w:r>
    </w:p>
    <w:p w14:paraId="11C971F1" w14:textId="7AFA18D0" w:rsidR="00F34A50" w:rsidRDefault="00F34A50" w:rsidP="00EE6918">
      <w:pPr>
        <w:rPr>
          <w:rFonts w:ascii="Arial" w:hAnsi="Arial" w:cs="Arial"/>
          <w:sz w:val="24"/>
          <w:szCs w:val="24"/>
          <w:lang w:val="en"/>
        </w:rPr>
      </w:pPr>
    </w:p>
    <w:p w14:paraId="5F389B8C" w14:textId="728059E5" w:rsidR="00604DA9" w:rsidRDefault="00F34A50" w:rsidP="00DD219F">
      <w:pPr>
        <w:rPr>
          <w:rFonts w:ascii="Arial" w:hAnsi="Arial" w:cs="Arial"/>
          <w:sz w:val="24"/>
          <w:szCs w:val="24"/>
        </w:rPr>
      </w:pPr>
      <w:r>
        <w:rPr>
          <w:rFonts w:ascii="Arial" w:hAnsi="Arial" w:cs="Arial"/>
          <w:sz w:val="24"/>
          <w:szCs w:val="24"/>
          <w:lang w:val="en"/>
        </w:rPr>
        <w:t xml:space="preserve">During </w:t>
      </w:r>
      <w:r w:rsidR="00EF38B2">
        <w:rPr>
          <w:rFonts w:ascii="Arial" w:hAnsi="Arial" w:cs="Arial"/>
          <w:sz w:val="24"/>
          <w:szCs w:val="24"/>
          <w:lang w:val="en"/>
        </w:rPr>
        <w:t>the f</w:t>
      </w:r>
      <w:r>
        <w:rPr>
          <w:rFonts w:ascii="Arial" w:hAnsi="Arial" w:cs="Arial"/>
          <w:sz w:val="24"/>
          <w:szCs w:val="24"/>
          <w:lang w:val="en"/>
        </w:rPr>
        <w:t xml:space="preserve">inancial year of </w:t>
      </w:r>
      <w:r w:rsidR="002C783B">
        <w:rPr>
          <w:rFonts w:ascii="Arial" w:hAnsi="Arial" w:cs="Arial"/>
          <w:sz w:val="24"/>
          <w:szCs w:val="24"/>
          <w:lang w:val="en"/>
        </w:rPr>
        <w:t>2020/2021</w:t>
      </w:r>
      <w:r>
        <w:rPr>
          <w:rFonts w:ascii="Arial" w:hAnsi="Arial" w:cs="Arial"/>
          <w:sz w:val="24"/>
          <w:szCs w:val="24"/>
          <w:lang w:val="en"/>
        </w:rPr>
        <w:t xml:space="preserve"> there </w:t>
      </w:r>
      <w:r w:rsidR="00DD219F">
        <w:rPr>
          <w:rFonts w:ascii="Arial" w:hAnsi="Arial" w:cs="Arial"/>
          <w:sz w:val="24"/>
          <w:szCs w:val="24"/>
          <w:lang w:val="en"/>
        </w:rPr>
        <w:t>was one significant</w:t>
      </w:r>
      <w:r>
        <w:rPr>
          <w:rFonts w:ascii="Arial" w:hAnsi="Arial" w:cs="Arial"/>
          <w:sz w:val="24"/>
          <w:szCs w:val="24"/>
          <w:lang w:val="en"/>
        </w:rPr>
        <w:t xml:space="preserve"> staffing change that will have had </w:t>
      </w:r>
      <w:r w:rsidR="00B5633E">
        <w:rPr>
          <w:rFonts w:ascii="Arial" w:hAnsi="Arial" w:cs="Arial"/>
          <w:sz w:val="24"/>
          <w:szCs w:val="24"/>
          <w:lang w:val="en"/>
        </w:rPr>
        <w:t>a</w:t>
      </w:r>
      <w:r w:rsidR="002C783B">
        <w:rPr>
          <w:rFonts w:ascii="Arial" w:hAnsi="Arial" w:cs="Arial"/>
          <w:sz w:val="24"/>
          <w:szCs w:val="24"/>
          <w:lang w:val="en"/>
        </w:rPr>
        <w:t>n</w:t>
      </w:r>
      <w:r w:rsidR="002B2F61">
        <w:rPr>
          <w:rFonts w:ascii="Arial" w:hAnsi="Arial" w:cs="Arial"/>
          <w:sz w:val="24"/>
          <w:szCs w:val="24"/>
          <w:lang w:val="en"/>
        </w:rPr>
        <w:t xml:space="preserve"> </w:t>
      </w:r>
      <w:r>
        <w:rPr>
          <w:rFonts w:ascii="Arial" w:hAnsi="Arial" w:cs="Arial"/>
          <w:sz w:val="24"/>
          <w:szCs w:val="24"/>
          <w:lang w:val="en"/>
        </w:rPr>
        <w:t xml:space="preserve">impact on the </w:t>
      </w:r>
      <w:r w:rsidR="002B2F61">
        <w:rPr>
          <w:rFonts w:ascii="Arial" w:hAnsi="Arial" w:cs="Arial"/>
          <w:sz w:val="24"/>
          <w:szCs w:val="24"/>
          <w:lang w:val="en"/>
        </w:rPr>
        <w:t xml:space="preserve">March </w:t>
      </w:r>
      <w:r w:rsidR="00E604AA">
        <w:rPr>
          <w:rFonts w:ascii="Arial" w:hAnsi="Arial" w:cs="Arial"/>
          <w:sz w:val="24"/>
          <w:szCs w:val="24"/>
          <w:lang w:val="en"/>
        </w:rPr>
        <w:t>202</w:t>
      </w:r>
      <w:r w:rsidR="002C783B">
        <w:rPr>
          <w:rFonts w:ascii="Arial" w:hAnsi="Arial" w:cs="Arial"/>
          <w:sz w:val="24"/>
          <w:szCs w:val="24"/>
          <w:lang w:val="en"/>
        </w:rPr>
        <w:t>1</w:t>
      </w:r>
      <w:r w:rsidR="00E604AA">
        <w:rPr>
          <w:rFonts w:ascii="Arial" w:hAnsi="Arial" w:cs="Arial"/>
          <w:sz w:val="24"/>
          <w:szCs w:val="24"/>
          <w:lang w:val="en"/>
        </w:rPr>
        <w:t xml:space="preserve"> </w:t>
      </w:r>
      <w:r>
        <w:rPr>
          <w:rFonts w:ascii="Arial" w:hAnsi="Arial" w:cs="Arial"/>
          <w:sz w:val="24"/>
          <w:szCs w:val="24"/>
          <w:lang w:val="en"/>
        </w:rPr>
        <w:t>Gender Pay figures</w:t>
      </w:r>
      <w:r w:rsidR="00A50106">
        <w:rPr>
          <w:rFonts w:ascii="Arial" w:hAnsi="Arial" w:cs="Arial"/>
          <w:sz w:val="24"/>
          <w:szCs w:val="24"/>
          <w:lang w:val="en"/>
        </w:rPr>
        <w:t xml:space="preserve">.  </w:t>
      </w:r>
      <w:r w:rsidR="002C783B" w:rsidRPr="00DD219F">
        <w:rPr>
          <w:rFonts w:ascii="Arial" w:hAnsi="Arial" w:cs="Arial"/>
          <w:sz w:val="24"/>
          <w:szCs w:val="24"/>
        </w:rPr>
        <w:t xml:space="preserve">The </w:t>
      </w:r>
      <w:r w:rsidR="002B2F61" w:rsidRPr="00DD219F">
        <w:rPr>
          <w:rFonts w:ascii="Arial" w:hAnsi="Arial" w:cs="Arial"/>
          <w:sz w:val="24"/>
          <w:szCs w:val="24"/>
        </w:rPr>
        <w:t xml:space="preserve">TUPE </w:t>
      </w:r>
      <w:r w:rsidR="002C783B" w:rsidRPr="00DD219F">
        <w:rPr>
          <w:rFonts w:ascii="Arial" w:hAnsi="Arial" w:cs="Arial"/>
          <w:sz w:val="24"/>
          <w:szCs w:val="24"/>
        </w:rPr>
        <w:t>transfer in</w:t>
      </w:r>
      <w:r w:rsidR="002B2F61" w:rsidRPr="00DD219F">
        <w:rPr>
          <w:rFonts w:ascii="Arial" w:hAnsi="Arial" w:cs="Arial"/>
          <w:sz w:val="24"/>
          <w:szCs w:val="24"/>
        </w:rPr>
        <w:t>to the council from Sirona</w:t>
      </w:r>
      <w:r w:rsidR="00637001" w:rsidRPr="00DD219F">
        <w:rPr>
          <w:rFonts w:ascii="Arial" w:hAnsi="Arial" w:cs="Arial"/>
          <w:sz w:val="24"/>
          <w:szCs w:val="24"/>
        </w:rPr>
        <w:t xml:space="preserve"> </w:t>
      </w:r>
      <w:r w:rsidR="00D032AE">
        <w:rPr>
          <w:rFonts w:ascii="Arial" w:hAnsi="Arial" w:cs="Arial"/>
          <w:sz w:val="24"/>
          <w:szCs w:val="24"/>
        </w:rPr>
        <w:t xml:space="preserve">Health Ltd, </w:t>
      </w:r>
      <w:r w:rsidR="002C783B" w:rsidRPr="00DD219F">
        <w:rPr>
          <w:rFonts w:ascii="Arial" w:hAnsi="Arial" w:cs="Arial"/>
          <w:sz w:val="24"/>
          <w:szCs w:val="24"/>
        </w:rPr>
        <w:t xml:space="preserve">of </w:t>
      </w:r>
      <w:r w:rsidR="00637001" w:rsidRPr="00DD219F">
        <w:rPr>
          <w:rFonts w:ascii="Arial" w:hAnsi="Arial" w:cs="Arial"/>
          <w:sz w:val="24"/>
          <w:szCs w:val="24"/>
        </w:rPr>
        <w:t xml:space="preserve">3 </w:t>
      </w:r>
      <w:r w:rsidR="002C783B" w:rsidRPr="00DD219F">
        <w:rPr>
          <w:rFonts w:ascii="Arial" w:hAnsi="Arial" w:cs="Arial"/>
          <w:sz w:val="24"/>
          <w:szCs w:val="24"/>
        </w:rPr>
        <w:t>Community Resource Centres</w:t>
      </w:r>
      <w:r w:rsidR="00EF1A1F" w:rsidRPr="00DD219F">
        <w:rPr>
          <w:rFonts w:ascii="Arial" w:hAnsi="Arial" w:cs="Arial"/>
          <w:sz w:val="24"/>
          <w:szCs w:val="24"/>
        </w:rPr>
        <w:t xml:space="preserve"> (Care Homes)</w:t>
      </w:r>
      <w:r w:rsidR="002C783B" w:rsidRPr="00DD219F">
        <w:rPr>
          <w:rFonts w:ascii="Arial" w:hAnsi="Arial" w:cs="Arial"/>
          <w:sz w:val="24"/>
          <w:szCs w:val="24"/>
        </w:rPr>
        <w:t xml:space="preserve"> and </w:t>
      </w:r>
      <w:r w:rsidR="00637001" w:rsidRPr="00DD219F">
        <w:rPr>
          <w:rFonts w:ascii="Arial" w:hAnsi="Arial" w:cs="Arial"/>
          <w:sz w:val="24"/>
          <w:szCs w:val="24"/>
        </w:rPr>
        <w:t xml:space="preserve">5 </w:t>
      </w:r>
      <w:r w:rsidR="002C783B" w:rsidRPr="00DD219F">
        <w:rPr>
          <w:rFonts w:ascii="Arial" w:hAnsi="Arial" w:cs="Arial"/>
          <w:sz w:val="24"/>
          <w:szCs w:val="24"/>
        </w:rPr>
        <w:t>Extra Care Facilities</w:t>
      </w:r>
      <w:r w:rsidR="002B2F61" w:rsidRPr="00DD219F">
        <w:rPr>
          <w:rFonts w:ascii="Arial" w:hAnsi="Arial" w:cs="Arial"/>
          <w:sz w:val="24"/>
          <w:szCs w:val="24"/>
        </w:rPr>
        <w:t xml:space="preserve"> </w:t>
      </w:r>
      <w:r w:rsidR="00EF1A1F" w:rsidRPr="00DD219F">
        <w:rPr>
          <w:rFonts w:ascii="Arial" w:hAnsi="Arial" w:cs="Arial"/>
          <w:sz w:val="24"/>
          <w:szCs w:val="24"/>
        </w:rPr>
        <w:t>mean</w:t>
      </w:r>
      <w:r w:rsidR="00F36A50">
        <w:rPr>
          <w:rFonts w:ascii="Arial" w:hAnsi="Arial" w:cs="Arial"/>
          <w:sz w:val="24"/>
          <w:szCs w:val="24"/>
        </w:rPr>
        <w:t>t that</w:t>
      </w:r>
      <w:r w:rsidR="002B2F61" w:rsidRPr="00DD219F">
        <w:rPr>
          <w:rFonts w:ascii="Arial" w:hAnsi="Arial" w:cs="Arial"/>
          <w:sz w:val="24"/>
          <w:szCs w:val="24"/>
        </w:rPr>
        <w:t xml:space="preserve"> </w:t>
      </w:r>
      <w:r w:rsidR="00A738D8" w:rsidRPr="00DD219F">
        <w:rPr>
          <w:rFonts w:ascii="Arial" w:hAnsi="Arial" w:cs="Arial"/>
          <w:sz w:val="24"/>
          <w:szCs w:val="24"/>
        </w:rPr>
        <w:t>260 staff</w:t>
      </w:r>
      <w:r w:rsidR="00E63AAA" w:rsidRPr="00DD219F">
        <w:rPr>
          <w:rFonts w:ascii="Arial" w:hAnsi="Arial" w:cs="Arial"/>
          <w:sz w:val="24"/>
          <w:szCs w:val="24"/>
        </w:rPr>
        <w:t xml:space="preserve"> </w:t>
      </w:r>
      <w:r w:rsidR="00271C14" w:rsidRPr="00DD219F">
        <w:rPr>
          <w:rFonts w:ascii="Arial" w:hAnsi="Arial" w:cs="Arial"/>
          <w:sz w:val="24"/>
          <w:szCs w:val="24"/>
        </w:rPr>
        <w:t>(20 male and 240 female)</w:t>
      </w:r>
      <w:r w:rsidR="00EF1A1F" w:rsidRPr="00DD219F">
        <w:rPr>
          <w:rFonts w:ascii="Arial" w:hAnsi="Arial" w:cs="Arial"/>
          <w:sz w:val="24"/>
          <w:szCs w:val="24"/>
        </w:rPr>
        <w:t xml:space="preserve"> in </w:t>
      </w:r>
      <w:r w:rsidR="00FB1A28" w:rsidRPr="00DD219F">
        <w:rPr>
          <w:rFonts w:ascii="Arial" w:hAnsi="Arial" w:cs="Arial"/>
          <w:sz w:val="24"/>
          <w:szCs w:val="24"/>
        </w:rPr>
        <w:t>mostly lower graded roles</w:t>
      </w:r>
      <w:r w:rsidR="00CA153E" w:rsidRPr="00DD219F">
        <w:rPr>
          <w:rFonts w:ascii="Arial" w:hAnsi="Arial" w:cs="Arial"/>
          <w:sz w:val="24"/>
          <w:szCs w:val="24"/>
        </w:rPr>
        <w:t>, joined the council</w:t>
      </w:r>
      <w:r w:rsidR="00F36A50">
        <w:rPr>
          <w:rFonts w:ascii="Arial" w:hAnsi="Arial" w:cs="Arial"/>
          <w:sz w:val="24"/>
          <w:szCs w:val="24"/>
        </w:rPr>
        <w:t>’s workforce</w:t>
      </w:r>
      <w:r w:rsidR="00A738D8" w:rsidRPr="00DD219F">
        <w:rPr>
          <w:rFonts w:ascii="Arial" w:hAnsi="Arial" w:cs="Arial"/>
          <w:sz w:val="24"/>
          <w:szCs w:val="24"/>
        </w:rPr>
        <w:t xml:space="preserve">.  In </w:t>
      </w:r>
      <w:proofErr w:type="gramStart"/>
      <w:r w:rsidR="00A738D8" w:rsidRPr="00DD219F">
        <w:rPr>
          <w:rFonts w:ascii="Arial" w:hAnsi="Arial" w:cs="Arial"/>
          <w:sz w:val="24"/>
          <w:szCs w:val="24"/>
        </w:rPr>
        <w:t>addition</w:t>
      </w:r>
      <w:proofErr w:type="gramEnd"/>
      <w:r w:rsidR="00A738D8" w:rsidRPr="00DD219F">
        <w:rPr>
          <w:rFonts w:ascii="Arial" w:hAnsi="Arial" w:cs="Arial"/>
          <w:sz w:val="24"/>
          <w:szCs w:val="24"/>
        </w:rPr>
        <w:t xml:space="preserve"> </w:t>
      </w:r>
      <w:r w:rsidR="002B2F61" w:rsidRPr="00DD219F">
        <w:rPr>
          <w:rFonts w:ascii="Arial" w:hAnsi="Arial" w:cs="Arial"/>
          <w:sz w:val="24"/>
          <w:szCs w:val="24"/>
        </w:rPr>
        <w:t>approximately a further 80</w:t>
      </w:r>
      <w:r w:rsidR="00637001" w:rsidRPr="00DD219F">
        <w:rPr>
          <w:rFonts w:ascii="Arial" w:hAnsi="Arial" w:cs="Arial"/>
          <w:sz w:val="24"/>
          <w:szCs w:val="24"/>
        </w:rPr>
        <w:t xml:space="preserve"> </w:t>
      </w:r>
      <w:r w:rsidR="00AD6DB5" w:rsidRPr="00DD219F">
        <w:rPr>
          <w:rFonts w:ascii="Arial" w:hAnsi="Arial" w:cs="Arial"/>
          <w:sz w:val="24"/>
          <w:szCs w:val="24"/>
        </w:rPr>
        <w:t xml:space="preserve">casual workers </w:t>
      </w:r>
      <w:r w:rsidR="002F437B">
        <w:rPr>
          <w:rFonts w:ascii="Arial" w:hAnsi="Arial" w:cs="Arial"/>
          <w:sz w:val="24"/>
          <w:szCs w:val="24"/>
        </w:rPr>
        <w:t>engaged via</w:t>
      </w:r>
      <w:r w:rsidR="00AD6DB5" w:rsidRPr="00DD219F">
        <w:rPr>
          <w:rFonts w:ascii="Arial" w:hAnsi="Arial" w:cs="Arial"/>
          <w:sz w:val="24"/>
          <w:szCs w:val="24"/>
        </w:rPr>
        <w:t xml:space="preserve"> the ‘</w:t>
      </w:r>
      <w:r w:rsidR="00637001" w:rsidRPr="00DD219F">
        <w:rPr>
          <w:rFonts w:ascii="Arial" w:hAnsi="Arial" w:cs="Arial"/>
          <w:sz w:val="24"/>
          <w:szCs w:val="24"/>
        </w:rPr>
        <w:t>casual</w:t>
      </w:r>
      <w:r w:rsidR="00D05A44" w:rsidRPr="00DD219F">
        <w:rPr>
          <w:rFonts w:ascii="Arial" w:hAnsi="Arial" w:cs="Arial"/>
          <w:sz w:val="24"/>
          <w:szCs w:val="24"/>
        </w:rPr>
        <w:t xml:space="preserve"> bank</w:t>
      </w:r>
      <w:r w:rsidR="00AD6DB5" w:rsidRPr="00DD219F">
        <w:rPr>
          <w:rFonts w:ascii="Arial" w:hAnsi="Arial" w:cs="Arial"/>
          <w:sz w:val="24"/>
          <w:szCs w:val="24"/>
        </w:rPr>
        <w:t>’</w:t>
      </w:r>
      <w:r w:rsidR="00637001" w:rsidRPr="00DD219F">
        <w:rPr>
          <w:rFonts w:ascii="Arial" w:hAnsi="Arial" w:cs="Arial"/>
          <w:sz w:val="24"/>
          <w:szCs w:val="24"/>
        </w:rPr>
        <w:t xml:space="preserve"> to support the</w:t>
      </w:r>
      <w:r w:rsidR="00B369F3" w:rsidRPr="00DD219F">
        <w:rPr>
          <w:rFonts w:ascii="Arial" w:hAnsi="Arial" w:cs="Arial"/>
          <w:sz w:val="24"/>
          <w:szCs w:val="24"/>
        </w:rPr>
        <w:t xml:space="preserve"> service</w:t>
      </w:r>
      <w:r w:rsidR="00CA153E" w:rsidRPr="00DD219F">
        <w:rPr>
          <w:rFonts w:ascii="Arial" w:hAnsi="Arial" w:cs="Arial"/>
          <w:sz w:val="24"/>
          <w:szCs w:val="24"/>
        </w:rPr>
        <w:t xml:space="preserve">, </w:t>
      </w:r>
      <w:r w:rsidR="00852E2C" w:rsidRPr="00DD219F">
        <w:rPr>
          <w:rFonts w:ascii="Arial" w:hAnsi="Arial" w:cs="Arial"/>
          <w:sz w:val="24"/>
          <w:szCs w:val="24"/>
        </w:rPr>
        <w:t>the majority</w:t>
      </w:r>
      <w:r w:rsidR="00CA153E" w:rsidRPr="00DD219F">
        <w:rPr>
          <w:rFonts w:ascii="Arial" w:hAnsi="Arial" w:cs="Arial"/>
          <w:sz w:val="24"/>
          <w:szCs w:val="24"/>
        </w:rPr>
        <w:t xml:space="preserve"> </w:t>
      </w:r>
      <w:r w:rsidR="00D032AE">
        <w:rPr>
          <w:rFonts w:ascii="Arial" w:hAnsi="Arial" w:cs="Arial"/>
          <w:sz w:val="24"/>
          <w:szCs w:val="24"/>
        </w:rPr>
        <w:t xml:space="preserve">being </w:t>
      </w:r>
      <w:r w:rsidR="00CA153E" w:rsidRPr="00DD219F">
        <w:rPr>
          <w:rFonts w:ascii="Arial" w:hAnsi="Arial" w:cs="Arial"/>
          <w:sz w:val="24"/>
          <w:szCs w:val="24"/>
        </w:rPr>
        <w:t xml:space="preserve">in </w:t>
      </w:r>
      <w:r w:rsidR="00852E2C" w:rsidRPr="00DD219F">
        <w:rPr>
          <w:rFonts w:ascii="Arial" w:hAnsi="Arial" w:cs="Arial"/>
          <w:sz w:val="24"/>
          <w:szCs w:val="24"/>
        </w:rPr>
        <w:t xml:space="preserve">lower graded </w:t>
      </w:r>
      <w:r w:rsidR="00CA153E" w:rsidRPr="00DD219F">
        <w:rPr>
          <w:rFonts w:ascii="Arial" w:hAnsi="Arial" w:cs="Arial"/>
          <w:sz w:val="24"/>
          <w:szCs w:val="24"/>
        </w:rPr>
        <w:t xml:space="preserve">roles of Support Worker/Night </w:t>
      </w:r>
      <w:r w:rsidR="00075D43" w:rsidRPr="00DD219F">
        <w:rPr>
          <w:rFonts w:ascii="Arial" w:hAnsi="Arial" w:cs="Arial"/>
          <w:sz w:val="24"/>
          <w:szCs w:val="24"/>
        </w:rPr>
        <w:t xml:space="preserve">Support </w:t>
      </w:r>
      <w:r w:rsidR="00CA153E" w:rsidRPr="00DD219F">
        <w:rPr>
          <w:rFonts w:ascii="Arial" w:hAnsi="Arial" w:cs="Arial"/>
          <w:sz w:val="24"/>
          <w:szCs w:val="24"/>
        </w:rPr>
        <w:t>Workers</w:t>
      </w:r>
      <w:r w:rsidR="004E6ABD" w:rsidRPr="00DD219F">
        <w:rPr>
          <w:rFonts w:ascii="Arial" w:hAnsi="Arial" w:cs="Arial"/>
          <w:sz w:val="24"/>
          <w:szCs w:val="24"/>
        </w:rPr>
        <w:t xml:space="preserve">.  </w:t>
      </w:r>
    </w:p>
    <w:p w14:paraId="311A810F" w14:textId="77777777" w:rsidR="00604DA9" w:rsidRDefault="00604DA9" w:rsidP="00DD219F">
      <w:pPr>
        <w:rPr>
          <w:rFonts w:ascii="Arial" w:hAnsi="Arial" w:cs="Arial"/>
          <w:sz w:val="24"/>
          <w:szCs w:val="24"/>
        </w:rPr>
      </w:pPr>
    </w:p>
    <w:p w14:paraId="15D08AC9" w14:textId="19B43323" w:rsidR="00E604AA" w:rsidRPr="00DD219F" w:rsidRDefault="004E6ABD" w:rsidP="00DD219F">
      <w:pPr>
        <w:rPr>
          <w:rFonts w:ascii="Arial" w:hAnsi="Arial" w:cs="Arial"/>
          <w:sz w:val="24"/>
          <w:szCs w:val="24"/>
        </w:rPr>
      </w:pPr>
      <w:r w:rsidRPr="00DD219F">
        <w:rPr>
          <w:rFonts w:ascii="Arial" w:hAnsi="Arial" w:cs="Arial"/>
          <w:sz w:val="24"/>
          <w:szCs w:val="24"/>
        </w:rPr>
        <w:t xml:space="preserve">This </w:t>
      </w:r>
      <w:r w:rsidR="00604DA9">
        <w:rPr>
          <w:rFonts w:ascii="Arial" w:hAnsi="Arial" w:cs="Arial"/>
          <w:sz w:val="24"/>
          <w:szCs w:val="24"/>
        </w:rPr>
        <w:t xml:space="preserve">is the main factor that </w:t>
      </w:r>
      <w:r w:rsidRPr="00DD219F">
        <w:rPr>
          <w:rFonts w:ascii="Arial" w:hAnsi="Arial" w:cs="Arial"/>
          <w:sz w:val="24"/>
          <w:szCs w:val="24"/>
        </w:rPr>
        <w:t>accounts for the increase in total employees</w:t>
      </w:r>
      <w:r w:rsidR="00271C14" w:rsidRPr="00DD219F">
        <w:rPr>
          <w:rFonts w:ascii="Arial" w:hAnsi="Arial" w:cs="Arial"/>
          <w:sz w:val="24"/>
          <w:szCs w:val="24"/>
        </w:rPr>
        <w:t xml:space="preserve"> and the widening of </w:t>
      </w:r>
      <w:r w:rsidR="00127AAF" w:rsidRPr="00DD219F">
        <w:rPr>
          <w:rFonts w:ascii="Arial" w:hAnsi="Arial" w:cs="Arial"/>
          <w:sz w:val="24"/>
          <w:szCs w:val="24"/>
        </w:rPr>
        <w:t>female</w:t>
      </w:r>
      <w:r w:rsidR="00271C14" w:rsidRPr="00DD219F">
        <w:rPr>
          <w:rFonts w:ascii="Arial" w:hAnsi="Arial" w:cs="Arial"/>
          <w:sz w:val="24"/>
          <w:szCs w:val="24"/>
        </w:rPr>
        <w:t>/male</w:t>
      </w:r>
      <w:r w:rsidR="003171B6" w:rsidRPr="00DD219F">
        <w:rPr>
          <w:rFonts w:ascii="Arial" w:hAnsi="Arial" w:cs="Arial"/>
          <w:sz w:val="24"/>
          <w:szCs w:val="24"/>
        </w:rPr>
        <w:t xml:space="preserve"> workforce</w:t>
      </w:r>
      <w:r w:rsidR="00127AAF" w:rsidRPr="00DD219F">
        <w:rPr>
          <w:rFonts w:ascii="Arial" w:hAnsi="Arial" w:cs="Arial"/>
          <w:sz w:val="24"/>
          <w:szCs w:val="24"/>
        </w:rPr>
        <w:t xml:space="preserve"> ratio</w:t>
      </w:r>
      <w:r w:rsidR="00EB69A8" w:rsidRPr="00DD219F">
        <w:rPr>
          <w:rFonts w:ascii="Arial" w:hAnsi="Arial" w:cs="Arial"/>
          <w:sz w:val="24"/>
          <w:szCs w:val="24"/>
        </w:rPr>
        <w:t xml:space="preserve"> from the previous year</w:t>
      </w:r>
      <w:r w:rsidR="003171B6" w:rsidRPr="00DD219F">
        <w:rPr>
          <w:rFonts w:ascii="Arial" w:hAnsi="Arial" w:cs="Arial"/>
          <w:sz w:val="24"/>
          <w:szCs w:val="24"/>
        </w:rPr>
        <w:t xml:space="preserve">.  </w:t>
      </w:r>
    </w:p>
    <w:p w14:paraId="71AA12DA" w14:textId="77777777" w:rsidR="00FB70B4" w:rsidRPr="001C647C" w:rsidRDefault="00FB70B4" w:rsidP="00C568E9">
      <w:pPr>
        <w:jc w:val="center"/>
        <w:rPr>
          <w:rFonts w:ascii="Arial" w:hAnsi="Arial" w:cs="Arial"/>
          <w:sz w:val="24"/>
          <w:szCs w:val="24"/>
        </w:rPr>
      </w:pPr>
    </w:p>
    <w:p w14:paraId="5E5EE96D" w14:textId="3A9AA916" w:rsidR="00D41851" w:rsidRDefault="00D41851">
      <w:pPr>
        <w:rPr>
          <w:rFonts w:ascii="Arial" w:hAnsi="Arial" w:cs="Arial"/>
        </w:rPr>
      </w:pPr>
    </w:p>
    <w:p w14:paraId="31224F47" w14:textId="77777777" w:rsidR="00D27F16" w:rsidRDefault="00D27F16" w:rsidP="00EE6918">
      <w:pPr>
        <w:rPr>
          <w:rFonts w:ascii="Arial" w:hAnsi="Arial" w:cs="Arial"/>
          <w:b/>
          <w:sz w:val="24"/>
          <w:szCs w:val="24"/>
        </w:rPr>
      </w:pPr>
    </w:p>
    <w:p w14:paraId="7A1BC783" w14:textId="560D7360" w:rsidR="00FB77F4" w:rsidRDefault="00FB77F4" w:rsidP="00EE6918">
      <w:pPr>
        <w:rPr>
          <w:rFonts w:ascii="Arial" w:hAnsi="Arial" w:cs="Arial"/>
          <w:b/>
          <w:sz w:val="24"/>
          <w:szCs w:val="24"/>
        </w:rPr>
      </w:pPr>
      <w:r w:rsidRPr="001C647C">
        <w:rPr>
          <w:rFonts w:ascii="Arial" w:hAnsi="Arial" w:cs="Arial"/>
          <w:b/>
          <w:sz w:val="24"/>
          <w:szCs w:val="24"/>
        </w:rPr>
        <w:t>Gender Pay Gap</w:t>
      </w:r>
      <w:r w:rsidR="008B5D46">
        <w:rPr>
          <w:rFonts w:ascii="Arial" w:hAnsi="Arial" w:cs="Arial"/>
          <w:b/>
          <w:sz w:val="24"/>
          <w:szCs w:val="24"/>
        </w:rPr>
        <w:t xml:space="preserve"> </w:t>
      </w:r>
      <w:r w:rsidR="00044D5A">
        <w:rPr>
          <w:rFonts w:ascii="Arial" w:hAnsi="Arial" w:cs="Arial"/>
          <w:b/>
          <w:sz w:val="24"/>
          <w:szCs w:val="24"/>
        </w:rPr>
        <w:t>202</w:t>
      </w:r>
      <w:r w:rsidR="00AF0893">
        <w:rPr>
          <w:rFonts w:ascii="Arial" w:hAnsi="Arial" w:cs="Arial"/>
          <w:b/>
          <w:sz w:val="24"/>
          <w:szCs w:val="24"/>
        </w:rPr>
        <w:t>1</w:t>
      </w:r>
    </w:p>
    <w:p w14:paraId="16C1D8CA" w14:textId="77777777" w:rsidR="0059225B" w:rsidRPr="001C647C" w:rsidRDefault="0059225B" w:rsidP="00EE6918">
      <w:pPr>
        <w:rPr>
          <w:rFonts w:ascii="Arial" w:hAnsi="Arial" w:cs="Arial"/>
          <w:b/>
          <w:sz w:val="24"/>
          <w:szCs w:val="24"/>
        </w:rPr>
      </w:pPr>
    </w:p>
    <w:p w14:paraId="50A12808" w14:textId="5A5572A1" w:rsidR="000A316B" w:rsidRDefault="00EB69A8" w:rsidP="00693FA0">
      <w:pPr>
        <w:shd w:val="clear" w:color="auto" w:fill="FFFFFF" w:themeFill="background1"/>
        <w:rPr>
          <w:rFonts w:ascii="Arial" w:hAnsi="Arial" w:cs="Arial"/>
          <w:sz w:val="24"/>
          <w:szCs w:val="24"/>
        </w:rPr>
      </w:pPr>
      <w:r>
        <w:rPr>
          <w:rFonts w:ascii="Arial" w:hAnsi="Arial" w:cs="Arial"/>
          <w:sz w:val="24"/>
          <w:szCs w:val="24"/>
        </w:rPr>
        <w:t>As</w:t>
      </w:r>
      <w:r w:rsidR="00A50106">
        <w:rPr>
          <w:rFonts w:ascii="Arial" w:hAnsi="Arial" w:cs="Arial"/>
          <w:sz w:val="24"/>
          <w:szCs w:val="24"/>
        </w:rPr>
        <w:t xml:space="preserve"> </w:t>
      </w:r>
      <w:proofErr w:type="gramStart"/>
      <w:r w:rsidR="00A50106">
        <w:rPr>
          <w:rFonts w:ascii="Arial" w:hAnsi="Arial" w:cs="Arial"/>
          <w:sz w:val="24"/>
          <w:szCs w:val="24"/>
        </w:rPr>
        <w:t>at</w:t>
      </w:r>
      <w:proofErr w:type="gramEnd"/>
      <w:r w:rsidR="00A50106">
        <w:rPr>
          <w:rFonts w:ascii="Arial" w:hAnsi="Arial" w:cs="Arial"/>
          <w:sz w:val="24"/>
          <w:szCs w:val="24"/>
        </w:rPr>
        <w:t xml:space="preserve"> </w:t>
      </w:r>
      <w:r w:rsidR="00723583">
        <w:rPr>
          <w:rFonts w:ascii="Arial" w:hAnsi="Arial" w:cs="Arial"/>
          <w:sz w:val="24"/>
          <w:szCs w:val="24"/>
        </w:rPr>
        <w:t>31 March 2021</w:t>
      </w:r>
      <w:r w:rsidR="00A50106" w:rsidRPr="00C568E9">
        <w:rPr>
          <w:rFonts w:ascii="Arial" w:hAnsi="Arial" w:cs="Arial"/>
          <w:sz w:val="24"/>
          <w:szCs w:val="24"/>
        </w:rPr>
        <w:t xml:space="preserve"> </w:t>
      </w:r>
      <w:r w:rsidR="00C568E9" w:rsidRPr="00C568E9">
        <w:rPr>
          <w:rFonts w:ascii="Arial" w:hAnsi="Arial" w:cs="Arial"/>
          <w:sz w:val="24"/>
          <w:szCs w:val="24"/>
        </w:rPr>
        <w:t xml:space="preserve">the mean average hourly rate of pay of female employees across the council was </w:t>
      </w:r>
      <w:r w:rsidR="00C568E9" w:rsidRPr="00257D9D">
        <w:rPr>
          <w:rFonts w:ascii="Arial" w:hAnsi="Arial" w:cs="Arial"/>
          <w:sz w:val="24"/>
          <w:szCs w:val="24"/>
        </w:rPr>
        <w:t>£</w:t>
      </w:r>
      <w:r w:rsidR="00B5633E">
        <w:rPr>
          <w:rFonts w:ascii="Arial" w:hAnsi="Arial" w:cs="Arial"/>
          <w:sz w:val="24"/>
          <w:szCs w:val="24"/>
        </w:rPr>
        <w:t>15.12</w:t>
      </w:r>
      <w:r w:rsidR="00C568E9" w:rsidRPr="00C568E9">
        <w:rPr>
          <w:rFonts w:ascii="Arial" w:hAnsi="Arial" w:cs="Arial"/>
          <w:sz w:val="24"/>
          <w:szCs w:val="24"/>
        </w:rPr>
        <w:t xml:space="preserve"> while the </w:t>
      </w:r>
      <w:r w:rsidR="00A50106">
        <w:rPr>
          <w:rFonts w:ascii="Arial" w:hAnsi="Arial" w:cs="Arial"/>
          <w:sz w:val="24"/>
          <w:szCs w:val="24"/>
        </w:rPr>
        <w:t xml:space="preserve">mean </w:t>
      </w:r>
      <w:r w:rsidR="00C568E9" w:rsidRPr="00C568E9">
        <w:rPr>
          <w:rFonts w:ascii="Arial" w:hAnsi="Arial" w:cs="Arial"/>
          <w:sz w:val="24"/>
          <w:szCs w:val="24"/>
        </w:rPr>
        <w:t xml:space="preserve">average hourly rate of </w:t>
      </w:r>
      <w:r w:rsidR="00A50106">
        <w:rPr>
          <w:rFonts w:ascii="Arial" w:hAnsi="Arial" w:cs="Arial"/>
          <w:sz w:val="24"/>
          <w:szCs w:val="24"/>
        </w:rPr>
        <w:t>male employees</w:t>
      </w:r>
      <w:r w:rsidR="00A50106" w:rsidRPr="00C568E9">
        <w:rPr>
          <w:rFonts w:ascii="Arial" w:hAnsi="Arial" w:cs="Arial"/>
          <w:sz w:val="24"/>
          <w:szCs w:val="24"/>
        </w:rPr>
        <w:t xml:space="preserve"> </w:t>
      </w:r>
      <w:r w:rsidR="00C568E9" w:rsidRPr="00C568E9">
        <w:rPr>
          <w:rFonts w:ascii="Arial" w:hAnsi="Arial" w:cs="Arial"/>
          <w:sz w:val="24"/>
          <w:szCs w:val="24"/>
        </w:rPr>
        <w:t xml:space="preserve">was </w:t>
      </w:r>
      <w:r w:rsidR="00C568E9" w:rsidRPr="00257D9D">
        <w:rPr>
          <w:rFonts w:ascii="Arial" w:hAnsi="Arial" w:cs="Arial"/>
          <w:sz w:val="24"/>
          <w:szCs w:val="24"/>
        </w:rPr>
        <w:t>£</w:t>
      </w:r>
      <w:r w:rsidR="00F6525A" w:rsidRPr="00257D9D">
        <w:rPr>
          <w:rFonts w:ascii="Arial" w:hAnsi="Arial" w:cs="Arial"/>
          <w:sz w:val="24"/>
          <w:szCs w:val="24"/>
        </w:rPr>
        <w:t>15.</w:t>
      </w:r>
      <w:r w:rsidR="00C25CFA">
        <w:rPr>
          <w:rFonts w:ascii="Arial" w:hAnsi="Arial" w:cs="Arial"/>
          <w:sz w:val="24"/>
          <w:szCs w:val="24"/>
        </w:rPr>
        <w:t>91</w:t>
      </w:r>
      <w:r w:rsidR="00494A1B">
        <w:rPr>
          <w:rFonts w:ascii="Arial" w:hAnsi="Arial" w:cs="Arial"/>
          <w:sz w:val="24"/>
          <w:szCs w:val="24"/>
        </w:rPr>
        <w:t xml:space="preserve">. </w:t>
      </w:r>
      <w:r w:rsidR="00C568E9" w:rsidRPr="00C568E9">
        <w:rPr>
          <w:rFonts w:ascii="Arial" w:hAnsi="Arial" w:cs="Arial"/>
          <w:sz w:val="24"/>
          <w:szCs w:val="24"/>
        </w:rPr>
        <w:t xml:space="preserve">It means that the </w:t>
      </w:r>
      <w:r w:rsidR="0021470B">
        <w:rPr>
          <w:rFonts w:ascii="Arial" w:hAnsi="Arial" w:cs="Arial"/>
          <w:sz w:val="24"/>
          <w:szCs w:val="24"/>
        </w:rPr>
        <w:t xml:space="preserve">mean </w:t>
      </w:r>
      <w:r w:rsidR="00C568E9" w:rsidRPr="00C568E9">
        <w:rPr>
          <w:rFonts w:ascii="Arial" w:hAnsi="Arial" w:cs="Arial"/>
          <w:sz w:val="24"/>
          <w:szCs w:val="24"/>
        </w:rPr>
        <w:t>gender pay gap</w:t>
      </w:r>
      <w:r w:rsidR="00EF38B2">
        <w:rPr>
          <w:rFonts w:ascii="Arial" w:hAnsi="Arial" w:cs="Arial"/>
          <w:sz w:val="24"/>
          <w:szCs w:val="24"/>
        </w:rPr>
        <w:t xml:space="preserve"> (</w:t>
      </w:r>
      <w:proofErr w:type="spellStart"/>
      <w:r w:rsidR="00EF38B2">
        <w:rPr>
          <w:rFonts w:ascii="Arial" w:hAnsi="Arial" w:cs="Arial"/>
          <w:sz w:val="24"/>
          <w:szCs w:val="24"/>
        </w:rPr>
        <w:t>ie</w:t>
      </w:r>
      <w:proofErr w:type="spellEnd"/>
      <w:r w:rsidR="00EF38B2">
        <w:rPr>
          <w:rFonts w:ascii="Arial" w:hAnsi="Arial" w:cs="Arial"/>
          <w:sz w:val="24"/>
          <w:szCs w:val="24"/>
        </w:rPr>
        <w:t>.</w:t>
      </w:r>
      <w:r w:rsidR="00C568E9" w:rsidRPr="00C568E9">
        <w:rPr>
          <w:rFonts w:ascii="Arial" w:hAnsi="Arial" w:cs="Arial"/>
          <w:sz w:val="24"/>
          <w:szCs w:val="24"/>
        </w:rPr>
        <w:t xml:space="preserve"> the </w:t>
      </w:r>
      <w:r w:rsidR="00C568E9" w:rsidRPr="00257D9D">
        <w:rPr>
          <w:rFonts w:ascii="Arial" w:hAnsi="Arial" w:cs="Arial"/>
          <w:sz w:val="24"/>
          <w:szCs w:val="24"/>
        </w:rPr>
        <w:t>difference in average earnings between men and women</w:t>
      </w:r>
      <w:r w:rsidR="00EF38B2" w:rsidRPr="00257D9D">
        <w:rPr>
          <w:rFonts w:ascii="Arial" w:hAnsi="Arial" w:cs="Arial"/>
          <w:sz w:val="24"/>
          <w:szCs w:val="24"/>
        </w:rPr>
        <w:t>)</w:t>
      </w:r>
      <w:r w:rsidR="00B5633E" w:rsidRPr="00257D9D">
        <w:rPr>
          <w:rFonts w:ascii="Arial" w:hAnsi="Arial" w:cs="Arial"/>
          <w:sz w:val="24"/>
          <w:szCs w:val="24"/>
        </w:rPr>
        <w:t xml:space="preserve"> </w:t>
      </w:r>
      <w:r w:rsidR="00C3672D">
        <w:rPr>
          <w:rFonts w:ascii="Arial" w:hAnsi="Arial" w:cs="Arial"/>
          <w:sz w:val="24"/>
          <w:szCs w:val="24"/>
        </w:rPr>
        <w:t xml:space="preserve">has </w:t>
      </w:r>
      <w:r w:rsidR="00C3672D" w:rsidRPr="00CE156C">
        <w:rPr>
          <w:rFonts w:ascii="Arial" w:hAnsi="Arial" w:cs="Arial"/>
          <w:b/>
          <w:bCs/>
          <w:sz w:val="24"/>
          <w:szCs w:val="24"/>
        </w:rPr>
        <w:t>increased</w:t>
      </w:r>
      <w:r w:rsidR="00C3672D">
        <w:rPr>
          <w:rFonts w:ascii="Arial" w:hAnsi="Arial" w:cs="Arial"/>
          <w:sz w:val="24"/>
          <w:szCs w:val="24"/>
        </w:rPr>
        <w:t xml:space="preserve"> to</w:t>
      </w:r>
      <w:r w:rsidR="00C3672D" w:rsidRPr="00257D9D">
        <w:rPr>
          <w:rFonts w:ascii="Arial" w:hAnsi="Arial" w:cs="Arial"/>
          <w:sz w:val="24"/>
          <w:szCs w:val="24"/>
        </w:rPr>
        <w:t xml:space="preserve"> </w:t>
      </w:r>
      <w:r w:rsidR="004419A6">
        <w:rPr>
          <w:rFonts w:ascii="Arial" w:hAnsi="Arial" w:cs="Arial"/>
          <w:sz w:val="24"/>
          <w:szCs w:val="24"/>
        </w:rPr>
        <w:t>79</w:t>
      </w:r>
      <w:r w:rsidR="004419A6" w:rsidRPr="00257D9D">
        <w:rPr>
          <w:rFonts w:ascii="Arial" w:hAnsi="Arial" w:cs="Arial"/>
          <w:sz w:val="24"/>
          <w:szCs w:val="24"/>
        </w:rPr>
        <w:t xml:space="preserve"> </w:t>
      </w:r>
      <w:r w:rsidR="00B5633E" w:rsidRPr="00257D9D">
        <w:rPr>
          <w:rFonts w:ascii="Arial" w:hAnsi="Arial" w:cs="Arial"/>
          <w:sz w:val="24"/>
          <w:szCs w:val="24"/>
        </w:rPr>
        <w:t>pence</w:t>
      </w:r>
      <w:r w:rsidR="002F437B">
        <w:rPr>
          <w:rFonts w:ascii="Arial" w:hAnsi="Arial" w:cs="Arial"/>
          <w:sz w:val="24"/>
          <w:szCs w:val="24"/>
        </w:rPr>
        <w:t>.</w:t>
      </w:r>
      <w:r w:rsidR="00B5633E" w:rsidRPr="00257D9D">
        <w:rPr>
          <w:rFonts w:ascii="Arial" w:hAnsi="Arial" w:cs="Arial"/>
          <w:sz w:val="24"/>
          <w:szCs w:val="24"/>
        </w:rPr>
        <w:t xml:space="preserve"> (This </w:t>
      </w:r>
      <w:r w:rsidR="00C568E9" w:rsidRPr="00257D9D">
        <w:rPr>
          <w:rFonts w:ascii="Arial" w:hAnsi="Arial" w:cs="Arial"/>
          <w:sz w:val="24"/>
          <w:szCs w:val="24"/>
        </w:rPr>
        <w:t xml:space="preserve">reduced </w:t>
      </w:r>
      <w:r w:rsidR="0021470B" w:rsidRPr="00257D9D">
        <w:rPr>
          <w:rFonts w:ascii="Arial" w:hAnsi="Arial" w:cs="Arial"/>
          <w:sz w:val="24"/>
          <w:szCs w:val="24"/>
        </w:rPr>
        <w:t>from 96 pence</w:t>
      </w:r>
      <w:r w:rsidR="00B5633E" w:rsidRPr="00257D9D">
        <w:rPr>
          <w:rFonts w:ascii="Arial" w:hAnsi="Arial" w:cs="Arial"/>
          <w:sz w:val="24"/>
          <w:szCs w:val="24"/>
        </w:rPr>
        <w:t xml:space="preserve"> (2018)</w:t>
      </w:r>
      <w:r w:rsidR="0021470B" w:rsidRPr="00257D9D">
        <w:rPr>
          <w:rFonts w:ascii="Arial" w:hAnsi="Arial" w:cs="Arial"/>
          <w:sz w:val="24"/>
          <w:szCs w:val="24"/>
        </w:rPr>
        <w:t xml:space="preserve"> </w:t>
      </w:r>
      <w:r w:rsidR="00F6525A" w:rsidRPr="00257D9D">
        <w:rPr>
          <w:rFonts w:ascii="Arial" w:hAnsi="Arial" w:cs="Arial"/>
          <w:sz w:val="24"/>
          <w:szCs w:val="24"/>
        </w:rPr>
        <w:t>to 36</w:t>
      </w:r>
      <w:r w:rsidR="00EF38B2" w:rsidRPr="00257D9D">
        <w:rPr>
          <w:rFonts w:ascii="Arial" w:hAnsi="Arial" w:cs="Arial"/>
          <w:sz w:val="24"/>
          <w:szCs w:val="24"/>
        </w:rPr>
        <w:t xml:space="preserve"> </w:t>
      </w:r>
      <w:r w:rsidR="00F6525A" w:rsidRPr="00257D9D">
        <w:rPr>
          <w:rFonts w:ascii="Arial" w:hAnsi="Arial" w:cs="Arial"/>
          <w:sz w:val="24"/>
          <w:szCs w:val="24"/>
        </w:rPr>
        <w:t>pence</w:t>
      </w:r>
      <w:r w:rsidR="00B5633E" w:rsidRPr="00257D9D">
        <w:rPr>
          <w:rFonts w:ascii="Arial" w:hAnsi="Arial" w:cs="Arial"/>
          <w:sz w:val="24"/>
          <w:szCs w:val="24"/>
        </w:rPr>
        <w:t xml:space="preserve"> (2019)</w:t>
      </w:r>
      <w:r w:rsidR="00A92E18">
        <w:rPr>
          <w:rFonts w:ascii="Arial" w:hAnsi="Arial" w:cs="Arial"/>
          <w:sz w:val="24"/>
          <w:szCs w:val="24"/>
        </w:rPr>
        <w:t xml:space="preserve"> and 38 pence (2020)</w:t>
      </w:r>
      <w:r w:rsidR="00B5633E" w:rsidRPr="00257D9D">
        <w:rPr>
          <w:rFonts w:ascii="Arial" w:hAnsi="Arial" w:cs="Arial"/>
          <w:sz w:val="24"/>
          <w:szCs w:val="24"/>
        </w:rPr>
        <w:t>.</w:t>
      </w:r>
    </w:p>
    <w:p w14:paraId="25757C90" w14:textId="77777777" w:rsidR="000A316B" w:rsidRDefault="000A316B" w:rsidP="00C568E9">
      <w:pPr>
        <w:rPr>
          <w:rFonts w:ascii="Arial" w:hAnsi="Arial" w:cs="Arial"/>
          <w:sz w:val="24"/>
          <w:szCs w:val="24"/>
        </w:rPr>
      </w:pPr>
    </w:p>
    <w:p w14:paraId="38C393EA" w14:textId="4CF8C35C" w:rsidR="004257B8" w:rsidRPr="004257B8" w:rsidRDefault="004257B8" w:rsidP="004257B8">
      <w:pPr>
        <w:rPr>
          <w:rFonts w:ascii="Arial" w:hAnsi="Arial" w:cs="Arial"/>
          <w:sz w:val="24"/>
          <w:szCs w:val="24"/>
        </w:rPr>
      </w:pPr>
      <w:r w:rsidRPr="004257B8">
        <w:rPr>
          <w:rFonts w:ascii="Arial" w:hAnsi="Arial" w:cs="Arial"/>
          <w:sz w:val="24"/>
          <w:szCs w:val="24"/>
        </w:rPr>
        <w:t xml:space="preserve">The median average gap has </w:t>
      </w:r>
      <w:r w:rsidR="00B5633E">
        <w:rPr>
          <w:rFonts w:ascii="Arial" w:hAnsi="Arial" w:cs="Arial"/>
          <w:sz w:val="24"/>
          <w:szCs w:val="24"/>
        </w:rPr>
        <w:t>reduced</w:t>
      </w:r>
      <w:r w:rsidR="00044D5A" w:rsidRPr="004257B8">
        <w:rPr>
          <w:rFonts w:ascii="Arial" w:hAnsi="Arial" w:cs="Arial"/>
          <w:sz w:val="24"/>
          <w:szCs w:val="24"/>
        </w:rPr>
        <w:t xml:space="preserve"> </w:t>
      </w:r>
      <w:r w:rsidRPr="004257B8">
        <w:rPr>
          <w:rFonts w:ascii="Arial" w:hAnsi="Arial" w:cs="Arial"/>
          <w:sz w:val="24"/>
          <w:szCs w:val="24"/>
        </w:rPr>
        <w:t xml:space="preserve">with a mid-point hourly rate gap of </w:t>
      </w:r>
      <w:r w:rsidR="00151337">
        <w:rPr>
          <w:rFonts w:ascii="Arial" w:hAnsi="Arial" w:cs="Arial"/>
          <w:sz w:val="24"/>
          <w:szCs w:val="24"/>
        </w:rPr>
        <w:t>-6</w:t>
      </w:r>
      <w:proofErr w:type="gramStart"/>
      <w:r w:rsidR="00151337">
        <w:rPr>
          <w:rFonts w:ascii="Arial" w:hAnsi="Arial" w:cs="Arial"/>
          <w:sz w:val="24"/>
          <w:szCs w:val="24"/>
        </w:rPr>
        <w:t>% .</w:t>
      </w:r>
      <w:proofErr w:type="gramEnd"/>
      <w:r w:rsidR="00151337">
        <w:rPr>
          <w:rFonts w:ascii="Arial" w:hAnsi="Arial" w:cs="Arial"/>
          <w:sz w:val="24"/>
          <w:szCs w:val="24"/>
        </w:rPr>
        <w:t xml:space="preserve">  The minus represents </w:t>
      </w:r>
      <w:r w:rsidR="00ED6719">
        <w:rPr>
          <w:rFonts w:ascii="Arial" w:hAnsi="Arial" w:cs="Arial"/>
          <w:sz w:val="24"/>
          <w:szCs w:val="24"/>
        </w:rPr>
        <w:t>the gap</w:t>
      </w:r>
      <w:r w:rsidR="00CA0FBF">
        <w:rPr>
          <w:rFonts w:ascii="Arial" w:hAnsi="Arial" w:cs="Arial"/>
          <w:sz w:val="24"/>
          <w:szCs w:val="24"/>
        </w:rPr>
        <w:t xml:space="preserve"> showing higher rate for females.  T</w:t>
      </w:r>
      <w:r w:rsidRPr="00993A3B">
        <w:rPr>
          <w:rFonts w:ascii="Arial" w:hAnsi="Arial" w:cs="Arial"/>
          <w:sz w:val="24"/>
          <w:szCs w:val="24"/>
        </w:rPr>
        <w:t>he mid-point of our female employees is £</w:t>
      </w:r>
      <w:r w:rsidR="00B5633E" w:rsidRPr="00993A3B">
        <w:rPr>
          <w:rFonts w:ascii="Arial" w:hAnsi="Arial" w:cs="Arial"/>
          <w:sz w:val="24"/>
          <w:szCs w:val="24"/>
        </w:rPr>
        <w:t>0.</w:t>
      </w:r>
      <w:r w:rsidR="00C12E2E" w:rsidRPr="00993A3B">
        <w:rPr>
          <w:rFonts w:ascii="Arial" w:hAnsi="Arial" w:cs="Arial"/>
          <w:sz w:val="24"/>
          <w:szCs w:val="24"/>
        </w:rPr>
        <w:t xml:space="preserve">80 </w:t>
      </w:r>
      <w:r w:rsidRPr="00993A3B">
        <w:rPr>
          <w:rFonts w:ascii="Arial" w:hAnsi="Arial" w:cs="Arial"/>
          <w:sz w:val="24"/>
          <w:szCs w:val="24"/>
        </w:rPr>
        <w:t xml:space="preserve">hour </w:t>
      </w:r>
      <w:r w:rsidRPr="00ED6719">
        <w:rPr>
          <w:rFonts w:ascii="Arial" w:hAnsi="Arial" w:cs="Arial"/>
          <w:b/>
          <w:bCs/>
          <w:sz w:val="24"/>
          <w:szCs w:val="24"/>
        </w:rPr>
        <w:t>higher</w:t>
      </w:r>
      <w:r w:rsidRPr="00993A3B">
        <w:rPr>
          <w:rFonts w:ascii="Arial" w:hAnsi="Arial" w:cs="Arial"/>
          <w:sz w:val="24"/>
          <w:szCs w:val="24"/>
        </w:rPr>
        <w:t xml:space="preserve"> than the mid-point of our males</w:t>
      </w:r>
      <w:r w:rsidRPr="004257B8">
        <w:rPr>
          <w:rFonts w:ascii="Arial" w:hAnsi="Arial" w:cs="Arial"/>
          <w:sz w:val="24"/>
          <w:szCs w:val="24"/>
        </w:rPr>
        <w:t xml:space="preserve">. </w:t>
      </w:r>
    </w:p>
    <w:p w14:paraId="23439C05" w14:textId="73C534B8" w:rsidR="004257B8" w:rsidRDefault="004257B8" w:rsidP="00C568E9">
      <w:pPr>
        <w:rPr>
          <w:rFonts w:ascii="Arial" w:hAnsi="Arial" w:cs="Arial"/>
          <w:sz w:val="24"/>
          <w:szCs w:val="24"/>
        </w:rPr>
      </w:pPr>
    </w:p>
    <w:p w14:paraId="07AECD6E" w14:textId="7392A894" w:rsidR="006F3512" w:rsidRPr="006F3512" w:rsidRDefault="006F3512" w:rsidP="006F3512">
      <w:pPr>
        <w:rPr>
          <w:rFonts w:ascii="Arial" w:hAnsi="Arial" w:cs="Arial"/>
          <w:sz w:val="24"/>
          <w:szCs w:val="24"/>
        </w:rPr>
      </w:pPr>
      <w:r w:rsidRPr="002F437B">
        <w:rPr>
          <w:rFonts w:ascii="Arial" w:hAnsi="Arial" w:cs="Arial"/>
          <w:b/>
          <w:bCs/>
          <w:sz w:val="24"/>
          <w:szCs w:val="24"/>
        </w:rPr>
        <w:t>Mean</w:t>
      </w:r>
      <w:r w:rsidRPr="006F3512">
        <w:rPr>
          <w:rFonts w:ascii="Arial" w:hAnsi="Arial" w:cs="Arial"/>
          <w:sz w:val="24"/>
          <w:szCs w:val="24"/>
        </w:rPr>
        <w:t xml:space="preserve"> - Average hourly rate of pay and the percentage difference </w:t>
      </w:r>
    </w:p>
    <w:p w14:paraId="580BADFB" w14:textId="77777777" w:rsidR="006F3512" w:rsidRPr="006F3512" w:rsidRDefault="006F3512" w:rsidP="006F3512">
      <w:pPr>
        <w:rPr>
          <w:rFonts w:ascii="Arial" w:hAnsi="Arial" w:cs="Arial"/>
          <w:sz w:val="24"/>
          <w:szCs w:val="24"/>
        </w:rPr>
      </w:pPr>
    </w:p>
    <w:p w14:paraId="531E58CA" w14:textId="14313CE5" w:rsidR="006F3512" w:rsidRPr="00CA0FBF" w:rsidRDefault="006F3512" w:rsidP="006F3512">
      <w:pPr>
        <w:rPr>
          <w:rFonts w:ascii="Arial" w:hAnsi="Arial" w:cs="Arial"/>
          <w:sz w:val="24"/>
          <w:szCs w:val="24"/>
        </w:rPr>
      </w:pPr>
      <w:r w:rsidRPr="00CA0FBF">
        <w:rPr>
          <w:rFonts w:ascii="Arial" w:hAnsi="Arial" w:cs="Arial"/>
          <w:sz w:val="24"/>
          <w:szCs w:val="24"/>
        </w:rPr>
        <w:t xml:space="preserve">Female = </w:t>
      </w:r>
      <w:r w:rsidR="00F6525A" w:rsidRPr="00CA0FBF">
        <w:rPr>
          <w:rFonts w:ascii="Arial" w:hAnsi="Arial" w:cs="Arial"/>
          <w:sz w:val="24"/>
          <w:szCs w:val="24"/>
        </w:rPr>
        <w:t>£</w:t>
      </w:r>
      <w:r w:rsidR="00B5633E" w:rsidRPr="00CA0FBF">
        <w:rPr>
          <w:rFonts w:ascii="Arial" w:hAnsi="Arial" w:cs="Arial"/>
          <w:sz w:val="24"/>
          <w:szCs w:val="24"/>
        </w:rPr>
        <w:t>15.12</w:t>
      </w:r>
      <w:r w:rsidR="00F6525A" w:rsidRPr="00CA0FBF">
        <w:rPr>
          <w:rFonts w:ascii="Arial" w:hAnsi="Arial" w:cs="Arial"/>
          <w:sz w:val="24"/>
          <w:szCs w:val="24"/>
        </w:rPr>
        <w:t xml:space="preserve">   </w:t>
      </w:r>
      <w:r w:rsidR="001A6625" w:rsidRPr="00CA0FBF">
        <w:rPr>
          <w:rFonts w:ascii="Arial" w:hAnsi="Arial" w:cs="Arial"/>
          <w:sz w:val="24"/>
          <w:szCs w:val="24"/>
        </w:rPr>
        <w:tab/>
      </w:r>
      <w:r w:rsidR="00F6525A" w:rsidRPr="00CA0FBF">
        <w:rPr>
          <w:rFonts w:ascii="Arial" w:hAnsi="Arial" w:cs="Arial"/>
          <w:sz w:val="24"/>
          <w:szCs w:val="24"/>
        </w:rPr>
        <w:t xml:space="preserve">(previously </w:t>
      </w:r>
      <w:r w:rsidRPr="00CA0FBF">
        <w:rPr>
          <w:rFonts w:ascii="Arial" w:hAnsi="Arial" w:cs="Arial"/>
          <w:sz w:val="24"/>
          <w:szCs w:val="24"/>
        </w:rPr>
        <w:t>£</w:t>
      </w:r>
      <w:r w:rsidR="004C3D48" w:rsidRPr="00CA0FBF">
        <w:rPr>
          <w:rFonts w:ascii="Arial" w:hAnsi="Arial" w:cs="Arial"/>
          <w:sz w:val="24"/>
          <w:szCs w:val="24"/>
        </w:rPr>
        <w:t>15.12</w:t>
      </w:r>
      <w:r w:rsidR="00F6525A" w:rsidRPr="00CA0FBF">
        <w:rPr>
          <w:rFonts w:ascii="Arial" w:hAnsi="Arial" w:cs="Arial"/>
          <w:sz w:val="24"/>
          <w:szCs w:val="24"/>
        </w:rPr>
        <w:t>)</w:t>
      </w:r>
    </w:p>
    <w:p w14:paraId="4E4118B8" w14:textId="4B7CF967" w:rsidR="006F3512" w:rsidRPr="00CA0FBF" w:rsidRDefault="006F3512" w:rsidP="006F3512">
      <w:pPr>
        <w:rPr>
          <w:rFonts w:ascii="Arial" w:hAnsi="Arial" w:cs="Arial"/>
          <w:sz w:val="24"/>
          <w:szCs w:val="24"/>
        </w:rPr>
      </w:pPr>
      <w:r w:rsidRPr="00CA0FBF">
        <w:rPr>
          <w:rFonts w:ascii="Arial" w:hAnsi="Arial" w:cs="Arial"/>
          <w:sz w:val="24"/>
          <w:szCs w:val="24"/>
        </w:rPr>
        <w:t xml:space="preserve">Male </w:t>
      </w:r>
      <w:proofErr w:type="gramStart"/>
      <w:r w:rsidRPr="00CA0FBF">
        <w:rPr>
          <w:rFonts w:ascii="Arial" w:hAnsi="Arial" w:cs="Arial"/>
          <w:sz w:val="24"/>
          <w:szCs w:val="24"/>
        </w:rPr>
        <w:t>=</w:t>
      </w:r>
      <w:r w:rsidR="00F6525A" w:rsidRPr="00CA0FBF">
        <w:rPr>
          <w:rFonts w:ascii="Arial" w:hAnsi="Arial" w:cs="Arial"/>
          <w:sz w:val="24"/>
          <w:szCs w:val="24"/>
        </w:rPr>
        <w:t xml:space="preserve"> </w:t>
      </w:r>
      <w:r w:rsidR="00BA03FB" w:rsidRPr="00CA0FBF">
        <w:rPr>
          <w:rFonts w:ascii="Arial" w:hAnsi="Arial" w:cs="Arial"/>
          <w:sz w:val="24"/>
          <w:szCs w:val="24"/>
        </w:rPr>
        <w:t xml:space="preserve"> </w:t>
      </w:r>
      <w:r w:rsidR="00F6525A" w:rsidRPr="00CA0FBF">
        <w:rPr>
          <w:rFonts w:ascii="Arial" w:hAnsi="Arial" w:cs="Arial"/>
          <w:sz w:val="24"/>
          <w:szCs w:val="24"/>
        </w:rPr>
        <w:t>£</w:t>
      </w:r>
      <w:proofErr w:type="gramEnd"/>
      <w:r w:rsidR="00BA03FB" w:rsidRPr="00CA0FBF">
        <w:rPr>
          <w:rFonts w:ascii="Arial" w:hAnsi="Arial" w:cs="Arial"/>
          <w:sz w:val="24"/>
          <w:szCs w:val="24"/>
        </w:rPr>
        <w:t>15.</w:t>
      </w:r>
      <w:r w:rsidR="004C3D48" w:rsidRPr="00CA0FBF">
        <w:rPr>
          <w:rFonts w:ascii="Arial" w:hAnsi="Arial" w:cs="Arial"/>
          <w:sz w:val="24"/>
          <w:szCs w:val="24"/>
        </w:rPr>
        <w:t xml:space="preserve">91  </w:t>
      </w:r>
      <w:r w:rsidR="001A6625" w:rsidRPr="00CA0FBF">
        <w:rPr>
          <w:rFonts w:ascii="Arial" w:hAnsi="Arial" w:cs="Arial"/>
          <w:sz w:val="24"/>
          <w:szCs w:val="24"/>
        </w:rPr>
        <w:tab/>
      </w:r>
      <w:r w:rsidR="00BA03FB" w:rsidRPr="00CA0FBF">
        <w:rPr>
          <w:rFonts w:ascii="Arial" w:hAnsi="Arial" w:cs="Arial"/>
          <w:sz w:val="24"/>
          <w:szCs w:val="24"/>
        </w:rPr>
        <w:t>(previously</w:t>
      </w:r>
      <w:r w:rsidRPr="00CA0FBF">
        <w:rPr>
          <w:rFonts w:ascii="Arial" w:hAnsi="Arial" w:cs="Arial"/>
          <w:sz w:val="24"/>
          <w:szCs w:val="24"/>
        </w:rPr>
        <w:t xml:space="preserve"> £</w:t>
      </w:r>
      <w:r w:rsidR="00B5633E" w:rsidRPr="00CA0FBF">
        <w:rPr>
          <w:rFonts w:ascii="Arial" w:hAnsi="Arial" w:cs="Arial"/>
          <w:sz w:val="24"/>
          <w:szCs w:val="24"/>
        </w:rPr>
        <w:t>15.</w:t>
      </w:r>
      <w:r w:rsidR="004C3D48" w:rsidRPr="00CA0FBF">
        <w:rPr>
          <w:rFonts w:ascii="Arial" w:hAnsi="Arial" w:cs="Arial"/>
          <w:sz w:val="24"/>
          <w:szCs w:val="24"/>
        </w:rPr>
        <w:t>50</w:t>
      </w:r>
      <w:r w:rsidR="00BA03FB" w:rsidRPr="00CA0FBF">
        <w:rPr>
          <w:rFonts w:ascii="Arial" w:hAnsi="Arial" w:cs="Arial"/>
          <w:sz w:val="24"/>
          <w:szCs w:val="24"/>
        </w:rPr>
        <w:t>)</w:t>
      </w:r>
    </w:p>
    <w:p w14:paraId="325E34CB" w14:textId="43848892" w:rsidR="006F3512" w:rsidRPr="00CA0FBF" w:rsidRDefault="006F3512" w:rsidP="006F3512">
      <w:pPr>
        <w:rPr>
          <w:rFonts w:ascii="Arial" w:hAnsi="Arial" w:cs="Arial"/>
          <w:sz w:val="24"/>
          <w:szCs w:val="24"/>
        </w:rPr>
      </w:pPr>
      <w:r w:rsidRPr="00CA0FBF">
        <w:rPr>
          <w:rFonts w:ascii="Arial" w:hAnsi="Arial" w:cs="Arial"/>
          <w:sz w:val="24"/>
          <w:szCs w:val="24"/>
        </w:rPr>
        <w:t xml:space="preserve">Gap = </w:t>
      </w:r>
      <w:r w:rsidR="00FF6E8E" w:rsidRPr="00CA0FBF">
        <w:rPr>
          <w:rFonts w:ascii="Arial" w:hAnsi="Arial" w:cs="Arial"/>
          <w:sz w:val="24"/>
          <w:szCs w:val="24"/>
        </w:rPr>
        <w:t>5</w:t>
      </w:r>
      <w:r w:rsidR="00BA03FB" w:rsidRPr="00CA0FBF">
        <w:rPr>
          <w:rFonts w:ascii="Arial" w:hAnsi="Arial" w:cs="Arial"/>
          <w:sz w:val="24"/>
          <w:szCs w:val="24"/>
        </w:rPr>
        <w:t xml:space="preserve">% </w:t>
      </w:r>
      <w:r w:rsidR="00BA03FB" w:rsidRPr="00CA0FBF">
        <w:rPr>
          <w:rFonts w:ascii="Arial" w:hAnsi="Arial" w:cs="Arial"/>
          <w:b/>
          <w:bCs/>
          <w:sz w:val="24"/>
          <w:szCs w:val="24"/>
        </w:rPr>
        <w:t>£0.</w:t>
      </w:r>
      <w:proofErr w:type="gramStart"/>
      <w:r w:rsidR="00FF6E8E" w:rsidRPr="00CA0FBF">
        <w:rPr>
          <w:rFonts w:ascii="Arial" w:hAnsi="Arial" w:cs="Arial"/>
          <w:b/>
          <w:bCs/>
          <w:sz w:val="24"/>
          <w:szCs w:val="24"/>
        </w:rPr>
        <w:t>79</w:t>
      </w:r>
      <w:r w:rsidR="00FF6E8E" w:rsidRPr="00CA0FBF">
        <w:rPr>
          <w:rFonts w:ascii="Arial" w:hAnsi="Arial" w:cs="Arial"/>
          <w:sz w:val="24"/>
          <w:szCs w:val="24"/>
        </w:rPr>
        <w:t xml:space="preserve">  </w:t>
      </w:r>
      <w:r w:rsidR="00BA03FB" w:rsidRPr="00CA0FBF">
        <w:rPr>
          <w:rFonts w:ascii="Arial" w:hAnsi="Arial" w:cs="Arial"/>
          <w:sz w:val="24"/>
          <w:szCs w:val="24"/>
        </w:rPr>
        <w:t>(</w:t>
      </w:r>
      <w:proofErr w:type="gramEnd"/>
      <w:r w:rsidR="00BA03FB" w:rsidRPr="00CA0FBF">
        <w:rPr>
          <w:rFonts w:ascii="Arial" w:hAnsi="Arial" w:cs="Arial"/>
          <w:sz w:val="24"/>
          <w:szCs w:val="24"/>
        </w:rPr>
        <w:t xml:space="preserve">previously </w:t>
      </w:r>
      <w:r w:rsidR="00B5633E" w:rsidRPr="00CA0FBF">
        <w:rPr>
          <w:rFonts w:ascii="Arial" w:hAnsi="Arial" w:cs="Arial"/>
          <w:sz w:val="24"/>
          <w:szCs w:val="24"/>
        </w:rPr>
        <w:t>2.</w:t>
      </w:r>
      <w:r w:rsidR="00FF6E8E" w:rsidRPr="00CA0FBF">
        <w:rPr>
          <w:rFonts w:ascii="Arial" w:hAnsi="Arial" w:cs="Arial"/>
          <w:sz w:val="24"/>
          <w:szCs w:val="24"/>
        </w:rPr>
        <w:t>4</w:t>
      </w:r>
      <w:r w:rsidR="00B5633E" w:rsidRPr="00CA0FBF">
        <w:rPr>
          <w:rFonts w:ascii="Arial" w:hAnsi="Arial" w:cs="Arial"/>
          <w:sz w:val="24"/>
          <w:szCs w:val="24"/>
        </w:rPr>
        <w:t>8</w:t>
      </w:r>
      <w:r w:rsidRPr="00CA0FBF">
        <w:rPr>
          <w:rFonts w:ascii="Arial" w:hAnsi="Arial" w:cs="Arial"/>
          <w:sz w:val="24"/>
          <w:szCs w:val="24"/>
        </w:rPr>
        <w:t>%  £ 0.</w:t>
      </w:r>
      <w:r w:rsidR="00B5633E" w:rsidRPr="00CA0FBF">
        <w:rPr>
          <w:rFonts w:ascii="Arial" w:hAnsi="Arial" w:cs="Arial"/>
          <w:sz w:val="24"/>
          <w:szCs w:val="24"/>
        </w:rPr>
        <w:t>3</w:t>
      </w:r>
      <w:r w:rsidR="00FF6E8E" w:rsidRPr="00CA0FBF">
        <w:rPr>
          <w:rFonts w:ascii="Arial" w:hAnsi="Arial" w:cs="Arial"/>
          <w:sz w:val="24"/>
          <w:szCs w:val="24"/>
        </w:rPr>
        <w:t>8</w:t>
      </w:r>
      <w:r w:rsidR="00BA03FB" w:rsidRPr="00CA0FBF">
        <w:rPr>
          <w:rFonts w:ascii="Arial" w:hAnsi="Arial" w:cs="Arial"/>
          <w:sz w:val="24"/>
          <w:szCs w:val="24"/>
        </w:rPr>
        <w:t>)</w:t>
      </w:r>
    </w:p>
    <w:p w14:paraId="631C2370" w14:textId="77777777" w:rsidR="006F3512" w:rsidRPr="00CA0FBF" w:rsidRDefault="006F3512" w:rsidP="006F3512">
      <w:pPr>
        <w:rPr>
          <w:rFonts w:ascii="Arial" w:hAnsi="Arial" w:cs="Arial"/>
          <w:sz w:val="24"/>
          <w:szCs w:val="24"/>
        </w:rPr>
      </w:pPr>
    </w:p>
    <w:p w14:paraId="49887BC5" w14:textId="77777777" w:rsidR="006F3512" w:rsidRPr="00CA0FBF" w:rsidRDefault="006F3512" w:rsidP="006F3512">
      <w:pPr>
        <w:rPr>
          <w:rFonts w:ascii="Arial" w:hAnsi="Arial" w:cs="Arial"/>
          <w:sz w:val="24"/>
          <w:szCs w:val="24"/>
        </w:rPr>
      </w:pPr>
      <w:r w:rsidRPr="002F437B">
        <w:rPr>
          <w:rFonts w:ascii="Arial" w:hAnsi="Arial" w:cs="Arial"/>
          <w:b/>
          <w:bCs/>
          <w:sz w:val="24"/>
          <w:szCs w:val="24"/>
        </w:rPr>
        <w:t>Median</w:t>
      </w:r>
      <w:r w:rsidRPr="00CA0FBF">
        <w:rPr>
          <w:rFonts w:ascii="Arial" w:hAnsi="Arial" w:cs="Arial"/>
          <w:sz w:val="24"/>
          <w:szCs w:val="24"/>
        </w:rPr>
        <w:t xml:space="preserve"> – Middle hourly rate of pay and the percentage difference </w:t>
      </w:r>
    </w:p>
    <w:p w14:paraId="1401069E" w14:textId="77777777" w:rsidR="006F3512" w:rsidRPr="00CA0FBF" w:rsidRDefault="006F3512" w:rsidP="006F3512">
      <w:pPr>
        <w:rPr>
          <w:rFonts w:ascii="Arial" w:hAnsi="Arial" w:cs="Arial"/>
          <w:sz w:val="24"/>
          <w:szCs w:val="24"/>
        </w:rPr>
      </w:pPr>
    </w:p>
    <w:p w14:paraId="06678AE8" w14:textId="7D6ACDBE" w:rsidR="006F3512" w:rsidRPr="00CA0FBF" w:rsidRDefault="006F3512" w:rsidP="006F3512">
      <w:pPr>
        <w:rPr>
          <w:rFonts w:ascii="Arial" w:hAnsi="Arial" w:cs="Arial"/>
          <w:sz w:val="24"/>
          <w:szCs w:val="24"/>
        </w:rPr>
      </w:pPr>
      <w:r w:rsidRPr="00CA0FBF">
        <w:rPr>
          <w:rFonts w:ascii="Arial" w:hAnsi="Arial" w:cs="Arial"/>
          <w:sz w:val="24"/>
          <w:szCs w:val="24"/>
        </w:rPr>
        <w:t xml:space="preserve">Female = </w:t>
      </w:r>
      <w:r w:rsidR="00694672" w:rsidRPr="00CA0FBF">
        <w:rPr>
          <w:rFonts w:ascii="Arial" w:hAnsi="Arial" w:cs="Arial"/>
          <w:sz w:val="24"/>
          <w:szCs w:val="24"/>
        </w:rPr>
        <w:t>£</w:t>
      </w:r>
      <w:r w:rsidR="00EB5C10" w:rsidRPr="00CA0FBF">
        <w:rPr>
          <w:rFonts w:ascii="Arial" w:hAnsi="Arial" w:cs="Arial"/>
          <w:sz w:val="24"/>
          <w:szCs w:val="24"/>
        </w:rPr>
        <w:t xml:space="preserve">14.01 </w:t>
      </w:r>
      <w:r w:rsidR="001A6625" w:rsidRPr="00CA0FBF">
        <w:rPr>
          <w:rFonts w:ascii="Arial" w:hAnsi="Arial" w:cs="Arial"/>
          <w:sz w:val="24"/>
          <w:szCs w:val="24"/>
        </w:rPr>
        <w:tab/>
      </w:r>
      <w:r w:rsidR="00694672" w:rsidRPr="00CA0FBF">
        <w:rPr>
          <w:rFonts w:ascii="Arial" w:hAnsi="Arial" w:cs="Arial"/>
          <w:sz w:val="24"/>
          <w:szCs w:val="24"/>
        </w:rPr>
        <w:t xml:space="preserve">(previously </w:t>
      </w:r>
      <w:r w:rsidRPr="00CA0FBF">
        <w:rPr>
          <w:rFonts w:ascii="Arial" w:hAnsi="Arial" w:cs="Arial"/>
          <w:sz w:val="24"/>
          <w:szCs w:val="24"/>
        </w:rPr>
        <w:t>£</w:t>
      </w:r>
      <w:r w:rsidR="00257D9D" w:rsidRPr="00CA0FBF">
        <w:rPr>
          <w:rFonts w:ascii="Arial" w:hAnsi="Arial" w:cs="Arial"/>
          <w:sz w:val="24"/>
          <w:szCs w:val="24"/>
        </w:rPr>
        <w:t>13.</w:t>
      </w:r>
      <w:r w:rsidR="00EB5C10" w:rsidRPr="00CA0FBF">
        <w:rPr>
          <w:rFonts w:ascii="Arial" w:hAnsi="Arial" w:cs="Arial"/>
          <w:sz w:val="24"/>
          <w:szCs w:val="24"/>
        </w:rPr>
        <w:t>63</w:t>
      </w:r>
      <w:r w:rsidR="00694672" w:rsidRPr="00CA0FBF">
        <w:rPr>
          <w:rFonts w:ascii="Arial" w:hAnsi="Arial" w:cs="Arial"/>
          <w:sz w:val="24"/>
          <w:szCs w:val="24"/>
        </w:rPr>
        <w:t>)</w:t>
      </w:r>
    </w:p>
    <w:p w14:paraId="4D489FE7" w14:textId="08A35C5A" w:rsidR="006F3512" w:rsidRPr="00CA0FBF" w:rsidRDefault="006F3512" w:rsidP="006F3512">
      <w:pPr>
        <w:rPr>
          <w:rFonts w:ascii="Arial" w:hAnsi="Arial" w:cs="Arial"/>
          <w:sz w:val="24"/>
          <w:szCs w:val="24"/>
        </w:rPr>
      </w:pPr>
      <w:r w:rsidRPr="00CA0FBF">
        <w:rPr>
          <w:rFonts w:ascii="Arial" w:hAnsi="Arial" w:cs="Arial"/>
          <w:sz w:val="24"/>
          <w:szCs w:val="24"/>
        </w:rPr>
        <w:t xml:space="preserve">Male = </w:t>
      </w:r>
      <w:r w:rsidR="00694672" w:rsidRPr="00CA0FBF">
        <w:rPr>
          <w:rFonts w:ascii="Arial" w:hAnsi="Arial" w:cs="Arial"/>
          <w:sz w:val="24"/>
          <w:szCs w:val="24"/>
        </w:rPr>
        <w:t>£</w:t>
      </w:r>
      <w:r w:rsidR="00403C41" w:rsidRPr="00CA0FBF">
        <w:rPr>
          <w:rFonts w:ascii="Arial" w:hAnsi="Arial" w:cs="Arial"/>
          <w:sz w:val="24"/>
          <w:szCs w:val="24"/>
        </w:rPr>
        <w:t>13.21</w:t>
      </w:r>
      <w:r w:rsidR="00694672" w:rsidRPr="00CA0FBF">
        <w:rPr>
          <w:rFonts w:ascii="Arial" w:hAnsi="Arial" w:cs="Arial"/>
          <w:sz w:val="24"/>
          <w:szCs w:val="24"/>
        </w:rPr>
        <w:t xml:space="preserve"> </w:t>
      </w:r>
      <w:r w:rsidR="001A6625" w:rsidRPr="00CA0FBF">
        <w:rPr>
          <w:rFonts w:ascii="Arial" w:hAnsi="Arial" w:cs="Arial"/>
          <w:sz w:val="24"/>
          <w:szCs w:val="24"/>
        </w:rPr>
        <w:tab/>
      </w:r>
      <w:r w:rsidR="00694672" w:rsidRPr="00CA0FBF">
        <w:rPr>
          <w:rFonts w:ascii="Arial" w:hAnsi="Arial" w:cs="Arial"/>
          <w:sz w:val="24"/>
          <w:szCs w:val="24"/>
        </w:rPr>
        <w:t xml:space="preserve">(previously </w:t>
      </w:r>
      <w:r w:rsidRPr="00CA0FBF">
        <w:rPr>
          <w:rFonts w:ascii="Arial" w:hAnsi="Arial" w:cs="Arial"/>
          <w:sz w:val="24"/>
          <w:szCs w:val="24"/>
        </w:rPr>
        <w:t>£12.</w:t>
      </w:r>
      <w:r w:rsidR="00EB5C10" w:rsidRPr="00CA0FBF">
        <w:rPr>
          <w:rFonts w:ascii="Arial" w:hAnsi="Arial" w:cs="Arial"/>
          <w:sz w:val="24"/>
          <w:szCs w:val="24"/>
        </w:rPr>
        <w:t>86</w:t>
      </w:r>
      <w:r w:rsidR="00694672" w:rsidRPr="00CA0FBF">
        <w:rPr>
          <w:rFonts w:ascii="Arial" w:hAnsi="Arial" w:cs="Arial"/>
          <w:sz w:val="24"/>
          <w:szCs w:val="24"/>
        </w:rPr>
        <w:t>)</w:t>
      </w:r>
    </w:p>
    <w:p w14:paraId="762B2E8A" w14:textId="0591346F" w:rsidR="006F3512" w:rsidRDefault="006F3512" w:rsidP="006F3512">
      <w:pPr>
        <w:rPr>
          <w:rFonts w:ascii="Arial" w:hAnsi="Arial" w:cs="Arial"/>
          <w:sz w:val="24"/>
          <w:szCs w:val="24"/>
        </w:rPr>
      </w:pPr>
      <w:r w:rsidRPr="00CA0FBF">
        <w:rPr>
          <w:rFonts w:ascii="Arial" w:hAnsi="Arial" w:cs="Arial"/>
          <w:sz w:val="24"/>
          <w:szCs w:val="24"/>
        </w:rPr>
        <w:t xml:space="preserve">Gap = </w:t>
      </w:r>
      <w:r w:rsidR="00694672" w:rsidRPr="00CA0FBF">
        <w:rPr>
          <w:rFonts w:ascii="Arial" w:hAnsi="Arial" w:cs="Arial"/>
          <w:sz w:val="24"/>
          <w:szCs w:val="24"/>
        </w:rPr>
        <w:t>-</w:t>
      </w:r>
      <w:r w:rsidR="001A6625" w:rsidRPr="00CA0FBF">
        <w:rPr>
          <w:rFonts w:ascii="Arial" w:hAnsi="Arial" w:cs="Arial"/>
          <w:sz w:val="24"/>
          <w:szCs w:val="24"/>
        </w:rPr>
        <w:t xml:space="preserve"> </w:t>
      </w:r>
      <w:r w:rsidR="00403C41" w:rsidRPr="00CA0FBF">
        <w:rPr>
          <w:rFonts w:ascii="Arial" w:hAnsi="Arial" w:cs="Arial"/>
          <w:sz w:val="24"/>
          <w:szCs w:val="24"/>
        </w:rPr>
        <w:t>6</w:t>
      </w:r>
      <w:r w:rsidR="00694672" w:rsidRPr="00CA0FBF">
        <w:rPr>
          <w:rFonts w:ascii="Arial" w:hAnsi="Arial" w:cs="Arial"/>
          <w:sz w:val="24"/>
          <w:szCs w:val="24"/>
        </w:rPr>
        <w:t xml:space="preserve">% </w:t>
      </w:r>
      <w:r w:rsidR="001A6625" w:rsidRPr="00CA0FBF">
        <w:rPr>
          <w:rFonts w:ascii="Arial" w:hAnsi="Arial" w:cs="Arial"/>
          <w:b/>
          <w:bCs/>
          <w:sz w:val="24"/>
          <w:szCs w:val="24"/>
        </w:rPr>
        <w:t>£0.</w:t>
      </w:r>
      <w:r w:rsidR="000209B7" w:rsidRPr="00CA0FBF">
        <w:rPr>
          <w:rFonts w:ascii="Arial" w:hAnsi="Arial" w:cs="Arial"/>
          <w:b/>
          <w:bCs/>
          <w:sz w:val="24"/>
          <w:szCs w:val="24"/>
        </w:rPr>
        <w:t>80</w:t>
      </w:r>
      <w:r w:rsidR="000209B7" w:rsidRPr="00CA0FBF">
        <w:rPr>
          <w:rFonts w:ascii="Arial" w:hAnsi="Arial" w:cs="Arial"/>
          <w:sz w:val="24"/>
          <w:szCs w:val="24"/>
        </w:rPr>
        <w:t xml:space="preserve"> </w:t>
      </w:r>
      <w:r w:rsidR="00694672" w:rsidRPr="00CA0FBF">
        <w:rPr>
          <w:rFonts w:ascii="Arial" w:hAnsi="Arial" w:cs="Arial"/>
          <w:sz w:val="24"/>
          <w:szCs w:val="24"/>
        </w:rPr>
        <w:t>(</w:t>
      </w:r>
      <w:proofErr w:type="gramStart"/>
      <w:r w:rsidR="00694672" w:rsidRPr="00CA0FBF">
        <w:rPr>
          <w:rFonts w:ascii="Arial" w:hAnsi="Arial" w:cs="Arial"/>
          <w:sz w:val="24"/>
          <w:szCs w:val="24"/>
        </w:rPr>
        <w:t xml:space="preserve">previously </w:t>
      </w:r>
      <w:r w:rsidRPr="00CA0FBF">
        <w:rPr>
          <w:rFonts w:ascii="Arial" w:hAnsi="Arial" w:cs="Arial"/>
          <w:sz w:val="24"/>
          <w:szCs w:val="24"/>
        </w:rPr>
        <w:t xml:space="preserve"> </w:t>
      </w:r>
      <w:r w:rsidR="00B5633E" w:rsidRPr="00CA0FBF">
        <w:rPr>
          <w:rFonts w:ascii="Arial" w:hAnsi="Arial" w:cs="Arial"/>
          <w:sz w:val="24"/>
          <w:szCs w:val="24"/>
        </w:rPr>
        <w:t>-</w:t>
      </w:r>
      <w:proofErr w:type="gramEnd"/>
      <w:r w:rsidR="00403C41" w:rsidRPr="00CA0FBF">
        <w:rPr>
          <w:rFonts w:ascii="Arial" w:hAnsi="Arial" w:cs="Arial"/>
          <w:sz w:val="24"/>
          <w:szCs w:val="24"/>
        </w:rPr>
        <w:t>5.99</w:t>
      </w:r>
      <w:r w:rsidRPr="00CA0FBF">
        <w:rPr>
          <w:rFonts w:ascii="Arial" w:hAnsi="Arial" w:cs="Arial"/>
          <w:sz w:val="24"/>
          <w:szCs w:val="24"/>
        </w:rPr>
        <w:t>%   £</w:t>
      </w:r>
      <w:r w:rsidR="002F437B">
        <w:rPr>
          <w:rFonts w:ascii="Arial" w:hAnsi="Arial" w:cs="Arial"/>
          <w:sz w:val="24"/>
          <w:szCs w:val="24"/>
        </w:rPr>
        <w:t>0</w:t>
      </w:r>
      <w:r w:rsidR="006962F2" w:rsidRPr="00CA0FBF">
        <w:rPr>
          <w:rFonts w:ascii="Arial" w:hAnsi="Arial" w:cs="Arial"/>
          <w:sz w:val="24"/>
          <w:szCs w:val="24"/>
        </w:rPr>
        <w:t>.77</w:t>
      </w:r>
      <w:r w:rsidR="00694672" w:rsidRPr="00CA0FBF">
        <w:rPr>
          <w:rFonts w:ascii="Arial" w:hAnsi="Arial" w:cs="Arial"/>
          <w:sz w:val="24"/>
          <w:szCs w:val="24"/>
        </w:rPr>
        <w:t>)</w:t>
      </w:r>
    </w:p>
    <w:p w14:paraId="786AEA03" w14:textId="6D2D1EAA" w:rsidR="0027216B" w:rsidRDefault="0027216B" w:rsidP="006F3512">
      <w:pPr>
        <w:rPr>
          <w:rFonts w:ascii="Arial" w:hAnsi="Arial" w:cs="Arial"/>
          <w:sz w:val="24"/>
          <w:szCs w:val="24"/>
        </w:rPr>
      </w:pPr>
    </w:p>
    <w:p w14:paraId="76FE588A" w14:textId="3C7F0611" w:rsidR="00A80E44" w:rsidRDefault="00A80E44" w:rsidP="006F3512">
      <w:pPr>
        <w:rPr>
          <w:rFonts w:ascii="Arial" w:hAnsi="Arial" w:cs="Arial"/>
          <w:sz w:val="24"/>
          <w:szCs w:val="24"/>
        </w:rPr>
      </w:pPr>
      <w:r>
        <w:rPr>
          <w:rFonts w:ascii="Arial" w:hAnsi="Arial" w:cs="Arial"/>
          <w:sz w:val="24"/>
          <w:szCs w:val="24"/>
        </w:rPr>
        <w:t xml:space="preserve">The median average </w:t>
      </w:r>
      <w:r w:rsidR="009E3C8D">
        <w:rPr>
          <w:rFonts w:ascii="Arial" w:hAnsi="Arial" w:cs="Arial"/>
          <w:sz w:val="24"/>
          <w:szCs w:val="24"/>
        </w:rPr>
        <w:t>is considered more representative measure of the</w:t>
      </w:r>
      <w:r w:rsidR="0068689D">
        <w:rPr>
          <w:rFonts w:ascii="Arial" w:hAnsi="Arial" w:cs="Arial"/>
          <w:sz w:val="24"/>
          <w:szCs w:val="24"/>
        </w:rPr>
        <w:t xml:space="preserve"> pay gap</w:t>
      </w:r>
      <w:r w:rsidR="002B58D4">
        <w:rPr>
          <w:rFonts w:ascii="Arial" w:hAnsi="Arial" w:cs="Arial"/>
          <w:sz w:val="24"/>
          <w:szCs w:val="24"/>
        </w:rPr>
        <w:t xml:space="preserve">.  The mean figure can be skewed by a small number of highly paid individuals, so the median figure is less affected by outliers.  </w:t>
      </w:r>
    </w:p>
    <w:p w14:paraId="51B58FEC" w14:textId="69417D6A" w:rsidR="00A80E44" w:rsidRDefault="00A80E44" w:rsidP="006F3512">
      <w:pPr>
        <w:rPr>
          <w:rFonts w:ascii="Arial" w:hAnsi="Arial" w:cs="Arial"/>
          <w:sz w:val="24"/>
          <w:szCs w:val="24"/>
        </w:rPr>
      </w:pPr>
    </w:p>
    <w:p w14:paraId="10753529" w14:textId="77777777" w:rsidR="002F437B" w:rsidRDefault="002F437B" w:rsidP="006F3512">
      <w:pPr>
        <w:rPr>
          <w:rFonts w:ascii="Arial" w:hAnsi="Arial" w:cs="Arial"/>
          <w:sz w:val="24"/>
          <w:szCs w:val="24"/>
        </w:rPr>
      </w:pPr>
    </w:p>
    <w:p w14:paraId="7FCEC3D5" w14:textId="3F9E9F15" w:rsidR="0027216B" w:rsidRDefault="0027216B" w:rsidP="006F3512">
      <w:pPr>
        <w:rPr>
          <w:rFonts w:ascii="Arial" w:hAnsi="Arial" w:cs="Arial"/>
          <w:b/>
          <w:bCs/>
        </w:rPr>
      </w:pPr>
      <w:r w:rsidRPr="00693FA0">
        <w:rPr>
          <w:rFonts w:ascii="Arial" w:hAnsi="Arial" w:cs="Arial"/>
          <w:b/>
          <w:bCs/>
        </w:rPr>
        <w:t>Figure 1.</w:t>
      </w:r>
    </w:p>
    <w:p w14:paraId="4349C16B" w14:textId="7F8E0913" w:rsidR="008158D6" w:rsidRDefault="008158D6" w:rsidP="006F3512">
      <w:pPr>
        <w:rPr>
          <w:rFonts w:ascii="Arial" w:hAnsi="Arial" w:cs="Arial"/>
          <w:b/>
          <w:bCs/>
        </w:rPr>
      </w:pPr>
    </w:p>
    <w:p w14:paraId="06FF0AA1" w14:textId="20C24CBD" w:rsidR="008158D6" w:rsidRPr="00693FA0" w:rsidRDefault="009608E1" w:rsidP="006F3512">
      <w:pPr>
        <w:rPr>
          <w:rFonts w:ascii="Arial" w:hAnsi="Arial" w:cs="Arial"/>
          <w:b/>
          <w:bCs/>
        </w:rPr>
      </w:pPr>
      <w:r w:rsidRPr="009608E1">
        <w:rPr>
          <w:rFonts w:ascii="Arial" w:hAnsi="Arial" w:cs="Arial"/>
          <w:b/>
          <w:bCs/>
          <w:noProof/>
        </w:rPr>
        <w:drawing>
          <wp:inline distT="0" distB="0" distL="0" distR="0" wp14:anchorId="5906A37C" wp14:editId="2FAC8FC9">
            <wp:extent cx="6631202" cy="272994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635977" cy="2731914"/>
                    </a:xfrm>
                    <a:prstGeom prst="rect">
                      <a:avLst/>
                    </a:prstGeom>
                  </pic:spPr>
                </pic:pic>
              </a:graphicData>
            </a:graphic>
          </wp:inline>
        </w:drawing>
      </w:r>
    </w:p>
    <w:p w14:paraId="71A56B3A" w14:textId="77777777" w:rsidR="006F3512" w:rsidRDefault="006F3512" w:rsidP="00C568E9">
      <w:pPr>
        <w:rPr>
          <w:rFonts w:ascii="Arial" w:hAnsi="Arial" w:cs="Arial"/>
          <w:sz w:val="24"/>
          <w:szCs w:val="24"/>
        </w:rPr>
      </w:pPr>
    </w:p>
    <w:p w14:paraId="573EC048" w14:textId="06C01E23" w:rsidR="005D065A" w:rsidRDefault="005D065A" w:rsidP="00C568E9">
      <w:pPr>
        <w:rPr>
          <w:rFonts w:ascii="Arial" w:hAnsi="Arial" w:cs="Arial"/>
          <w:sz w:val="24"/>
          <w:szCs w:val="24"/>
        </w:rPr>
      </w:pPr>
    </w:p>
    <w:p w14:paraId="53D4BEA9" w14:textId="77777777" w:rsidR="000854FA" w:rsidRDefault="000854FA" w:rsidP="00FE363F">
      <w:pPr>
        <w:rPr>
          <w:rFonts w:ascii="Arial" w:hAnsi="Arial" w:cs="Arial"/>
          <w:b/>
          <w:sz w:val="24"/>
        </w:rPr>
      </w:pPr>
    </w:p>
    <w:p w14:paraId="2B369D69" w14:textId="77777777" w:rsidR="002F437B" w:rsidRDefault="002F437B">
      <w:pPr>
        <w:rPr>
          <w:rFonts w:ascii="Arial" w:hAnsi="Arial" w:cs="Arial"/>
          <w:b/>
          <w:sz w:val="24"/>
        </w:rPr>
      </w:pPr>
      <w:r>
        <w:rPr>
          <w:rFonts w:ascii="Arial" w:hAnsi="Arial" w:cs="Arial"/>
          <w:b/>
          <w:sz w:val="24"/>
        </w:rPr>
        <w:br w:type="page"/>
      </w:r>
    </w:p>
    <w:p w14:paraId="6B35F1D0" w14:textId="2E952845" w:rsidR="007D3A7D" w:rsidRPr="00FE363F" w:rsidRDefault="00B526B7" w:rsidP="00FE363F">
      <w:pPr>
        <w:rPr>
          <w:rFonts w:ascii="Arial" w:hAnsi="Arial" w:cs="Arial"/>
          <w:color w:val="000000"/>
          <w:sz w:val="22"/>
          <w:szCs w:val="22"/>
        </w:rPr>
      </w:pPr>
      <w:r w:rsidRPr="005811E9">
        <w:rPr>
          <w:rFonts w:ascii="Arial" w:hAnsi="Arial" w:cs="Arial"/>
          <w:b/>
          <w:sz w:val="24"/>
        </w:rPr>
        <w:lastRenderedPageBreak/>
        <w:t>Comparison</w:t>
      </w:r>
      <w:r w:rsidR="00510A2E" w:rsidRPr="005811E9">
        <w:rPr>
          <w:rFonts w:ascii="Arial" w:hAnsi="Arial" w:cs="Arial"/>
          <w:b/>
          <w:sz w:val="24"/>
        </w:rPr>
        <w:t xml:space="preserve"> with other Local Authorities</w:t>
      </w:r>
      <w:r w:rsidR="00257EB9">
        <w:rPr>
          <w:rFonts w:ascii="Arial" w:hAnsi="Arial" w:cs="Arial"/>
          <w:b/>
          <w:sz w:val="24"/>
        </w:rPr>
        <w:t xml:space="preserve"> </w:t>
      </w:r>
    </w:p>
    <w:p w14:paraId="73781A07" w14:textId="6A1BF245" w:rsidR="002F437B" w:rsidRDefault="005811E9" w:rsidP="002F437B">
      <w:pPr>
        <w:pStyle w:val="Default"/>
      </w:pPr>
      <w:r>
        <w:t xml:space="preserve">There is currently </w:t>
      </w:r>
      <w:r w:rsidR="004D2FB6">
        <w:t xml:space="preserve">no updated </w:t>
      </w:r>
      <w:r w:rsidR="004D2FB6">
        <w:rPr>
          <w:bCs/>
        </w:rPr>
        <w:t xml:space="preserve">LGA </w:t>
      </w:r>
      <w:r w:rsidR="00A80EA5">
        <w:rPr>
          <w:bCs/>
        </w:rPr>
        <w:t xml:space="preserve">summary </w:t>
      </w:r>
      <w:r w:rsidR="004D2FB6">
        <w:t>d</w:t>
      </w:r>
      <w:r w:rsidR="004D2FB6" w:rsidRPr="00AC13A8">
        <w:t>ata for 2020</w:t>
      </w:r>
      <w:r w:rsidR="004D2FB6">
        <w:t xml:space="preserve">.  It was </w:t>
      </w:r>
      <w:r w:rsidR="004D2FB6" w:rsidRPr="00AC13A8">
        <w:t xml:space="preserve">expected </w:t>
      </w:r>
      <w:r w:rsidR="004D2FB6">
        <w:t>late 2021 (after the extended reporting date of 5</w:t>
      </w:r>
      <w:r w:rsidR="004D2FB6" w:rsidRPr="00AC13A8">
        <w:t xml:space="preserve"> October 202</w:t>
      </w:r>
      <w:r w:rsidR="004D2FB6">
        <w:t>1 had passed).</w:t>
      </w:r>
      <w:r w:rsidR="002F437B" w:rsidRPr="002F437B">
        <w:rPr>
          <w:bCs/>
        </w:rPr>
        <w:t xml:space="preserve"> </w:t>
      </w:r>
      <w:r w:rsidR="002F437B">
        <w:rPr>
          <w:bCs/>
        </w:rPr>
        <w:t xml:space="preserve">There was no </w:t>
      </w:r>
      <w:r w:rsidR="002F437B" w:rsidRPr="000C4055">
        <w:rPr>
          <w:bCs/>
        </w:rPr>
        <w:t>LGA</w:t>
      </w:r>
      <w:r w:rsidR="002F437B">
        <w:rPr>
          <w:bCs/>
        </w:rPr>
        <w:t xml:space="preserve"> summary</w:t>
      </w:r>
      <w:r w:rsidR="002F437B" w:rsidRPr="000C4055">
        <w:rPr>
          <w:bCs/>
        </w:rPr>
        <w:t xml:space="preserve"> </w:t>
      </w:r>
      <w:r w:rsidR="002F437B">
        <w:rPr>
          <w:bCs/>
        </w:rPr>
        <w:t xml:space="preserve">data published for the snapshot date of 31 March 2019.  The Government Equalities Office and the Equality and Human Right Commission (EHRC) suspended gender pay gap reporting regulations for the snapshot date of 31 March 2019 due to the coronavirus pandemic. </w:t>
      </w:r>
    </w:p>
    <w:p w14:paraId="0F8AB3E6" w14:textId="618B86C3" w:rsidR="007D3A7D" w:rsidRDefault="007D3A7D" w:rsidP="00E60784">
      <w:pPr>
        <w:pStyle w:val="Default"/>
      </w:pPr>
    </w:p>
    <w:p w14:paraId="23229050" w14:textId="0B84FEC0" w:rsidR="00721DCD" w:rsidRDefault="00FB2103">
      <w:pPr>
        <w:pStyle w:val="Default"/>
      </w:pPr>
      <w:r w:rsidRPr="001C647C">
        <w:t>The mean gend</w:t>
      </w:r>
      <w:r w:rsidR="008B5D46">
        <w:t>er pay gap in local government</w:t>
      </w:r>
      <w:r w:rsidR="00B65FA6">
        <w:t xml:space="preserve"> for </w:t>
      </w:r>
      <w:r w:rsidR="00BA1522">
        <w:t>31 March 2018</w:t>
      </w:r>
      <w:r w:rsidR="00E604AA">
        <w:t xml:space="preserve"> </w:t>
      </w:r>
      <w:r w:rsidR="00BA1522">
        <w:t>was</w:t>
      </w:r>
      <w:r w:rsidRPr="001C647C">
        <w:t xml:space="preserve"> 6.</w:t>
      </w:r>
      <w:r w:rsidR="00B65FA6">
        <w:t>1</w:t>
      </w:r>
      <w:r w:rsidRPr="001C647C">
        <w:t xml:space="preserve">% and the median gap </w:t>
      </w:r>
      <w:r w:rsidR="00BA1522">
        <w:t>was</w:t>
      </w:r>
      <w:r w:rsidR="00BA1522" w:rsidRPr="001C647C">
        <w:t xml:space="preserve"> </w:t>
      </w:r>
      <w:r w:rsidR="00B65FA6">
        <w:t>4</w:t>
      </w:r>
      <w:r w:rsidRPr="001C647C">
        <w:t xml:space="preserve">% so B&amp;NES Council compares favourably to this. </w:t>
      </w:r>
      <w:r w:rsidR="00B136D6" w:rsidRPr="001C647C">
        <w:rPr>
          <w:rStyle w:val="FootnoteReference"/>
        </w:rPr>
        <w:footnoteReference w:id="2"/>
      </w:r>
      <w:r w:rsidR="00733B4A">
        <w:t xml:space="preserve">  </w:t>
      </w:r>
    </w:p>
    <w:p w14:paraId="289B1513" w14:textId="77777777" w:rsidR="00721DCD" w:rsidRDefault="00721DCD">
      <w:pPr>
        <w:pStyle w:val="Default"/>
      </w:pPr>
    </w:p>
    <w:p w14:paraId="283C94D7" w14:textId="2D750D9A" w:rsidR="003E6355" w:rsidRDefault="003E6355">
      <w:pPr>
        <w:pStyle w:val="Default"/>
      </w:pPr>
      <w:r>
        <w:t xml:space="preserve">Variations in pay gap between authorities are likely to be due at least in part to differences in structures, types of services provided and the extent of </w:t>
      </w:r>
      <w:r w:rsidR="00FF0EFC">
        <w:t>insourcing/</w:t>
      </w:r>
      <w:r>
        <w:t>outsourcing</w:t>
      </w:r>
      <w:r w:rsidR="00FF0EFC">
        <w:t xml:space="preserve"> activity</w:t>
      </w:r>
      <w:r>
        <w:t>.</w:t>
      </w:r>
    </w:p>
    <w:p w14:paraId="7E97AB6D" w14:textId="1B9876AD" w:rsidR="00106A24" w:rsidRDefault="00106A24">
      <w:pPr>
        <w:pStyle w:val="Default"/>
      </w:pPr>
    </w:p>
    <w:tbl>
      <w:tblPr>
        <w:tblW w:w="9836" w:type="dxa"/>
        <w:tblInd w:w="113" w:type="dxa"/>
        <w:tblLook w:val="04A0" w:firstRow="1" w:lastRow="0" w:firstColumn="1" w:lastColumn="0" w:noHBand="0" w:noVBand="1"/>
      </w:tblPr>
      <w:tblGrid>
        <w:gridCol w:w="1339"/>
        <w:gridCol w:w="784"/>
        <w:gridCol w:w="905"/>
        <w:gridCol w:w="784"/>
        <w:gridCol w:w="905"/>
        <w:gridCol w:w="810"/>
        <w:gridCol w:w="905"/>
        <w:gridCol w:w="810"/>
        <w:gridCol w:w="905"/>
        <w:gridCol w:w="784"/>
        <w:gridCol w:w="905"/>
      </w:tblGrid>
      <w:tr w:rsidR="00A53E3F" w:rsidRPr="00FF0EFC" w14:paraId="197B9B10" w14:textId="33639A80" w:rsidTr="00847A18">
        <w:trPr>
          <w:trHeight w:val="300"/>
        </w:trPr>
        <w:tc>
          <w:tcPr>
            <w:tcW w:w="13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AD3E22" w14:textId="77777777" w:rsidR="00A53E3F" w:rsidRPr="00693FA0" w:rsidRDefault="00A53E3F" w:rsidP="00A53E3F">
            <w:pPr>
              <w:rPr>
                <w:rFonts w:ascii="Arial" w:hAnsi="Arial" w:cs="Arial"/>
                <w:color w:val="000000"/>
              </w:rPr>
            </w:pPr>
          </w:p>
        </w:tc>
        <w:tc>
          <w:tcPr>
            <w:tcW w:w="784" w:type="dxa"/>
            <w:tcBorders>
              <w:top w:val="single" w:sz="4" w:space="0" w:color="auto"/>
              <w:left w:val="nil"/>
              <w:bottom w:val="single" w:sz="4" w:space="0" w:color="auto"/>
              <w:right w:val="single" w:sz="4" w:space="0" w:color="auto"/>
            </w:tcBorders>
            <w:shd w:val="clear" w:color="000000" w:fill="BDD7EE"/>
            <w:noWrap/>
            <w:hideMark/>
          </w:tcPr>
          <w:p w14:paraId="783551D3" w14:textId="77777777" w:rsidR="00A53E3F" w:rsidRPr="00693FA0" w:rsidRDefault="00A53E3F" w:rsidP="00A53E3F">
            <w:pPr>
              <w:jc w:val="center"/>
              <w:rPr>
                <w:rFonts w:ascii="Arial" w:hAnsi="Arial" w:cs="Arial"/>
                <w:b/>
                <w:bCs/>
                <w:color w:val="000000"/>
              </w:rPr>
            </w:pPr>
            <w:r w:rsidRPr="00693FA0">
              <w:rPr>
                <w:rFonts w:ascii="Arial" w:hAnsi="Arial" w:cs="Arial"/>
                <w:b/>
                <w:bCs/>
                <w:color w:val="000000"/>
              </w:rPr>
              <w:t xml:space="preserve">2017 Mean </w:t>
            </w:r>
          </w:p>
        </w:tc>
        <w:tc>
          <w:tcPr>
            <w:tcW w:w="905" w:type="dxa"/>
            <w:tcBorders>
              <w:top w:val="single" w:sz="4" w:space="0" w:color="auto"/>
              <w:left w:val="nil"/>
              <w:bottom w:val="single" w:sz="4" w:space="0" w:color="auto"/>
              <w:right w:val="single" w:sz="4" w:space="0" w:color="auto"/>
            </w:tcBorders>
            <w:shd w:val="clear" w:color="000000" w:fill="BDD7EE"/>
            <w:noWrap/>
            <w:hideMark/>
          </w:tcPr>
          <w:p w14:paraId="309103B0" w14:textId="77777777" w:rsidR="00A53E3F" w:rsidRPr="00693FA0" w:rsidRDefault="00A53E3F" w:rsidP="00A53E3F">
            <w:pPr>
              <w:jc w:val="center"/>
              <w:rPr>
                <w:rFonts w:ascii="Arial" w:hAnsi="Arial" w:cs="Arial"/>
                <w:b/>
                <w:bCs/>
                <w:color w:val="000000"/>
              </w:rPr>
            </w:pPr>
            <w:r w:rsidRPr="00693FA0">
              <w:rPr>
                <w:rFonts w:ascii="Arial" w:hAnsi="Arial" w:cs="Arial"/>
                <w:b/>
                <w:bCs/>
                <w:color w:val="000000"/>
              </w:rPr>
              <w:t>2017 Median</w:t>
            </w:r>
          </w:p>
        </w:tc>
        <w:tc>
          <w:tcPr>
            <w:tcW w:w="784" w:type="dxa"/>
            <w:tcBorders>
              <w:top w:val="single" w:sz="4" w:space="0" w:color="auto"/>
              <w:left w:val="nil"/>
              <w:bottom w:val="single" w:sz="4" w:space="0" w:color="auto"/>
              <w:right w:val="single" w:sz="4" w:space="0" w:color="auto"/>
            </w:tcBorders>
            <w:shd w:val="clear" w:color="000000" w:fill="BDD7EE"/>
            <w:noWrap/>
            <w:hideMark/>
          </w:tcPr>
          <w:p w14:paraId="4647507A" w14:textId="77777777" w:rsidR="00A53E3F" w:rsidRPr="00693FA0" w:rsidRDefault="00A53E3F" w:rsidP="00A53E3F">
            <w:pPr>
              <w:jc w:val="center"/>
              <w:rPr>
                <w:rFonts w:ascii="Arial" w:hAnsi="Arial" w:cs="Arial"/>
                <w:b/>
                <w:bCs/>
                <w:color w:val="000000"/>
              </w:rPr>
            </w:pPr>
            <w:r w:rsidRPr="00693FA0">
              <w:rPr>
                <w:rFonts w:ascii="Arial" w:hAnsi="Arial" w:cs="Arial"/>
                <w:b/>
                <w:bCs/>
                <w:color w:val="000000"/>
              </w:rPr>
              <w:t>2018 Mean</w:t>
            </w:r>
          </w:p>
        </w:tc>
        <w:tc>
          <w:tcPr>
            <w:tcW w:w="905" w:type="dxa"/>
            <w:tcBorders>
              <w:top w:val="single" w:sz="4" w:space="0" w:color="auto"/>
              <w:left w:val="nil"/>
              <w:bottom w:val="single" w:sz="4" w:space="0" w:color="auto"/>
              <w:right w:val="single" w:sz="4" w:space="0" w:color="auto"/>
            </w:tcBorders>
            <w:shd w:val="clear" w:color="000000" w:fill="BDD7EE"/>
            <w:noWrap/>
            <w:hideMark/>
          </w:tcPr>
          <w:p w14:paraId="38E7347C" w14:textId="77777777" w:rsidR="00A53E3F" w:rsidRPr="00693FA0" w:rsidRDefault="00A53E3F" w:rsidP="00A53E3F">
            <w:pPr>
              <w:jc w:val="center"/>
              <w:rPr>
                <w:rFonts w:ascii="Arial" w:hAnsi="Arial" w:cs="Arial"/>
                <w:b/>
                <w:bCs/>
                <w:color w:val="000000"/>
              </w:rPr>
            </w:pPr>
            <w:r w:rsidRPr="00693FA0">
              <w:rPr>
                <w:rFonts w:ascii="Arial" w:hAnsi="Arial" w:cs="Arial"/>
                <w:b/>
                <w:bCs/>
                <w:color w:val="000000"/>
              </w:rPr>
              <w:t>2018 Median</w:t>
            </w:r>
          </w:p>
        </w:tc>
        <w:tc>
          <w:tcPr>
            <w:tcW w:w="810" w:type="dxa"/>
            <w:tcBorders>
              <w:top w:val="single" w:sz="4" w:space="0" w:color="auto"/>
              <w:left w:val="nil"/>
              <w:bottom w:val="single" w:sz="4" w:space="0" w:color="auto"/>
              <w:right w:val="single" w:sz="4" w:space="0" w:color="auto"/>
            </w:tcBorders>
            <w:shd w:val="clear" w:color="000000" w:fill="BDD7EE"/>
            <w:noWrap/>
            <w:hideMark/>
          </w:tcPr>
          <w:p w14:paraId="18D53C8F" w14:textId="77777777" w:rsidR="00A53E3F" w:rsidRPr="00693FA0" w:rsidRDefault="00A53E3F" w:rsidP="00A53E3F">
            <w:pPr>
              <w:jc w:val="center"/>
              <w:rPr>
                <w:rFonts w:ascii="Arial" w:hAnsi="Arial" w:cs="Arial"/>
                <w:b/>
                <w:bCs/>
                <w:color w:val="000000"/>
              </w:rPr>
            </w:pPr>
            <w:r w:rsidRPr="00693FA0">
              <w:rPr>
                <w:rFonts w:ascii="Arial" w:hAnsi="Arial" w:cs="Arial"/>
                <w:b/>
                <w:bCs/>
                <w:color w:val="000000"/>
              </w:rPr>
              <w:t>2019 Mean</w:t>
            </w:r>
          </w:p>
        </w:tc>
        <w:tc>
          <w:tcPr>
            <w:tcW w:w="905" w:type="dxa"/>
            <w:tcBorders>
              <w:top w:val="single" w:sz="4" w:space="0" w:color="auto"/>
              <w:left w:val="nil"/>
              <w:bottom w:val="single" w:sz="4" w:space="0" w:color="auto"/>
              <w:right w:val="single" w:sz="4" w:space="0" w:color="auto"/>
            </w:tcBorders>
            <w:shd w:val="clear" w:color="000000" w:fill="BDD7EE"/>
            <w:noWrap/>
            <w:hideMark/>
          </w:tcPr>
          <w:p w14:paraId="478106AD" w14:textId="77777777" w:rsidR="00A53E3F" w:rsidRPr="00693FA0" w:rsidRDefault="00A53E3F" w:rsidP="00A53E3F">
            <w:pPr>
              <w:jc w:val="center"/>
              <w:rPr>
                <w:rFonts w:ascii="Arial" w:hAnsi="Arial" w:cs="Arial"/>
                <w:b/>
                <w:bCs/>
                <w:color w:val="000000"/>
              </w:rPr>
            </w:pPr>
            <w:r w:rsidRPr="00693FA0">
              <w:rPr>
                <w:rFonts w:ascii="Arial" w:hAnsi="Arial" w:cs="Arial"/>
                <w:b/>
                <w:bCs/>
                <w:color w:val="000000"/>
              </w:rPr>
              <w:t>2019 Median</w:t>
            </w:r>
          </w:p>
        </w:tc>
        <w:tc>
          <w:tcPr>
            <w:tcW w:w="810" w:type="dxa"/>
            <w:tcBorders>
              <w:top w:val="single" w:sz="4" w:space="0" w:color="auto"/>
              <w:left w:val="nil"/>
              <w:bottom w:val="single" w:sz="4" w:space="0" w:color="auto"/>
              <w:right w:val="single" w:sz="4" w:space="0" w:color="auto"/>
            </w:tcBorders>
            <w:shd w:val="clear" w:color="000000" w:fill="BDD7EE"/>
            <w:noWrap/>
            <w:hideMark/>
          </w:tcPr>
          <w:p w14:paraId="3BE9F4B0" w14:textId="77777777" w:rsidR="00A53E3F" w:rsidRPr="00693FA0" w:rsidRDefault="00A53E3F" w:rsidP="00A53E3F">
            <w:pPr>
              <w:jc w:val="center"/>
              <w:rPr>
                <w:rFonts w:ascii="Arial" w:hAnsi="Arial" w:cs="Arial"/>
                <w:b/>
                <w:bCs/>
                <w:color w:val="000000"/>
              </w:rPr>
            </w:pPr>
            <w:r w:rsidRPr="00693FA0">
              <w:rPr>
                <w:rFonts w:ascii="Arial" w:hAnsi="Arial" w:cs="Arial"/>
                <w:b/>
                <w:bCs/>
                <w:color w:val="000000"/>
              </w:rPr>
              <w:t>2020 Mean</w:t>
            </w:r>
          </w:p>
        </w:tc>
        <w:tc>
          <w:tcPr>
            <w:tcW w:w="905" w:type="dxa"/>
            <w:tcBorders>
              <w:top w:val="single" w:sz="4" w:space="0" w:color="auto"/>
              <w:left w:val="nil"/>
              <w:bottom w:val="single" w:sz="4" w:space="0" w:color="auto"/>
              <w:right w:val="single" w:sz="4" w:space="0" w:color="auto"/>
            </w:tcBorders>
            <w:shd w:val="clear" w:color="000000" w:fill="BDD7EE"/>
            <w:noWrap/>
            <w:hideMark/>
          </w:tcPr>
          <w:p w14:paraId="195CD59D" w14:textId="77777777" w:rsidR="00A53E3F" w:rsidRPr="00693FA0" w:rsidRDefault="00A53E3F" w:rsidP="00A53E3F">
            <w:pPr>
              <w:jc w:val="center"/>
              <w:rPr>
                <w:rFonts w:ascii="Arial" w:hAnsi="Arial" w:cs="Arial"/>
                <w:b/>
                <w:bCs/>
                <w:color w:val="000000"/>
              </w:rPr>
            </w:pPr>
            <w:r w:rsidRPr="00693FA0">
              <w:rPr>
                <w:rFonts w:ascii="Arial" w:hAnsi="Arial" w:cs="Arial"/>
                <w:b/>
                <w:bCs/>
                <w:color w:val="000000"/>
              </w:rPr>
              <w:t>2020 Median</w:t>
            </w:r>
          </w:p>
        </w:tc>
        <w:tc>
          <w:tcPr>
            <w:tcW w:w="784" w:type="dxa"/>
            <w:tcBorders>
              <w:top w:val="single" w:sz="4" w:space="0" w:color="auto"/>
              <w:left w:val="nil"/>
              <w:bottom w:val="single" w:sz="4" w:space="0" w:color="auto"/>
              <w:right w:val="single" w:sz="4" w:space="0" w:color="auto"/>
            </w:tcBorders>
            <w:shd w:val="clear" w:color="000000" w:fill="BDD7EE"/>
          </w:tcPr>
          <w:p w14:paraId="7E2254F0" w14:textId="7E8AD984" w:rsidR="00A53E3F" w:rsidRPr="00693FA0" w:rsidRDefault="00A53E3F" w:rsidP="00A53E3F">
            <w:pPr>
              <w:jc w:val="center"/>
              <w:rPr>
                <w:rFonts w:ascii="Arial" w:hAnsi="Arial" w:cs="Arial"/>
                <w:b/>
                <w:bCs/>
                <w:color w:val="000000"/>
              </w:rPr>
            </w:pPr>
            <w:r w:rsidRPr="00693FA0">
              <w:rPr>
                <w:rFonts w:ascii="Arial" w:hAnsi="Arial" w:cs="Arial"/>
                <w:b/>
                <w:bCs/>
                <w:color w:val="000000"/>
              </w:rPr>
              <w:t>202</w:t>
            </w:r>
            <w:r>
              <w:rPr>
                <w:rFonts w:ascii="Arial" w:hAnsi="Arial" w:cs="Arial"/>
                <w:b/>
                <w:bCs/>
                <w:color w:val="000000"/>
              </w:rPr>
              <w:t>1</w:t>
            </w:r>
            <w:r w:rsidRPr="00693FA0">
              <w:rPr>
                <w:rFonts w:ascii="Arial" w:hAnsi="Arial" w:cs="Arial"/>
                <w:b/>
                <w:bCs/>
                <w:color w:val="000000"/>
              </w:rPr>
              <w:t xml:space="preserve"> M</w:t>
            </w:r>
            <w:r>
              <w:rPr>
                <w:rFonts w:ascii="Arial" w:hAnsi="Arial" w:cs="Arial"/>
                <w:b/>
                <w:bCs/>
                <w:color w:val="000000"/>
              </w:rPr>
              <w:t>ean</w:t>
            </w:r>
          </w:p>
        </w:tc>
        <w:tc>
          <w:tcPr>
            <w:tcW w:w="905" w:type="dxa"/>
            <w:tcBorders>
              <w:top w:val="single" w:sz="4" w:space="0" w:color="auto"/>
              <w:left w:val="nil"/>
              <w:bottom w:val="single" w:sz="4" w:space="0" w:color="auto"/>
              <w:right w:val="single" w:sz="4" w:space="0" w:color="auto"/>
            </w:tcBorders>
            <w:shd w:val="clear" w:color="000000" w:fill="BDD7EE"/>
          </w:tcPr>
          <w:p w14:paraId="0F2ADC85" w14:textId="6ABF44E7" w:rsidR="00A53E3F" w:rsidRPr="00693FA0" w:rsidRDefault="00A53E3F" w:rsidP="00A53E3F">
            <w:pPr>
              <w:jc w:val="center"/>
              <w:rPr>
                <w:rFonts w:ascii="Arial" w:hAnsi="Arial" w:cs="Arial"/>
                <w:b/>
                <w:bCs/>
                <w:color w:val="000000"/>
              </w:rPr>
            </w:pPr>
            <w:r w:rsidRPr="00693FA0">
              <w:rPr>
                <w:rFonts w:ascii="Arial" w:hAnsi="Arial" w:cs="Arial"/>
                <w:b/>
                <w:bCs/>
                <w:color w:val="000000"/>
              </w:rPr>
              <w:t>202</w:t>
            </w:r>
            <w:r w:rsidR="008158D6">
              <w:rPr>
                <w:rFonts w:ascii="Arial" w:hAnsi="Arial" w:cs="Arial"/>
                <w:b/>
                <w:bCs/>
                <w:color w:val="000000"/>
              </w:rPr>
              <w:t>1</w:t>
            </w:r>
            <w:r w:rsidRPr="00693FA0">
              <w:rPr>
                <w:rFonts w:ascii="Arial" w:hAnsi="Arial" w:cs="Arial"/>
                <w:b/>
                <w:bCs/>
                <w:color w:val="000000"/>
              </w:rPr>
              <w:t xml:space="preserve"> Median</w:t>
            </w:r>
          </w:p>
        </w:tc>
      </w:tr>
      <w:tr w:rsidR="00A53E3F" w:rsidRPr="00FF0EFC" w14:paraId="37D3A6BC" w14:textId="7EA866AB" w:rsidTr="00847A18">
        <w:trPr>
          <w:trHeight w:val="600"/>
        </w:trPr>
        <w:tc>
          <w:tcPr>
            <w:tcW w:w="1339" w:type="dxa"/>
            <w:tcBorders>
              <w:top w:val="nil"/>
              <w:left w:val="single" w:sz="4" w:space="0" w:color="auto"/>
              <w:bottom w:val="single" w:sz="4" w:space="0" w:color="auto"/>
              <w:right w:val="single" w:sz="4" w:space="0" w:color="auto"/>
            </w:tcBorders>
            <w:shd w:val="clear" w:color="000000" w:fill="FFF2CC"/>
            <w:vAlign w:val="bottom"/>
            <w:hideMark/>
          </w:tcPr>
          <w:p w14:paraId="35F8830A" w14:textId="78A17CA4" w:rsidR="00A53E3F" w:rsidRPr="00693FA0" w:rsidRDefault="00A53E3F" w:rsidP="00A53E3F">
            <w:pPr>
              <w:rPr>
                <w:rFonts w:ascii="Arial" w:hAnsi="Arial" w:cs="Arial"/>
                <w:b/>
                <w:bCs/>
                <w:color w:val="000000"/>
              </w:rPr>
            </w:pPr>
            <w:r w:rsidRPr="00693FA0">
              <w:rPr>
                <w:rFonts w:ascii="Arial" w:hAnsi="Arial" w:cs="Arial"/>
                <w:b/>
                <w:bCs/>
                <w:color w:val="000000"/>
              </w:rPr>
              <w:t>LGA (across 32</w:t>
            </w:r>
            <w:r>
              <w:rPr>
                <w:rFonts w:ascii="Arial" w:hAnsi="Arial" w:cs="Arial"/>
                <w:b/>
                <w:bCs/>
                <w:color w:val="000000"/>
              </w:rPr>
              <w:t>2</w:t>
            </w:r>
            <w:r w:rsidRPr="00693FA0">
              <w:rPr>
                <w:rFonts w:ascii="Arial" w:hAnsi="Arial" w:cs="Arial"/>
                <w:b/>
                <w:bCs/>
                <w:color w:val="000000"/>
              </w:rPr>
              <w:t xml:space="preserve"> </w:t>
            </w:r>
            <w:r>
              <w:rPr>
                <w:rFonts w:ascii="Arial" w:hAnsi="Arial" w:cs="Arial"/>
                <w:b/>
                <w:bCs/>
                <w:color w:val="000000"/>
              </w:rPr>
              <w:t>Local Authorities)</w:t>
            </w:r>
          </w:p>
        </w:tc>
        <w:tc>
          <w:tcPr>
            <w:tcW w:w="784" w:type="dxa"/>
            <w:tcBorders>
              <w:top w:val="nil"/>
              <w:left w:val="nil"/>
              <w:bottom w:val="single" w:sz="4" w:space="0" w:color="auto"/>
              <w:right w:val="single" w:sz="4" w:space="0" w:color="auto"/>
            </w:tcBorders>
            <w:shd w:val="clear" w:color="000000" w:fill="FFF2CC"/>
            <w:noWrap/>
            <w:hideMark/>
          </w:tcPr>
          <w:p w14:paraId="19C7E263" w14:textId="77777777" w:rsidR="00A53E3F" w:rsidRPr="00693FA0" w:rsidRDefault="00A53E3F" w:rsidP="00A53E3F">
            <w:pPr>
              <w:jc w:val="center"/>
              <w:rPr>
                <w:rFonts w:ascii="Arial" w:hAnsi="Arial" w:cs="Arial"/>
                <w:color w:val="000000"/>
              </w:rPr>
            </w:pPr>
            <w:r w:rsidRPr="00693FA0">
              <w:rPr>
                <w:rFonts w:ascii="Arial" w:hAnsi="Arial" w:cs="Arial"/>
                <w:color w:val="000000"/>
              </w:rPr>
              <w:t>6.8%</w:t>
            </w:r>
          </w:p>
        </w:tc>
        <w:tc>
          <w:tcPr>
            <w:tcW w:w="905" w:type="dxa"/>
            <w:tcBorders>
              <w:top w:val="nil"/>
              <w:left w:val="nil"/>
              <w:bottom w:val="single" w:sz="4" w:space="0" w:color="auto"/>
              <w:right w:val="single" w:sz="4" w:space="0" w:color="auto"/>
            </w:tcBorders>
            <w:shd w:val="clear" w:color="000000" w:fill="FFF2CC"/>
            <w:noWrap/>
            <w:hideMark/>
          </w:tcPr>
          <w:p w14:paraId="2444BBF2" w14:textId="77777777" w:rsidR="00A53E3F" w:rsidRPr="00693FA0" w:rsidRDefault="00A53E3F" w:rsidP="00A53E3F">
            <w:pPr>
              <w:jc w:val="center"/>
              <w:rPr>
                <w:rFonts w:ascii="Arial" w:hAnsi="Arial" w:cs="Arial"/>
                <w:color w:val="000000"/>
              </w:rPr>
            </w:pPr>
            <w:r w:rsidRPr="00693FA0">
              <w:rPr>
                <w:rFonts w:ascii="Arial" w:hAnsi="Arial" w:cs="Arial"/>
                <w:color w:val="000000"/>
              </w:rPr>
              <w:t>5%</w:t>
            </w:r>
          </w:p>
        </w:tc>
        <w:tc>
          <w:tcPr>
            <w:tcW w:w="784" w:type="dxa"/>
            <w:tcBorders>
              <w:top w:val="nil"/>
              <w:left w:val="nil"/>
              <w:bottom w:val="single" w:sz="4" w:space="0" w:color="auto"/>
              <w:right w:val="single" w:sz="4" w:space="0" w:color="auto"/>
            </w:tcBorders>
            <w:shd w:val="clear" w:color="000000" w:fill="FFF2CC"/>
            <w:noWrap/>
            <w:hideMark/>
          </w:tcPr>
          <w:p w14:paraId="7BEAED6E" w14:textId="77777777" w:rsidR="00A53E3F" w:rsidRPr="00693FA0" w:rsidRDefault="00A53E3F" w:rsidP="00A53E3F">
            <w:pPr>
              <w:jc w:val="center"/>
              <w:rPr>
                <w:rFonts w:ascii="Arial" w:hAnsi="Arial" w:cs="Arial"/>
                <w:color w:val="000000"/>
              </w:rPr>
            </w:pPr>
            <w:r w:rsidRPr="00693FA0">
              <w:rPr>
                <w:rFonts w:ascii="Arial" w:hAnsi="Arial" w:cs="Arial"/>
                <w:color w:val="000000"/>
              </w:rPr>
              <w:t>6.1%</w:t>
            </w:r>
          </w:p>
        </w:tc>
        <w:tc>
          <w:tcPr>
            <w:tcW w:w="905" w:type="dxa"/>
            <w:tcBorders>
              <w:top w:val="nil"/>
              <w:left w:val="nil"/>
              <w:bottom w:val="single" w:sz="4" w:space="0" w:color="auto"/>
              <w:right w:val="single" w:sz="4" w:space="0" w:color="auto"/>
            </w:tcBorders>
            <w:shd w:val="clear" w:color="000000" w:fill="FFF2CC"/>
            <w:noWrap/>
            <w:hideMark/>
          </w:tcPr>
          <w:p w14:paraId="7EA38FD7" w14:textId="77777777" w:rsidR="00A53E3F" w:rsidRPr="00693FA0" w:rsidRDefault="00A53E3F" w:rsidP="00A53E3F">
            <w:pPr>
              <w:jc w:val="center"/>
              <w:rPr>
                <w:rFonts w:ascii="Arial" w:hAnsi="Arial" w:cs="Arial"/>
                <w:color w:val="000000"/>
              </w:rPr>
            </w:pPr>
            <w:r w:rsidRPr="00693FA0">
              <w:rPr>
                <w:rFonts w:ascii="Arial" w:hAnsi="Arial" w:cs="Arial"/>
                <w:color w:val="000000"/>
              </w:rPr>
              <w:t>4%</w:t>
            </w:r>
          </w:p>
        </w:tc>
        <w:tc>
          <w:tcPr>
            <w:tcW w:w="810" w:type="dxa"/>
            <w:tcBorders>
              <w:top w:val="nil"/>
              <w:left w:val="nil"/>
              <w:bottom w:val="single" w:sz="4" w:space="0" w:color="auto"/>
              <w:right w:val="single" w:sz="4" w:space="0" w:color="auto"/>
            </w:tcBorders>
            <w:shd w:val="clear" w:color="000000" w:fill="FFF2CC"/>
            <w:noWrap/>
            <w:hideMark/>
          </w:tcPr>
          <w:p w14:paraId="63D2271C" w14:textId="77777777" w:rsidR="00A53E3F" w:rsidRPr="00693FA0" w:rsidRDefault="00A53E3F" w:rsidP="00A53E3F">
            <w:pPr>
              <w:jc w:val="center"/>
              <w:rPr>
                <w:rFonts w:ascii="Arial" w:hAnsi="Arial" w:cs="Arial"/>
                <w:color w:val="000000"/>
              </w:rPr>
            </w:pPr>
            <w:r w:rsidRPr="00693FA0">
              <w:rPr>
                <w:rFonts w:ascii="Arial" w:hAnsi="Arial" w:cs="Arial"/>
                <w:color w:val="000000"/>
              </w:rPr>
              <w:t>no data</w:t>
            </w:r>
          </w:p>
        </w:tc>
        <w:tc>
          <w:tcPr>
            <w:tcW w:w="905" w:type="dxa"/>
            <w:tcBorders>
              <w:top w:val="nil"/>
              <w:left w:val="nil"/>
              <w:bottom w:val="single" w:sz="4" w:space="0" w:color="auto"/>
              <w:right w:val="single" w:sz="4" w:space="0" w:color="auto"/>
            </w:tcBorders>
            <w:shd w:val="clear" w:color="000000" w:fill="FFF2CC"/>
            <w:noWrap/>
            <w:hideMark/>
          </w:tcPr>
          <w:p w14:paraId="10334EB1" w14:textId="77777777" w:rsidR="00A53E3F" w:rsidRPr="00693FA0" w:rsidRDefault="00A53E3F" w:rsidP="00A53E3F">
            <w:pPr>
              <w:jc w:val="center"/>
              <w:rPr>
                <w:rFonts w:ascii="Arial" w:hAnsi="Arial" w:cs="Arial"/>
                <w:color w:val="000000"/>
              </w:rPr>
            </w:pPr>
            <w:r w:rsidRPr="00693FA0">
              <w:rPr>
                <w:rFonts w:ascii="Arial" w:hAnsi="Arial" w:cs="Arial"/>
                <w:color w:val="000000"/>
              </w:rPr>
              <w:t>no data</w:t>
            </w:r>
          </w:p>
        </w:tc>
        <w:tc>
          <w:tcPr>
            <w:tcW w:w="810" w:type="dxa"/>
            <w:tcBorders>
              <w:top w:val="nil"/>
              <w:left w:val="nil"/>
              <w:bottom w:val="single" w:sz="4" w:space="0" w:color="auto"/>
              <w:right w:val="single" w:sz="4" w:space="0" w:color="auto"/>
            </w:tcBorders>
            <w:shd w:val="clear" w:color="000000" w:fill="FFF2CC"/>
            <w:noWrap/>
            <w:hideMark/>
          </w:tcPr>
          <w:p w14:paraId="1B5E96E6" w14:textId="77777777" w:rsidR="00A53E3F" w:rsidRPr="00693FA0" w:rsidRDefault="00A53E3F" w:rsidP="00A53E3F">
            <w:pPr>
              <w:jc w:val="center"/>
              <w:rPr>
                <w:rFonts w:ascii="Arial" w:hAnsi="Arial" w:cs="Arial"/>
                <w:color w:val="000000"/>
              </w:rPr>
            </w:pPr>
            <w:r w:rsidRPr="00693FA0">
              <w:rPr>
                <w:rFonts w:ascii="Arial" w:hAnsi="Arial" w:cs="Arial"/>
                <w:color w:val="000000"/>
              </w:rPr>
              <w:t>tbc</w:t>
            </w:r>
          </w:p>
        </w:tc>
        <w:tc>
          <w:tcPr>
            <w:tcW w:w="905" w:type="dxa"/>
            <w:tcBorders>
              <w:top w:val="nil"/>
              <w:left w:val="nil"/>
              <w:bottom w:val="single" w:sz="4" w:space="0" w:color="auto"/>
              <w:right w:val="single" w:sz="4" w:space="0" w:color="auto"/>
            </w:tcBorders>
            <w:shd w:val="clear" w:color="000000" w:fill="FFF2CC"/>
            <w:noWrap/>
            <w:hideMark/>
          </w:tcPr>
          <w:p w14:paraId="16CFAAAF" w14:textId="77777777" w:rsidR="00A53E3F" w:rsidRPr="00693FA0" w:rsidRDefault="00A53E3F" w:rsidP="00A53E3F">
            <w:pPr>
              <w:jc w:val="center"/>
              <w:rPr>
                <w:rFonts w:ascii="Arial" w:hAnsi="Arial" w:cs="Arial"/>
                <w:color w:val="000000"/>
              </w:rPr>
            </w:pPr>
            <w:r w:rsidRPr="00693FA0">
              <w:rPr>
                <w:rFonts w:ascii="Arial" w:hAnsi="Arial" w:cs="Arial"/>
                <w:color w:val="000000"/>
              </w:rPr>
              <w:t>tbc</w:t>
            </w:r>
          </w:p>
        </w:tc>
        <w:tc>
          <w:tcPr>
            <w:tcW w:w="784" w:type="dxa"/>
            <w:tcBorders>
              <w:top w:val="nil"/>
              <w:left w:val="nil"/>
              <w:bottom w:val="single" w:sz="4" w:space="0" w:color="auto"/>
              <w:right w:val="single" w:sz="4" w:space="0" w:color="auto"/>
            </w:tcBorders>
            <w:shd w:val="clear" w:color="000000" w:fill="FFF2CC"/>
          </w:tcPr>
          <w:p w14:paraId="29359AF1" w14:textId="316B37D4" w:rsidR="00A53E3F" w:rsidRPr="00693FA0" w:rsidRDefault="00A53E3F" w:rsidP="00A53E3F">
            <w:pPr>
              <w:jc w:val="center"/>
              <w:rPr>
                <w:rFonts w:ascii="Arial" w:hAnsi="Arial" w:cs="Arial"/>
                <w:color w:val="000000"/>
              </w:rPr>
            </w:pPr>
            <w:r w:rsidRPr="00693FA0">
              <w:rPr>
                <w:rFonts w:ascii="Arial" w:hAnsi="Arial" w:cs="Arial"/>
                <w:color w:val="000000"/>
              </w:rPr>
              <w:t>tbc</w:t>
            </w:r>
          </w:p>
        </w:tc>
        <w:tc>
          <w:tcPr>
            <w:tcW w:w="905" w:type="dxa"/>
            <w:tcBorders>
              <w:top w:val="nil"/>
              <w:left w:val="nil"/>
              <w:bottom w:val="single" w:sz="4" w:space="0" w:color="auto"/>
              <w:right w:val="single" w:sz="4" w:space="0" w:color="auto"/>
            </w:tcBorders>
            <w:shd w:val="clear" w:color="000000" w:fill="FFF2CC"/>
          </w:tcPr>
          <w:p w14:paraId="1D77BBBE" w14:textId="5642AEB9" w:rsidR="00A53E3F" w:rsidRPr="00693FA0" w:rsidRDefault="00A53E3F" w:rsidP="00A53E3F">
            <w:pPr>
              <w:jc w:val="center"/>
              <w:rPr>
                <w:rFonts w:ascii="Arial" w:hAnsi="Arial" w:cs="Arial"/>
                <w:color w:val="000000"/>
              </w:rPr>
            </w:pPr>
            <w:r w:rsidRPr="00693FA0">
              <w:rPr>
                <w:rFonts w:ascii="Arial" w:hAnsi="Arial" w:cs="Arial"/>
                <w:color w:val="000000"/>
              </w:rPr>
              <w:t>tbc</w:t>
            </w:r>
          </w:p>
        </w:tc>
      </w:tr>
      <w:tr w:rsidR="00A53E3F" w:rsidRPr="00FF0EFC" w14:paraId="44B56A6C" w14:textId="7730F5D6" w:rsidTr="00847A18">
        <w:trPr>
          <w:trHeight w:val="300"/>
        </w:trPr>
        <w:tc>
          <w:tcPr>
            <w:tcW w:w="1339" w:type="dxa"/>
            <w:tcBorders>
              <w:top w:val="nil"/>
              <w:left w:val="single" w:sz="4" w:space="0" w:color="auto"/>
              <w:bottom w:val="single" w:sz="4" w:space="0" w:color="auto"/>
              <w:right w:val="single" w:sz="4" w:space="0" w:color="auto"/>
            </w:tcBorders>
            <w:shd w:val="clear" w:color="000000" w:fill="C6E0B4"/>
            <w:noWrap/>
            <w:vAlign w:val="bottom"/>
            <w:hideMark/>
          </w:tcPr>
          <w:p w14:paraId="4DAA4FB6" w14:textId="77777777" w:rsidR="00A53E3F" w:rsidRPr="00FF0EFC" w:rsidRDefault="00A53E3F" w:rsidP="00A53E3F">
            <w:pPr>
              <w:rPr>
                <w:rFonts w:ascii="Arial" w:hAnsi="Arial" w:cs="Arial"/>
                <w:b/>
                <w:bCs/>
                <w:color w:val="000000"/>
              </w:rPr>
            </w:pPr>
            <w:r w:rsidRPr="00693FA0">
              <w:rPr>
                <w:rFonts w:ascii="Arial" w:hAnsi="Arial" w:cs="Arial"/>
                <w:b/>
                <w:bCs/>
                <w:color w:val="000000"/>
              </w:rPr>
              <w:t>B&amp;NES Council</w:t>
            </w:r>
          </w:p>
          <w:p w14:paraId="4DB045C0" w14:textId="1827E5DF" w:rsidR="00A53E3F" w:rsidRPr="00693FA0" w:rsidRDefault="00A53E3F" w:rsidP="00A53E3F">
            <w:pPr>
              <w:rPr>
                <w:rFonts w:ascii="Arial" w:hAnsi="Arial" w:cs="Arial"/>
                <w:b/>
                <w:bCs/>
                <w:color w:val="000000"/>
              </w:rPr>
            </w:pPr>
          </w:p>
        </w:tc>
        <w:tc>
          <w:tcPr>
            <w:tcW w:w="784" w:type="dxa"/>
            <w:tcBorders>
              <w:top w:val="nil"/>
              <w:left w:val="nil"/>
              <w:bottom w:val="single" w:sz="4" w:space="0" w:color="auto"/>
              <w:right w:val="single" w:sz="4" w:space="0" w:color="auto"/>
            </w:tcBorders>
            <w:shd w:val="clear" w:color="000000" w:fill="C6E0B4"/>
            <w:noWrap/>
            <w:hideMark/>
          </w:tcPr>
          <w:p w14:paraId="7E70AD37" w14:textId="77777777" w:rsidR="00A53E3F" w:rsidRPr="00693FA0" w:rsidRDefault="00A53E3F" w:rsidP="00A53E3F">
            <w:pPr>
              <w:jc w:val="center"/>
              <w:rPr>
                <w:rFonts w:ascii="Arial" w:hAnsi="Arial" w:cs="Arial"/>
                <w:color w:val="000000"/>
              </w:rPr>
            </w:pPr>
            <w:r w:rsidRPr="00693FA0">
              <w:rPr>
                <w:rFonts w:ascii="Arial" w:hAnsi="Arial" w:cs="Arial"/>
                <w:color w:val="000000"/>
              </w:rPr>
              <w:t>8.41%</w:t>
            </w:r>
          </w:p>
        </w:tc>
        <w:tc>
          <w:tcPr>
            <w:tcW w:w="905" w:type="dxa"/>
            <w:tcBorders>
              <w:top w:val="nil"/>
              <w:left w:val="nil"/>
              <w:bottom w:val="single" w:sz="4" w:space="0" w:color="auto"/>
              <w:right w:val="single" w:sz="4" w:space="0" w:color="auto"/>
            </w:tcBorders>
            <w:shd w:val="clear" w:color="000000" w:fill="C6E0B4"/>
            <w:noWrap/>
            <w:hideMark/>
          </w:tcPr>
          <w:p w14:paraId="43B20859" w14:textId="77777777" w:rsidR="00A53E3F" w:rsidRPr="00693FA0" w:rsidRDefault="00A53E3F" w:rsidP="00A53E3F">
            <w:pPr>
              <w:jc w:val="center"/>
              <w:rPr>
                <w:rFonts w:ascii="Arial" w:hAnsi="Arial" w:cs="Arial"/>
                <w:color w:val="000000"/>
              </w:rPr>
            </w:pPr>
            <w:r w:rsidRPr="00693FA0">
              <w:rPr>
                <w:rFonts w:ascii="Arial" w:hAnsi="Arial" w:cs="Arial"/>
                <w:color w:val="000000"/>
              </w:rPr>
              <w:t>-0.6%</w:t>
            </w:r>
          </w:p>
        </w:tc>
        <w:tc>
          <w:tcPr>
            <w:tcW w:w="784" w:type="dxa"/>
            <w:tcBorders>
              <w:top w:val="nil"/>
              <w:left w:val="nil"/>
              <w:bottom w:val="single" w:sz="4" w:space="0" w:color="auto"/>
              <w:right w:val="single" w:sz="4" w:space="0" w:color="auto"/>
            </w:tcBorders>
            <w:shd w:val="clear" w:color="000000" w:fill="C6E0B4"/>
            <w:noWrap/>
            <w:hideMark/>
          </w:tcPr>
          <w:p w14:paraId="1FF7116E" w14:textId="77777777" w:rsidR="00A53E3F" w:rsidRPr="00693FA0" w:rsidRDefault="00A53E3F" w:rsidP="00A53E3F">
            <w:pPr>
              <w:jc w:val="center"/>
              <w:rPr>
                <w:rFonts w:ascii="Arial" w:hAnsi="Arial" w:cs="Arial"/>
                <w:color w:val="000000"/>
              </w:rPr>
            </w:pPr>
            <w:r w:rsidRPr="00693FA0">
              <w:rPr>
                <w:rFonts w:ascii="Arial" w:hAnsi="Arial" w:cs="Arial"/>
                <w:color w:val="000000"/>
              </w:rPr>
              <w:t>6.61%</w:t>
            </w:r>
          </w:p>
        </w:tc>
        <w:tc>
          <w:tcPr>
            <w:tcW w:w="905" w:type="dxa"/>
            <w:tcBorders>
              <w:top w:val="nil"/>
              <w:left w:val="nil"/>
              <w:bottom w:val="single" w:sz="4" w:space="0" w:color="auto"/>
              <w:right w:val="single" w:sz="4" w:space="0" w:color="auto"/>
            </w:tcBorders>
            <w:shd w:val="clear" w:color="000000" w:fill="C6E0B4"/>
            <w:noWrap/>
            <w:hideMark/>
          </w:tcPr>
          <w:p w14:paraId="64646D4B" w14:textId="77777777" w:rsidR="00A53E3F" w:rsidRPr="00693FA0" w:rsidRDefault="00A53E3F" w:rsidP="00A53E3F">
            <w:pPr>
              <w:jc w:val="center"/>
              <w:rPr>
                <w:rFonts w:ascii="Arial" w:hAnsi="Arial" w:cs="Arial"/>
                <w:color w:val="000000"/>
              </w:rPr>
            </w:pPr>
            <w:r w:rsidRPr="00693FA0">
              <w:rPr>
                <w:rFonts w:ascii="Arial" w:hAnsi="Arial" w:cs="Arial"/>
                <w:color w:val="000000"/>
              </w:rPr>
              <w:t>-0.5%</w:t>
            </w:r>
          </w:p>
        </w:tc>
        <w:tc>
          <w:tcPr>
            <w:tcW w:w="810" w:type="dxa"/>
            <w:tcBorders>
              <w:top w:val="nil"/>
              <w:left w:val="nil"/>
              <w:bottom w:val="single" w:sz="4" w:space="0" w:color="auto"/>
              <w:right w:val="single" w:sz="4" w:space="0" w:color="auto"/>
            </w:tcBorders>
            <w:shd w:val="clear" w:color="000000" w:fill="C6E0B4"/>
            <w:noWrap/>
            <w:hideMark/>
          </w:tcPr>
          <w:p w14:paraId="7BC1C942" w14:textId="77777777" w:rsidR="00A53E3F" w:rsidRPr="00693FA0" w:rsidRDefault="00A53E3F" w:rsidP="00A53E3F">
            <w:pPr>
              <w:jc w:val="center"/>
              <w:rPr>
                <w:rFonts w:ascii="Arial" w:hAnsi="Arial" w:cs="Arial"/>
                <w:color w:val="000000"/>
              </w:rPr>
            </w:pPr>
            <w:r w:rsidRPr="00693FA0">
              <w:rPr>
                <w:rFonts w:ascii="Arial" w:hAnsi="Arial" w:cs="Arial"/>
                <w:color w:val="000000"/>
              </w:rPr>
              <w:t>2.38%</w:t>
            </w:r>
          </w:p>
        </w:tc>
        <w:tc>
          <w:tcPr>
            <w:tcW w:w="905" w:type="dxa"/>
            <w:tcBorders>
              <w:top w:val="nil"/>
              <w:left w:val="nil"/>
              <w:bottom w:val="single" w:sz="4" w:space="0" w:color="auto"/>
              <w:right w:val="single" w:sz="4" w:space="0" w:color="auto"/>
            </w:tcBorders>
            <w:shd w:val="clear" w:color="000000" w:fill="C6E0B4"/>
            <w:noWrap/>
            <w:hideMark/>
          </w:tcPr>
          <w:p w14:paraId="5452E236" w14:textId="77777777" w:rsidR="00A53E3F" w:rsidRPr="00693FA0" w:rsidRDefault="00A53E3F" w:rsidP="00A53E3F">
            <w:pPr>
              <w:jc w:val="center"/>
              <w:rPr>
                <w:rFonts w:ascii="Arial" w:hAnsi="Arial" w:cs="Arial"/>
                <w:color w:val="000000"/>
              </w:rPr>
            </w:pPr>
            <w:r w:rsidRPr="00693FA0">
              <w:rPr>
                <w:rFonts w:ascii="Arial" w:hAnsi="Arial" w:cs="Arial"/>
                <w:color w:val="000000"/>
              </w:rPr>
              <w:t>-9.1%</w:t>
            </w:r>
          </w:p>
        </w:tc>
        <w:tc>
          <w:tcPr>
            <w:tcW w:w="810" w:type="dxa"/>
            <w:tcBorders>
              <w:top w:val="nil"/>
              <w:left w:val="nil"/>
              <w:bottom w:val="single" w:sz="4" w:space="0" w:color="auto"/>
              <w:right w:val="single" w:sz="4" w:space="0" w:color="auto"/>
            </w:tcBorders>
            <w:shd w:val="clear" w:color="000000" w:fill="C6E0B4"/>
            <w:noWrap/>
            <w:hideMark/>
          </w:tcPr>
          <w:p w14:paraId="0ABD0790" w14:textId="77777777" w:rsidR="00A53E3F" w:rsidRPr="00693FA0" w:rsidRDefault="00A53E3F" w:rsidP="00A53E3F">
            <w:pPr>
              <w:jc w:val="center"/>
              <w:rPr>
                <w:rFonts w:ascii="Arial" w:hAnsi="Arial" w:cs="Arial"/>
                <w:color w:val="000000"/>
              </w:rPr>
            </w:pPr>
            <w:r w:rsidRPr="00693FA0">
              <w:rPr>
                <w:rFonts w:ascii="Arial" w:hAnsi="Arial" w:cs="Arial"/>
                <w:color w:val="000000"/>
              </w:rPr>
              <w:t>2.48%</w:t>
            </w:r>
          </w:p>
        </w:tc>
        <w:tc>
          <w:tcPr>
            <w:tcW w:w="905" w:type="dxa"/>
            <w:tcBorders>
              <w:top w:val="nil"/>
              <w:left w:val="nil"/>
              <w:bottom w:val="single" w:sz="4" w:space="0" w:color="auto"/>
              <w:right w:val="single" w:sz="4" w:space="0" w:color="auto"/>
            </w:tcBorders>
            <w:shd w:val="clear" w:color="000000" w:fill="C6E0B4"/>
            <w:noWrap/>
            <w:hideMark/>
          </w:tcPr>
          <w:p w14:paraId="10D7DFE7" w14:textId="77777777" w:rsidR="00A53E3F" w:rsidRPr="00693FA0" w:rsidRDefault="00A53E3F" w:rsidP="00A53E3F">
            <w:pPr>
              <w:jc w:val="center"/>
              <w:rPr>
                <w:rFonts w:ascii="Arial" w:hAnsi="Arial" w:cs="Arial"/>
                <w:color w:val="000000"/>
              </w:rPr>
            </w:pPr>
            <w:r w:rsidRPr="00693FA0">
              <w:rPr>
                <w:rFonts w:ascii="Arial" w:hAnsi="Arial" w:cs="Arial"/>
                <w:color w:val="000000"/>
              </w:rPr>
              <w:t>-5.99%</w:t>
            </w:r>
          </w:p>
        </w:tc>
        <w:tc>
          <w:tcPr>
            <w:tcW w:w="784" w:type="dxa"/>
            <w:tcBorders>
              <w:top w:val="nil"/>
              <w:left w:val="nil"/>
              <w:bottom w:val="single" w:sz="4" w:space="0" w:color="auto"/>
              <w:right w:val="single" w:sz="4" w:space="0" w:color="auto"/>
            </w:tcBorders>
            <w:shd w:val="clear" w:color="000000" w:fill="C6E0B4"/>
          </w:tcPr>
          <w:p w14:paraId="6A96A67F" w14:textId="7A2E7D41" w:rsidR="00A53E3F" w:rsidRPr="00693FA0" w:rsidRDefault="00CF2A2C" w:rsidP="00A53E3F">
            <w:pPr>
              <w:jc w:val="center"/>
              <w:rPr>
                <w:rFonts w:ascii="Arial" w:hAnsi="Arial" w:cs="Arial"/>
                <w:color w:val="000000"/>
              </w:rPr>
            </w:pPr>
            <w:r>
              <w:rPr>
                <w:rFonts w:ascii="Arial" w:hAnsi="Arial" w:cs="Arial"/>
                <w:color w:val="000000"/>
              </w:rPr>
              <w:t>5%</w:t>
            </w:r>
          </w:p>
        </w:tc>
        <w:tc>
          <w:tcPr>
            <w:tcW w:w="905" w:type="dxa"/>
            <w:tcBorders>
              <w:top w:val="nil"/>
              <w:left w:val="nil"/>
              <w:bottom w:val="single" w:sz="4" w:space="0" w:color="auto"/>
              <w:right w:val="single" w:sz="4" w:space="0" w:color="auto"/>
            </w:tcBorders>
            <w:shd w:val="clear" w:color="000000" w:fill="C6E0B4"/>
          </w:tcPr>
          <w:p w14:paraId="2C541AF7" w14:textId="4277EFD1" w:rsidR="00A53E3F" w:rsidRPr="00693FA0" w:rsidRDefault="00A53E3F" w:rsidP="00A53E3F">
            <w:pPr>
              <w:jc w:val="center"/>
              <w:rPr>
                <w:rFonts w:ascii="Arial" w:hAnsi="Arial" w:cs="Arial"/>
                <w:color w:val="000000"/>
              </w:rPr>
            </w:pPr>
            <w:r w:rsidRPr="00693FA0">
              <w:rPr>
                <w:rFonts w:ascii="Arial" w:hAnsi="Arial" w:cs="Arial"/>
                <w:color w:val="000000"/>
              </w:rPr>
              <w:t>-</w:t>
            </w:r>
            <w:r>
              <w:rPr>
                <w:rFonts w:ascii="Arial" w:hAnsi="Arial" w:cs="Arial"/>
                <w:color w:val="000000"/>
              </w:rPr>
              <w:t>6</w:t>
            </w:r>
            <w:r w:rsidRPr="00693FA0">
              <w:rPr>
                <w:rFonts w:ascii="Arial" w:hAnsi="Arial" w:cs="Arial"/>
                <w:color w:val="000000"/>
              </w:rPr>
              <w:t>%</w:t>
            </w:r>
          </w:p>
        </w:tc>
      </w:tr>
    </w:tbl>
    <w:p w14:paraId="1881E503" w14:textId="77777777" w:rsidR="00C612DD" w:rsidRPr="00693FA0" w:rsidRDefault="00C612DD">
      <w:pPr>
        <w:pStyle w:val="Default"/>
        <w:rPr>
          <w:sz w:val="20"/>
          <w:szCs w:val="20"/>
        </w:rPr>
      </w:pPr>
    </w:p>
    <w:p w14:paraId="352B71EC" w14:textId="77777777" w:rsidR="00835665" w:rsidRPr="001C647C" w:rsidRDefault="00835665">
      <w:pPr>
        <w:rPr>
          <w:rFonts w:ascii="Arial" w:hAnsi="Arial" w:cs="Arial"/>
          <w:b/>
          <w:sz w:val="24"/>
          <w:szCs w:val="24"/>
        </w:rPr>
      </w:pPr>
    </w:p>
    <w:p w14:paraId="6A4449AC" w14:textId="26B6F90E" w:rsidR="00835665" w:rsidRPr="001C647C" w:rsidRDefault="00835665" w:rsidP="00835665">
      <w:pPr>
        <w:rPr>
          <w:rFonts w:ascii="Arial" w:hAnsi="Arial" w:cs="Arial"/>
          <w:b/>
          <w:sz w:val="24"/>
          <w:szCs w:val="24"/>
        </w:rPr>
      </w:pPr>
      <w:r w:rsidRPr="001C647C">
        <w:rPr>
          <w:rFonts w:ascii="Arial" w:hAnsi="Arial" w:cs="Arial"/>
          <w:b/>
          <w:sz w:val="24"/>
          <w:szCs w:val="24"/>
        </w:rPr>
        <w:t xml:space="preserve">Proportion of Men and Women Receiving </w:t>
      </w:r>
      <w:r w:rsidRPr="007E4C44">
        <w:rPr>
          <w:rFonts w:ascii="Arial" w:hAnsi="Arial" w:cs="Arial"/>
          <w:b/>
          <w:sz w:val="24"/>
          <w:szCs w:val="24"/>
        </w:rPr>
        <w:t>Bonus Pay</w:t>
      </w:r>
      <w:r w:rsidR="007C7AD6">
        <w:rPr>
          <w:rStyle w:val="FootnoteReference"/>
          <w:rFonts w:ascii="Arial" w:hAnsi="Arial" w:cs="Arial"/>
          <w:b/>
          <w:sz w:val="24"/>
          <w:szCs w:val="24"/>
        </w:rPr>
        <w:footnoteReference w:customMarkFollows="1" w:id="3"/>
        <w:t>3</w:t>
      </w:r>
    </w:p>
    <w:p w14:paraId="58CB4072" w14:textId="77777777" w:rsidR="00835665" w:rsidRPr="001C647C" w:rsidRDefault="00835665" w:rsidP="00835665">
      <w:pPr>
        <w:rPr>
          <w:rFonts w:ascii="Arial" w:hAnsi="Arial" w:cs="Arial"/>
          <w:sz w:val="24"/>
          <w:szCs w:val="24"/>
        </w:rPr>
      </w:pPr>
    </w:p>
    <w:p w14:paraId="1085BE98" w14:textId="65B1A400" w:rsidR="00CB2993" w:rsidRDefault="00C568E9" w:rsidP="00C568E9">
      <w:pPr>
        <w:rPr>
          <w:rFonts w:ascii="Arial" w:hAnsi="Arial" w:cs="Arial"/>
          <w:sz w:val="24"/>
          <w:szCs w:val="24"/>
        </w:rPr>
      </w:pPr>
      <w:r w:rsidRPr="00C568E9">
        <w:rPr>
          <w:rFonts w:ascii="Arial" w:hAnsi="Arial" w:cs="Arial"/>
          <w:sz w:val="24"/>
          <w:szCs w:val="24"/>
        </w:rPr>
        <w:t xml:space="preserve">Whilst the Council doesn’t pay ‘bonus’ payments in the traditional sense, there are a small number of </w:t>
      </w:r>
      <w:proofErr w:type="gramStart"/>
      <w:r w:rsidRPr="00C568E9">
        <w:rPr>
          <w:rFonts w:ascii="Arial" w:hAnsi="Arial" w:cs="Arial"/>
          <w:sz w:val="24"/>
          <w:szCs w:val="24"/>
        </w:rPr>
        <w:t>one off</w:t>
      </w:r>
      <w:proofErr w:type="gramEnd"/>
      <w:r w:rsidRPr="00C568E9">
        <w:rPr>
          <w:rFonts w:ascii="Arial" w:hAnsi="Arial" w:cs="Arial"/>
          <w:sz w:val="24"/>
          <w:szCs w:val="24"/>
        </w:rPr>
        <w:t xml:space="preserve"> payments (</w:t>
      </w:r>
      <w:proofErr w:type="spellStart"/>
      <w:r w:rsidRPr="00C568E9">
        <w:rPr>
          <w:rFonts w:ascii="Arial" w:hAnsi="Arial" w:cs="Arial"/>
          <w:sz w:val="24"/>
          <w:szCs w:val="24"/>
        </w:rPr>
        <w:t>eg</w:t>
      </w:r>
      <w:proofErr w:type="spellEnd"/>
      <w:r w:rsidRPr="00C568E9">
        <w:rPr>
          <w:rFonts w:ascii="Arial" w:hAnsi="Arial" w:cs="Arial"/>
          <w:sz w:val="24"/>
          <w:szCs w:val="24"/>
        </w:rPr>
        <w:t xml:space="preserve"> long service awards, recruitment and retention allowances) that, in the spirit of transpar</w:t>
      </w:r>
      <w:r w:rsidR="00DE095D">
        <w:rPr>
          <w:rFonts w:ascii="Arial" w:hAnsi="Arial" w:cs="Arial"/>
          <w:sz w:val="24"/>
          <w:szCs w:val="24"/>
        </w:rPr>
        <w:t xml:space="preserve">ency, </w:t>
      </w:r>
      <w:r w:rsidR="001D2119">
        <w:rPr>
          <w:rFonts w:ascii="Arial" w:hAnsi="Arial" w:cs="Arial"/>
          <w:sz w:val="24"/>
          <w:szCs w:val="24"/>
        </w:rPr>
        <w:t>are identified</w:t>
      </w:r>
      <w:r w:rsidR="00DE095D">
        <w:rPr>
          <w:rFonts w:ascii="Arial" w:hAnsi="Arial" w:cs="Arial"/>
          <w:sz w:val="24"/>
          <w:szCs w:val="24"/>
        </w:rPr>
        <w:t xml:space="preserve"> separately. </w:t>
      </w:r>
    </w:p>
    <w:p w14:paraId="70140FE1" w14:textId="4CB21E81" w:rsidR="00A362CE" w:rsidRDefault="00A362CE" w:rsidP="00C568E9">
      <w:pPr>
        <w:rPr>
          <w:rFonts w:ascii="Arial" w:hAnsi="Arial" w:cs="Arial"/>
          <w:sz w:val="24"/>
          <w:szCs w:val="24"/>
        </w:rPr>
      </w:pPr>
    </w:p>
    <w:p w14:paraId="684906C3" w14:textId="72767F6D" w:rsidR="00A362CE" w:rsidRDefault="00A362CE" w:rsidP="00C568E9">
      <w:pPr>
        <w:rPr>
          <w:rFonts w:ascii="Arial" w:hAnsi="Arial" w:cs="Arial"/>
          <w:sz w:val="24"/>
          <w:szCs w:val="24"/>
        </w:rPr>
      </w:pPr>
      <w:r>
        <w:rPr>
          <w:rFonts w:ascii="Arial" w:hAnsi="Arial" w:cs="Arial"/>
          <w:sz w:val="24"/>
          <w:szCs w:val="24"/>
        </w:rPr>
        <w:t>Closer scrutiny of these payments</w:t>
      </w:r>
      <w:r w:rsidR="00CE4A6C">
        <w:rPr>
          <w:rFonts w:ascii="Arial" w:hAnsi="Arial" w:cs="Arial"/>
          <w:sz w:val="24"/>
          <w:szCs w:val="24"/>
        </w:rPr>
        <w:t xml:space="preserve"> in 2019</w:t>
      </w:r>
      <w:r>
        <w:rPr>
          <w:rFonts w:ascii="Arial" w:hAnsi="Arial" w:cs="Arial"/>
          <w:sz w:val="24"/>
          <w:szCs w:val="24"/>
        </w:rPr>
        <w:t xml:space="preserve"> highlight</w:t>
      </w:r>
      <w:r w:rsidR="00DB1018">
        <w:rPr>
          <w:rFonts w:ascii="Arial" w:hAnsi="Arial" w:cs="Arial"/>
          <w:sz w:val="24"/>
          <w:szCs w:val="24"/>
        </w:rPr>
        <w:t>ed</w:t>
      </w:r>
      <w:r>
        <w:rPr>
          <w:rFonts w:ascii="Arial" w:hAnsi="Arial" w:cs="Arial"/>
          <w:sz w:val="24"/>
          <w:szCs w:val="24"/>
        </w:rPr>
        <w:t xml:space="preserve"> that many of these </w:t>
      </w:r>
      <w:r w:rsidR="00554E8F">
        <w:rPr>
          <w:rFonts w:ascii="Arial" w:hAnsi="Arial" w:cs="Arial"/>
          <w:sz w:val="24"/>
          <w:szCs w:val="24"/>
        </w:rPr>
        <w:t xml:space="preserve">were </w:t>
      </w:r>
      <w:r>
        <w:rPr>
          <w:rFonts w:ascii="Arial" w:hAnsi="Arial" w:cs="Arial"/>
          <w:sz w:val="24"/>
          <w:szCs w:val="24"/>
        </w:rPr>
        <w:t>actually relate</w:t>
      </w:r>
      <w:r w:rsidR="00554E8F">
        <w:rPr>
          <w:rFonts w:ascii="Arial" w:hAnsi="Arial" w:cs="Arial"/>
          <w:sz w:val="24"/>
          <w:szCs w:val="24"/>
        </w:rPr>
        <w:t>d</w:t>
      </w:r>
      <w:r>
        <w:rPr>
          <w:rFonts w:ascii="Arial" w:hAnsi="Arial" w:cs="Arial"/>
          <w:sz w:val="24"/>
          <w:szCs w:val="24"/>
        </w:rPr>
        <w:t xml:space="preserve"> to ‘acting up’, ad hoc ‘cover’ arrangements and reflective supervision for newly qualified professionals (</w:t>
      </w:r>
      <w:proofErr w:type="spellStart"/>
      <w:proofErr w:type="gramStart"/>
      <w:r>
        <w:rPr>
          <w:rFonts w:ascii="Arial" w:hAnsi="Arial" w:cs="Arial"/>
          <w:sz w:val="24"/>
          <w:szCs w:val="24"/>
        </w:rPr>
        <w:t>ie</w:t>
      </w:r>
      <w:proofErr w:type="spellEnd"/>
      <w:proofErr w:type="gramEnd"/>
      <w:r>
        <w:rPr>
          <w:rFonts w:ascii="Arial" w:hAnsi="Arial" w:cs="Arial"/>
          <w:sz w:val="24"/>
          <w:szCs w:val="24"/>
        </w:rPr>
        <w:t xml:space="preserve"> social workers).  </w:t>
      </w:r>
      <w:r w:rsidR="007C7AD6">
        <w:rPr>
          <w:rFonts w:ascii="Arial" w:hAnsi="Arial" w:cs="Arial"/>
          <w:sz w:val="24"/>
          <w:szCs w:val="24"/>
        </w:rPr>
        <w:t xml:space="preserve">In December 2019 the </w:t>
      </w:r>
      <w:r w:rsidR="00DB1018">
        <w:rPr>
          <w:rFonts w:ascii="Arial" w:hAnsi="Arial" w:cs="Arial"/>
          <w:sz w:val="24"/>
          <w:szCs w:val="24"/>
        </w:rPr>
        <w:t>HR</w:t>
      </w:r>
      <w:r w:rsidR="007C7AD6">
        <w:rPr>
          <w:rFonts w:ascii="Arial" w:hAnsi="Arial" w:cs="Arial"/>
          <w:sz w:val="24"/>
          <w:szCs w:val="24"/>
        </w:rPr>
        <w:t>/</w:t>
      </w:r>
      <w:r w:rsidR="00DB1018">
        <w:rPr>
          <w:rFonts w:ascii="Arial" w:hAnsi="Arial" w:cs="Arial"/>
          <w:sz w:val="24"/>
          <w:szCs w:val="24"/>
        </w:rPr>
        <w:t>P</w:t>
      </w:r>
      <w:r w:rsidR="007C7AD6">
        <w:rPr>
          <w:rFonts w:ascii="Arial" w:hAnsi="Arial" w:cs="Arial"/>
          <w:sz w:val="24"/>
          <w:szCs w:val="24"/>
        </w:rPr>
        <w:t xml:space="preserve">ayroll </w:t>
      </w:r>
      <w:r w:rsidR="00847BB5">
        <w:rPr>
          <w:rFonts w:ascii="Arial" w:hAnsi="Arial" w:cs="Arial"/>
          <w:sz w:val="24"/>
          <w:szCs w:val="24"/>
        </w:rPr>
        <w:t>process</w:t>
      </w:r>
      <w:r>
        <w:rPr>
          <w:rFonts w:ascii="Arial" w:hAnsi="Arial" w:cs="Arial"/>
          <w:sz w:val="24"/>
          <w:szCs w:val="24"/>
        </w:rPr>
        <w:t xml:space="preserve"> </w:t>
      </w:r>
      <w:r w:rsidR="00847BB5">
        <w:rPr>
          <w:rFonts w:ascii="Arial" w:hAnsi="Arial" w:cs="Arial"/>
          <w:sz w:val="24"/>
          <w:szCs w:val="24"/>
        </w:rPr>
        <w:t xml:space="preserve">changed to help </w:t>
      </w:r>
      <w:r>
        <w:rPr>
          <w:rFonts w:ascii="Arial" w:hAnsi="Arial" w:cs="Arial"/>
          <w:sz w:val="24"/>
          <w:szCs w:val="24"/>
        </w:rPr>
        <w:t xml:space="preserve">ensure </w:t>
      </w:r>
      <w:r w:rsidR="00DB1018">
        <w:rPr>
          <w:rFonts w:ascii="Arial" w:hAnsi="Arial" w:cs="Arial"/>
          <w:sz w:val="24"/>
          <w:szCs w:val="24"/>
        </w:rPr>
        <w:t xml:space="preserve">some of </w:t>
      </w:r>
      <w:r>
        <w:rPr>
          <w:rFonts w:ascii="Arial" w:hAnsi="Arial" w:cs="Arial"/>
          <w:sz w:val="24"/>
          <w:szCs w:val="24"/>
        </w:rPr>
        <w:t xml:space="preserve">these </w:t>
      </w:r>
      <w:r w:rsidR="00847BB5">
        <w:rPr>
          <w:rFonts w:ascii="Arial" w:hAnsi="Arial" w:cs="Arial"/>
          <w:sz w:val="24"/>
          <w:szCs w:val="24"/>
        </w:rPr>
        <w:t xml:space="preserve">payments </w:t>
      </w:r>
      <w:r>
        <w:rPr>
          <w:rFonts w:ascii="Arial" w:hAnsi="Arial" w:cs="Arial"/>
          <w:sz w:val="24"/>
          <w:szCs w:val="24"/>
        </w:rPr>
        <w:t>are</w:t>
      </w:r>
      <w:r w:rsidR="00847BB5">
        <w:rPr>
          <w:rFonts w:ascii="Arial" w:hAnsi="Arial" w:cs="Arial"/>
          <w:sz w:val="24"/>
          <w:szCs w:val="24"/>
        </w:rPr>
        <w:t xml:space="preserve"> no longer treated as</w:t>
      </w:r>
      <w:r>
        <w:rPr>
          <w:rFonts w:ascii="Arial" w:hAnsi="Arial" w:cs="Arial"/>
          <w:sz w:val="24"/>
          <w:szCs w:val="24"/>
        </w:rPr>
        <w:t xml:space="preserve"> ‘ex gratia’ and </w:t>
      </w:r>
      <w:r w:rsidR="00847BB5">
        <w:rPr>
          <w:rFonts w:ascii="Arial" w:hAnsi="Arial" w:cs="Arial"/>
          <w:sz w:val="24"/>
          <w:szCs w:val="24"/>
        </w:rPr>
        <w:t xml:space="preserve">are paid </w:t>
      </w:r>
      <w:r w:rsidR="00CE4A6C">
        <w:rPr>
          <w:rFonts w:ascii="Arial" w:hAnsi="Arial" w:cs="Arial"/>
          <w:sz w:val="24"/>
          <w:szCs w:val="24"/>
        </w:rPr>
        <w:t>more appropriately</w:t>
      </w:r>
      <w:r w:rsidR="00847BB5">
        <w:rPr>
          <w:rFonts w:ascii="Arial" w:hAnsi="Arial" w:cs="Arial"/>
          <w:sz w:val="24"/>
          <w:szCs w:val="24"/>
        </w:rPr>
        <w:t xml:space="preserve">.  </w:t>
      </w:r>
    </w:p>
    <w:p w14:paraId="027C4BDD" w14:textId="77777777" w:rsidR="00BD480E" w:rsidRDefault="00BD480E" w:rsidP="00C568E9">
      <w:pPr>
        <w:rPr>
          <w:rFonts w:ascii="Arial" w:hAnsi="Arial" w:cs="Arial"/>
          <w:sz w:val="24"/>
          <w:szCs w:val="24"/>
        </w:rPr>
      </w:pPr>
    </w:p>
    <w:p w14:paraId="32104E1D" w14:textId="2A2D3C71" w:rsidR="00CB2993" w:rsidRDefault="00BD480E" w:rsidP="00C568E9">
      <w:pPr>
        <w:rPr>
          <w:rFonts w:ascii="Arial" w:hAnsi="Arial" w:cs="Arial"/>
          <w:sz w:val="24"/>
          <w:szCs w:val="24"/>
        </w:rPr>
      </w:pPr>
      <w:r w:rsidRPr="00C568E9">
        <w:rPr>
          <w:rFonts w:ascii="Arial" w:hAnsi="Arial" w:cs="Arial"/>
          <w:sz w:val="24"/>
          <w:szCs w:val="24"/>
        </w:rPr>
        <w:t xml:space="preserve">The proportion of both male and females receiving </w:t>
      </w:r>
      <w:r w:rsidR="00275898">
        <w:rPr>
          <w:rFonts w:ascii="Arial" w:hAnsi="Arial" w:cs="Arial"/>
          <w:sz w:val="24"/>
          <w:szCs w:val="24"/>
        </w:rPr>
        <w:t>one off ‘</w:t>
      </w:r>
      <w:r w:rsidR="005C57EE">
        <w:rPr>
          <w:rFonts w:ascii="Arial" w:hAnsi="Arial" w:cs="Arial"/>
          <w:sz w:val="24"/>
          <w:szCs w:val="24"/>
        </w:rPr>
        <w:t>ex gratia</w:t>
      </w:r>
      <w:r w:rsidR="00275898">
        <w:rPr>
          <w:rFonts w:ascii="Arial" w:hAnsi="Arial" w:cs="Arial"/>
          <w:sz w:val="24"/>
          <w:szCs w:val="24"/>
        </w:rPr>
        <w:t>’</w:t>
      </w:r>
      <w:r w:rsidRPr="00C568E9">
        <w:rPr>
          <w:rFonts w:ascii="Arial" w:hAnsi="Arial" w:cs="Arial"/>
          <w:sz w:val="24"/>
          <w:szCs w:val="24"/>
        </w:rPr>
        <w:t xml:space="preserve"> payments </w:t>
      </w:r>
      <w:r>
        <w:rPr>
          <w:rFonts w:ascii="Arial" w:hAnsi="Arial" w:cs="Arial"/>
          <w:sz w:val="24"/>
          <w:szCs w:val="24"/>
        </w:rPr>
        <w:t>is</w:t>
      </w:r>
      <w:r w:rsidRPr="00C568E9">
        <w:rPr>
          <w:rFonts w:ascii="Arial" w:hAnsi="Arial" w:cs="Arial"/>
          <w:sz w:val="24"/>
          <w:szCs w:val="24"/>
        </w:rPr>
        <w:t xml:space="preserve"> </w:t>
      </w:r>
      <w:r>
        <w:rPr>
          <w:rFonts w:ascii="Arial" w:hAnsi="Arial" w:cs="Arial"/>
          <w:sz w:val="24"/>
          <w:szCs w:val="24"/>
        </w:rPr>
        <w:t xml:space="preserve">now very </w:t>
      </w:r>
      <w:r w:rsidRPr="00C568E9">
        <w:rPr>
          <w:rFonts w:ascii="Arial" w:hAnsi="Arial" w:cs="Arial"/>
          <w:sz w:val="24"/>
          <w:szCs w:val="24"/>
        </w:rPr>
        <w:t xml:space="preserve">small at </w:t>
      </w:r>
      <w:r w:rsidRPr="001606E5">
        <w:rPr>
          <w:rFonts w:ascii="Arial" w:hAnsi="Arial" w:cs="Arial"/>
          <w:sz w:val="24"/>
          <w:szCs w:val="24"/>
        </w:rPr>
        <w:t>0.</w:t>
      </w:r>
      <w:r>
        <w:rPr>
          <w:rFonts w:ascii="Arial" w:hAnsi="Arial" w:cs="Arial"/>
          <w:sz w:val="24"/>
          <w:szCs w:val="24"/>
        </w:rPr>
        <w:t>9</w:t>
      </w:r>
      <w:r w:rsidRPr="00F42B4F">
        <w:rPr>
          <w:rFonts w:ascii="Arial" w:hAnsi="Arial" w:cs="Arial"/>
          <w:sz w:val="24"/>
          <w:szCs w:val="24"/>
        </w:rPr>
        <w:t>%</w:t>
      </w:r>
      <w:r w:rsidRPr="00F32717">
        <w:rPr>
          <w:rFonts w:ascii="Arial" w:hAnsi="Arial" w:cs="Arial"/>
          <w:sz w:val="24"/>
          <w:szCs w:val="24"/>
        </w:rPr>
        <w:t xml:space="preserve"> and </w:t>
      </w:r>
      <w:r w:rsidRPr="001606E5">
        <w:rPr>
          <w:rFonts w:ascii="Arial" w:hAnsi="Arial" w:cs="Arial"/>
          <w:sz w:val="24"/>
          <w:szCs w:val="24"/>
        </w:rPr>
        <w:t>0.</w:t>
      </w:r>
      <w:r>
        <w:rPr>
          <w:rFonts w:ascii="Arial" w:hAnsi="Arial" w:cs="Arial"/>
          <w:sz w:val="24"/>
          <w:szCs w:val="24"/>
        </w:rPr>
        <w:t>4</w:t>
      </w:r>
      <w:r w:rsidRPr="00F42B4F">
        <w:rPr>
          <w:rFonts w:ascii="Arial" w:hAnsi="Arial" w:cs="Arial"/>
          <w:sz w:val="24"/>
          <w:szCs w:val="24"/>
        </w:rPr>
        <w:t>%</w:t>
      </w:r>
      <w:r w:rsidRPr="00F32717">
        <w:rPr>
          <w:rFonts w:ascii="Arial" w:hAnsi="Arial" w:cs="Arial"/>
          <w:sz w:val="24"/>
          <w:szCs w:val="24"/>
        </w:rPr>
        <w:t>, (</w:t>
      </w:r>
      <w:r w:rsidRPr="001606E5">
        <w:rPr>
          <w:rFonts w:ascii="Arial" w:hAnsi="Arial" w:cs="Arial"/>
          <w:sz w:val="24"/>
          <w:szCs w:val="24"/>
        </w:rPr>
        <w:t>8</w:t>
      </w:r>
      <w:r w:rsidRPr="00F42B4F">
        <w:rPr>
          <w:rFonts w:ascii="Arial" w:hAnsi="Arial" w:cs="Arial"/>
          <w:sz w:val="24"/>
          <w:szCs w:val="24"/>
        </w:rPr>
        <w:t xml:space="preserve"> </w:t>
      </w:r>
      <w:r w:rsidRPr="00F32717">
        <w:rPr>
          <w:rFonts w:ascii="Arial" w:hAnsi="Arial" w:cs="Arial"/>
          <w:sz w:val="24"/>
          <w:szCs w:val="24"/>
        </w:rPr>
        <w:t xml:space="preserve">males and </w:t>
      </w:r>
      <w:r w:rsidRPr="001606E5">
        <w:rPr>
          <w:rFonts w:ascii="Arial" w:hAnsi="Arial" w:cs="Arial"/>
          <w:sz w:val="24"/>
          <w:szCs w:val="24"/>
        </w:rPr>
        <w:t>6</w:t>
      </w:r>
      <w:r w:rsidRPr="00F42B4F">
        <w:rPr>
          <w:rFonts w:ascii="Arial" w:hAnsi="Arial" w:cs="Arial"/>
          <w:sz w:val="24"/>
          <w:szCs w:val="24"/>
        </w:rPr>
        <w:t xml:space="preserve"> </w:t>
      </w:r>
      <w:r w:rsidRPr="00F32717">
        <w:rPr>
          <w:rFonts w:ascii="Arial" w:hAnsi="Arial" w:cs="Arial"/>
          <w:sz w:val="24"/>
          <w:szCs w:val="24"/>
        </w:rPr>
        <w:t>females).</w:t>
      </w:r>
    </w:p>
    <w:p w14:paraId="764EBD8B" w14:textId="77777777" w:rsidR="00BD480E" w:rsidRDefault="00BD480E" w:rsidP="00C568E9">
      <w:pPr>
        <w:rPr>
          <w:rFonts w:ascii="Arial" w:hAnsi="Arial" w:cs="Arial"/>
          <w:sz w:val="24"/>
          <w:szCs w:val="24"/>
        </w:rPr>
      </w:pPr>
    </w:p>
    <w:p w14:paraId="08744403" w14:textId="79252F01" w:rsidR="00C568E9" w:rsidRPr="007E4C44" w:rsidRDefault="00C568E9" w:rsidP="00C568E9">
      <w:pPr>
        <w:rPr>
          <w:rFonts w:ascii="Arial" w:hAnsi="Arial" w:cs="Arial"/>
          <w:sz w:val="24"/>
          <w:szCs w:val="24"/>
        </w:rPr>
      </w:pPr>
      <w:r w:rsidRPr="00C568E9">
        <w:rPr>
          <w:rFonts w:ascii="Arial" w:hAnsi="Arial" w:cs="Arial"/>
          <w:sz w:val="24"/>
          <w:szCs w:val="24"/>
        </w:rPr>
        <w:t xml:space="preserve">The </w:t>
      </w:r>
      <w:r w:rsidR="004127CE">
        <w:rPr>
          <w:rFonts w:ascii="Arial" w:hAnsi="Arial" w:cs="Arial"/>
          <w:sz w:val="24"/>
          <w:szCs w:val="24"/>
        </w:rPr>
        <w:t>202</w:t>
      </w:r>
      <w:r w:rsidR="00E4354F">
        <w:rPr>
          <w:rFonts w:ascii="Arial" w:hAnsi="Arial" w:cs="Arial"/>
          <w:sz w:val="24"/>
          <w:szCs w:val="24"/>
        </w:rPr>
        <w:t>1</w:t>
      </w:r>
      <w:r w:rsidR="004127CE">
        <w:rPr>
          <w:rFonts w:ascii="Arial" w:hAnsi="Arial" w:cs="Arial"/>
          <w:sz w:val="24"/>
          <w:szCs w:val="24"/>
        </w:rPr>
        <w:t xml:space="preserve"> </w:t>
      </w:r>
      <w:r w:rsidRPr="00C568E9">
        <w:rPr>
          <w:rFonts w:ascii="Arial" w:hAnsi="Arial" w:cs="Arial"/>
          <w:sz w:val="24"/>
          <w:szCs w:val="24"/>
        </w:rPr>
        <w:t xml:space="preserve">data </w:t>
      </w:r>
      <w:r w:rsidR="009028A4">
        <w:rPr>
          <w:rFonts w:ascii="Arial" w:hAnsi="Arial" w:cs="Arial"/>
          <w:sz w:val="24"/>
          <w:szCs w:val="24"/>
        </w:rPr>
        <w:t>reflects</w:t>
      </w:r>
      <w:r w:rsidR="009028A4" w:rsidRPr="00C568E9">
        <w:rPr>
          <w:rFonts w:ascii="Arial" w:hAnsi="Arial" w:cs="Arial"/>
          <w:sz w:val="24"/>
          <w:szCs w:val="24"/>
        </w:rPr>
        <w:t xml:space="preserve"> </w:t>
      </w:r>
      <w:r w:rsidR="004127CE">
        <w:rPr>
          <w:rFonts w:ascii="Arial" w:hAnsi="Arial" w:cs="Arial"/>
          <w:sz w:val="24"/>
          <w:szCs w:val="24"/>
        </w:rPr>
        <w:t xml:space="preserve">an overall reduction in </w:t>
      </w:r>
      <w:r w:rsidR="00BD480E">
        <w:rPr>
          <w:rFonts w:ascii="Arial" w:hAnsi="Arial" w:cs="Arial"/>
          <w:sz w:val="24"/>
          <w:szCs w:val="24"/>
        </w:rPr>
        <w:t>the</w:t>
      </w:r>
      <w:r w:rsidR="009028A4">
        <w:rPr>
          <w:rFonts w:ascii="Arial" w:hAnsi="Arial" w:cs="Arial"/>
          <w:sz w:val="24"/>
          <w:szCs w:val="24"/>
        </w:rPr>
        <w:t xml:space="preserve"> </w:t>
      </w:r>
      <w:r w:rsidR="004127CE">
        <w:rPr>
          <w:rFonts w:ascii="Arial" w:hAnsi="Arial" w:cs="Arial"/>
          <w:sz w:val="24"/>
          <w:szCs w:val="24"/>
        </w:rPr>
        <w:t xml:space="preserve">average </w:t>
      </w:r>
      <w:r w:rsidR="00DB1018">
        <w:rPr>
          <w:rFonts w:ascii="Arial" w:hAnsi="Arial" w:cs="Arial"/>
          <w:sz w:val="24"/>
          <w:szCs w:val="24"/>
        </w:rPr>
        <w:t>amounts</w:t>
      </w:r>
      <w:r w:rsidR="004127CE">
        <w:rPr>
          <w:rFonts w:ascii="Arial" w:hAnsi="Arial" w:cs="Arial"/>
          <w:sz w:val="24"/>
          <w:szCs w:val="24"/>
        </w:rPr>
        <w:t xml:space="preserve"> </w:t>
      </w:r>
      <w:r w:rsidR="00CA219F">
        <w:rPr>
          <w:rFonts w:ascii="Arial" w:hAnsi="Arial" w:cs="Arial"/>
          <w:sz w:val="24"/>
          <w:szCs w:val="24"/>
        </w:rPr>
        <w:t>showing no</w:t>
      </w:r>
      <w:r w:rsidR="004127CE">
        <w:rPr>
          <w:rFonts w:ascii="Arial" w:hAnsi="Arial" w:cs="Arial"/>
          <w:sz w:val="24"/>
          <w:szCs w:val="24"/>
        </w:rPr>
        <w:t xml:space="preserve"> median gap</w:t>
      </w:r>
      <w:r w:rsidR="00CA219F">
        <w:rPr>
          <w:rFonts w:ascii="Arial" w:hAnsi="Arial" w:cs="Arial"/>
          <w:sz w:val="24"/>
          <w:szCs w:val="24"/>
        </w:rPr>
        <w:t xml:space="preserve"> at all </w:t>
      </w:r>
      <w:r w:rsidR="00BD0A60">
        <w:rPr>
          <w:rFonts w:ascii="Arial" w:hAnsi="Arial" w:cs="Arial"/>
          <w:sz w:val="24"/>
          <w:szCs w:val="24"/>
        </w:rPr>
        <w:t xml:space="preserve">and a </w:t>
      </w:r>
      <w:proofErr w:type="gramStart"/>
      <w:r w:rsidR="00751803">
        <w:rPr>
          <w:rFonts w:ascii="Arial" w:hAnsi="Arial" w:cs="Arial"/>
          <w:sz w:val="24"/>
          <w:szCs w:val="24"/>
        </w:rPr>
        <w:t xml:space="preserve">much </w:t>
      </w:r>
      <w:r w:rsidR="00BD0A60">
        <w:rPr>
          <w:rFonts w:ascii="Arial" w:hAnsi="Arial" w:cs="Arial"/>
          <w:sz w:val="24"/>
          <w:szCs w:val="24"/>
        </w:rPr>
        <w:t>reduced</w:t>
      </w:r>
      <w:proofErr w:type="gramEnd"/>
      <w:r w:rsidR="00A362CE">
        <w:rPr>
          <w:rFonts w:ascii="Arial" w:hAnsi="Arial" w:cs="Arial"/>
          <w:sz w:val="24"/>
          <w:szCs w:val="24"/>
        </w:rPr>
        <w:t xml:space="preserve"> gap of the mean</w:t>
      </w:r>
      <w:r w:rsidRPr="00C568E9">
        <w:rPr>
          <w:rFonts w:ascii="Arial" w:hAnsi="Arial" w:cs="Arial"/>
          <w:sz w:val="24"/>
          <w:szCs w:val="24"/>
        </w:rPr>
        <w:t xml:space="preserve"> average difference.  </w:t>
      </w:r>
    </w:p>
    <w:p w14:paraId="18A037A0" w14:textId="77777777" w:rsidR="001C4976" w:rsidRDefault="001C4976" w:rsidP="00835665">
      <w:pPr>
        <w:rPr>
          <w:rFonts w:ascii="Arial" w:hAnsi="Arial" w:cs="Arial"/>
          <w:sz w:val="24"/>
          <w:szCs w:val="24"/>
        </w:rPr>
      </w:pPr>
    </w:p>
    <w:p w14:paraId="5582B82F" w14:textId="59C9BFEC" w:rsidR="00835665" w:rsidRPr="007E4C44" w:rsidRDefault="00835665" w:rsidP="00835665">
      <w:pPr>
        <w:rPr>
          <w:rFonts w:ascii="Arial" w:hAnsi="Arial" w:cs="Arial"/>
          <w:sz w:val="24"/>
          <w:szCs w:val="24"/>
        </w:rPr>
      </w:pPr>
      <w:r w:rsidRPr="002F437B">
        <w:rPr>
          <w:rFonts w:ascii="Arial" w:hAnsi="Arial" w:cs="Arial"/>
          <w:b/>
          <w:bCs/>
          <w:sz w:val="24"/>
          <w:szCs w:val="24"/>
        </w:rPr>
        <w:t>Mean</w:t>
      </w:r>
      <w:r w:rsidRPr="007E4C44">
        <w:rPr>
          <w:rFonts w:ascii="Arial" w:hAnsi="Arial" w:cs="Arial"/>
          <w:sz w:val="24"/>
          <w:szCs w:val="24"/>
        </w:rPr>
        <w:t xml:space="preserve"> - Average </w:t>
      </w:r>
      <w:r w:rsidR="009375B5">
        <w:rPr>
          <w:rFonts w:ascii="Arial" w:hAnsi="Arial" w:cs="Arial"/>
          <w:sz w:val="24"/>
          <w:szCs w:val="24"/>
        </w:rPr>
        <w:t xml:space="preserve">annual </w:t>
      </w:r>
      <w:r w:rsidRPr="007E4C44">
        <w:rPr>
          <w:rFonts w:ascii="Arial" w:hAnsi="Arial" w:cs="Arial"/>
          <w:sz w:val="24"/>
          <w:szCs w:val="24"/>
        </w:rPr>
        <w:t>bonus payment and the percentage difference between</w:t>
      </w:r>
    </w:p>
    <w:p w14:paraId="12E0D2B8" w14:textId="77777777" w:rsidR="00835665" w:rsidRPr="007E4C44" w:rsidRDefault="00835665" w:rsidP="00835665">
      <w:pPr>
        <w:rPr>
          <w:rFonts w:ascii="Arial" w:hAnsi="Arial" w:cs="Arial"/>
          <w:sz w:val="24"/>
          <w:szCs w:val="24"/>
        </w:rPr>
      </w:pPr>
    </w:p>
    <w:p w14:paraId="5600A90B" w14:textId="7B851DB6" w:rsidR="00835665" w:rsidRPr="00AC13A8" w:rsidRDefault="00835665" w:rsidP="00835665">
      <w:pPr>
        <w:rPr>
          <w:rFonts w:ascii="Arial" w:hAnsi="Arial" w:cs="Arial"/>
          <w:sz w:val="24"/>
          <w:szCs w:val="24"/>
        </w:rPr>
      </w:pPr>
      <w:r w:rsidRPr="00AC13A8">
        <w:rPr>
          <w:rFonts w:ascii="Arial" w:hAnsi="Arial" w:cs="Arial"/>
          <w:sz w:val="24"/>
          <w:szCs w:val="24"/>
        </w:rPr>
        <w:t>Female</w:t>
      </w:r>
      <w:r w:rsidR="000C4055" w:rsidRPr="00AC13A8">
        <w:rPr>
          <w:rFonts w:ascii="Arial" w:hAnsi="Arial" w:cs="Arial"/>
          <w:sz w:val="24"/>
          <w:szCs w:val="24"/>
        </w:rPr>
        <w:tab/>
      </w:r>
      <w:r w:rsidR="008F13D8" w:rsidRPr="00AC13A8">
        <w:rPr>
          <w:rFonts w:ascii="Arial" w:hAnsi="Arial" w:cs="Arial"/>
          <w:sz w:val="24"/>
          <w:szCs w:val="24"/>
        </w:rPr>
        <w:t>=</w:t>
      </w:r>
      <w:r w:rsidRPr="00AC13A8">
        <w:rPr>
          <w:rFonts w:ascii="Arial" w:hAnsi="Arial" w:cs="Arial"/>
          <w:sz w:val="24"/>
          <w:szCs w:val="24"/>
        </w:rPr>
        <w:t xml:space="preserve"> </w:t>
      </w:r>
      <w:r w:rsidR="004127CE" w:rsidRPr="00693FA0">
        <w:rPr>
          <w:rFonts w:ascii="Arial" w:hAnsi="Arial" w:cs="Arial"/>
          <w:sz w:val="24"/>
          <w:szCs w:val="24"/>
        </w:rPr>
        <w:t>£</w:t>
      </w:r>
      <w:r w:rsidR="00956277">
        <w:rPr>
          <w:rFonts w:ascii="Arial" w:hAnsi="Arial" w:cs="Arial"/>
          <w:sz w:val="24"/>
          <w:szCs w:val="24"/>
        </w:rPr>
        <w:t>285.60</w:t>
      </w:r>
      <w:r w:rsidR="004127CE" w:rsidRPr="00693FA0">
        <w:rPr>
          <w:rFonts w:ascii="Arial" w:hAnsi="Arial" w:cs="Arial"/>
          <w:sz w:val="24"/>
          <w:szCs w:val="24"/>
        </w:rPr>
        <w:t xml:space="preserve"> (compared with </w:t>
      </w:r>
      <w:r w:rsidR="00A362CE" w:rsidRPr="00AC13A8">
        <w:rPr>
          <w:rFonts w:ascii="Arial" w:hAnsi="Arial" w:cs="Arial"/>
          <w:sz w:val="24"/>
          <w:szCs w:val="24"/>
        </w:rPr>
        <w:t>£</w:t>
      </w:r>
      <w:r w:rsidR="00956277">
        <w:rPr>
          <w:rFonts w:ascii="Arial" w:hAnsi="Arial" w:cs="Arial"/>
          <w:sz w:val="24"/>
          <w:szCs w:val="24"/>
        </w:rPr>
        <w:t>372.99</w:t>
      </w:r>
      <w:r w:rsidR="00A362CE" w:rsidRPr="00AC13A8">
        <w:rPr>
          <w:rFonts w:ascii="Arial" w:hAnsi="Arial" w:cs="Arial"/>
          <w:sz w:val="24"/>
          <w:szCs w:val="24"/>
        </w:rPr>
        <w:t xml:space="preserve"> </w:t>
      </w:r>
      <w:r w:rsidR="004127CE" w:rsidRPr="00693FA0">
        <w:rPr>
          <w:rFonts w:ascii="Arial" w:hAnsi="Arial" w:cs="Arial"/>
          <w:sz w:val="24"/>
          <w:szCs w:val="24"/>
        </w:rPr>
        <w:t xml:space="preserve">in </w:t>
      </w:r>
      <w:r w:rsidR="00956277">
        <w:rPr>
          <w:rFonts w:ascii="Arial" w:hAnsi="Arial" w:cs="Arial"/>
          <w:sz w:val="24"/>
          <w:szCs w:val="24"/>
        </w:rPr>
        <w:t>2020</w:t>
      </w:r>
      <w:r w:rsidR="002F437B">
        <w:rPr>
          <w:rFonts w:ascii="Arial" w:hAnsi="Arial" w:cs="Arial"/>
          <w:sz w:val="24"/>
          <w:szCs w:val="24"/>
        </w:rPr>
        <w:t>)</w:t>
      </w:r>
    </w:p>
    <w:p w14:paraId="726200C8" w14:textId="3CD1DBAF" w:rsidR="00835665" w:rsidRPr="00AC13A8" w:rsidRDefault="00835665" w:rsidP="00835665">
      <w:pPr>
        <w:rPr>
          <w:rFonts w:ascii="Arial" w:hAnsi="Arial" w:cs="Arial"/>
          <w:sz w:val="24"/>
          <w:szCs w:val="24"/>
        </w:rPr>
      </w:pPr>
      <w:r w:rsidRPr="00AC13A8">
        <w:rPr>
          <w:rFonts w:ascii="Arial" w:hAnsi="Arial" w:cs="Arial"/>
          <w:sz w:val="24"/>
          <w:szCs w:val="24"/>
        </w:rPr>
        <w:t xml:space="preserve">Male </w:t>
      </w:r>
      <w:r w:rsidR="000C4055" w:rsidRPr="00AC13A8">
        <w:rPr>
          <w:rFonts w:ascii="Arial" w:hAnsi="Arial" w:cs="Arial"/>
          <w:sz w:val="24"/>
          <w:szCs w:val="24"/>
        </w:rPr>
        <w:tab/>
        <w:t xml:space="preserve"> </w:t>
      </w:r>
      <w:r w:rsidR="000C4055" w:rsidRPr="00AC13A8">
        <w:rPr>
          <w:rFonts w:ascii="Arial" w:hAnsi="Arial" w:cs="Arial"/>
          <w:sz w:val="24"/>
          <w:szCs w:val="24"/>
        </w:rPr>
        <w:tab/>
      </w:r>
      <w:r w:rsidR="008F13D8" w:rsidRPr="00AC13A8">
        <w:rPr>
          <w:rFonts w:ascii="Arial" w:hAnsi="Arial" w:cs="Arial"/>
          <w:sz w:val="24"/>
          <w:szCs w:val="24"/>
        </w:rPr>
        <w:t>=</w:t>
      </w:r>
      <w:r w:rsidRPr="00AC13A8">
        <w:rPr>
          <w:rFonts w:ascii="Arial" w:hAnsi="Arial" w:cs="Arial"/>
          <w:sz w:val="24"/>
          <w:szCs w:val="24"/>
        </w:rPr>
        <w:t xml:space="preserve"> </w:t>
      </w:r>
      <w:r w:rsidR="004127CE" w:rsidRPr="00693FA0">
        <w:rPr>
          <w:rFonts w:ascii="Arial" w:hAnsi="Arial" w:cs="Arial"/>
          <w:sz w:val="24"/>
          <w:szCs w:val="24"/>
        </w:rPr>
        <w:t>£</w:t>
      </w:r>
      <w:r w:rsidR="00956277">
        <w:rPr>
          <w:rFonts w:ascii="Arial" w:hAnsi="Arial" w:cs="Arial"/>
          <w:sz w:val="24"/>
          <w:szCs w:val="24"/>
        </w:rPr>
        <w:t>391.55</w:t>
      </w:r>
      <w:r w:rsidR="004127CE" w:rsidRPr="00693FA0">
        <w:rPr>
          <w:rFonts w:ascii="Arial" w:hAnsi="Arial" w:cs="Arial"/>
          <w:sz w:val="24"/>
          <w:szCs w:val="24"/>
        </w:rPr>
        <w:t xml:space="preserve"> (compared with </w:t>
      </w:r>
      <w:r w:rsidR="00A362CE" w:rsidRPr="00AC13A8">
        <w:rPr>
          <w:rFonts w:ascii="Arial" w:hAnsi="Arial" w:cs="Arial"/>
          <w:sz w:val="24"/>
          <w:szCs w:val="24"/>
        </w:rPr>
        <w:t>£</w:t>
      </w:r>
      <w:r w:rsidR="00956277">
        <w:rPr>
          <w:rFonts w:ascii="Arial" w:hAnsi="Arial" w:cs="Arial"/>
          <w:sz w:val="24"/>
          <w:szCs w:val="24"/>
        </w:rPr>
        <w:t>736.98</w:t>
      </w:r>
      <w:r w:rsidR="004127CE" w:rsidRPr="00693FA0">
        <w:rPr>
          <w:rFonts w:ascii="Arial" w:hAnsi="Arial" w:cs="Arial"/>
          <w:sz w:val="24"/>
          <w:szCs w:val="24"/>
        </w:rPr>
        <w:t xml:space="preserve"> in 20</w:t>
      </w:r>
      <w:r w:rsidR="00956277">
        <w:rPr>
          <w:rFonts w:ascii="Arial" w:hAnsi="Arial" w:cs="Arial"/>
          <w:sz w:val="24"/>
          <w:szCs w:val="24"/>
        </w:rPr>
        <w:t>20</w:t>
      </w:r>
      <w:r w:rsidR="002F437B">
        <w:rPr>
          <w:rFonts w:ascii="Arial" w:hAnsi="Arial" w:cs="Arial"/>
          <w:sz w:val="24"/>
          <w:szCs w:val="24"/>
        </w:rPr>
        <w:t>)</w:t>
      </w:r>
    </w:p>
    <w:p w14:paraId="34C4E72D" w14:textId="3DB59C52" w:rsidR="00835665" w:rsidRPr="007E4C44" w:rsidRDefault="00835665" w:rsidP="00835665">
      <w:pPr>
        <w:rPr>
          <w:rFonts w:ascii="Arial" w:hAnsi="Arial" w:cs="Arial"/>
          <w:sz w:val="24"/>
          <w:szCs w:val="24"/>
        </w:rPr>
      </w:pPr>
      <w:r w:rsidRPr="00AC13A8">
        <w:rPr>
          <w:rFonts w:ascii="Arial" w:hAnsi="Arial" w:cs="Arial"/>
          <w:sz w:val="24"/>
          <w:szCs w:val="24"/>
        </w:rPr>
        <w:t xml:space="preserve">Gap </w:t>
      </w:r>
      <w:r w:rsidR="000C4055" w:rsidRPr="00AC13A8">
        <w:rPr>
          <w:rFonts w:ascii="Arial" w:hAnsi="Arial" w:cs="Arial"/>
          <w:sz w:val="24"/>
          <w:szCs w:val="24"/>
        </w:rPr>
        <w:tab/>
      </w:r>
      <w:r w:rsidR="000C4055" w:rsidRPr="00AC13A8">
        <w:rPr>
          <w:rFonts w:ascii="Arial" w:hAnsi="Arial" w:cs="Arial"/>
          <w:sz w:val="24"/>
          <w:szCs w:val="24"/>
        </w:rPr>
        <w:tab/>
      </w:r>
      <w:r w:rsidR="008F13D8" w:rsidRPr="00AC13A8">
        <w:rPr>
          <w:rFonts w:ascii="Arial" w:hAnsi="Arial" w:cs="Arial"/>
          <w:sz w:val="24"/>
          <w:szCs w:val="24"/>
        </w:rPr>
        <w:t>=</w:t>
      </w:r>
      <w:r w:rsidRPr="00AC13A8">
        <w:rPr>
          <w:rFonts w:ascii="Arial" w:hAnsi="Arial" w:cs="Arial"/>
          <w:sz w:val="24"/>
          <w:szCs w:val="24"/>
        </w:rPr>
        <w:t xml:space="preserve"> </w:t>
      </w:r>
      <w:r w:rsidR="00751803">
        <w:rPr>
          <w:rFonts w:ascii="Arial" w:hAnsi="Arial" w:cs="Arial"/>
          <w:sz w:val="24"/>
          <w:szCs w:val="24"/>
        </w:rPr>
        <w:t>27.1</w:t>
      </w:r>
      <w:proofErr w:type="gramStart"/>
      <w:r w:rsidR="00751803">
        <w:rPr>
          <w:rFonts w:ascii="Arial" w:hAnsi="Arial" w:cs="Arial"/>
          <w:sz w:val="24"/>
          <w:szCs w:val="24"/>
        </w:rPr>
        <w:t>%</w:t>
      </w:r>
      <w:r w:rsidR="004127CE" w:rsidRPr="00693FA0">
        <w:rPr>
          <w:rFonts w:ascii="Arial" w:hAnsi="Arial" w:cs="Arial"/>
          <w:sz w:val="24"/>
          <w:szCs w:val="24"/>
        </w:rPr>
        <w:t>,</w:t>
      </w:r>
      <w:r w:rsidRPr="00AC13A8">
        <w:rPr>
          <w:rFonts w:ascii="Arial" w:hAnsi="Arial" w:cs="Arial"/>
          <w:sz w:val="24"/>
          <w:szCs w:val="24"/>
        </w:rPr>
        <w:t xml:space="preserve">  £</w:t>
      </w:r>
      <w:proofErr w:type="gramEnd"/>
      <w:r w:rsidR="00422F2E">
        <w:rPr>
          <w:rFonts w:ascii="Arial" w:hAnsi="Arial" w:cs="Arial"/>
          <w:sz w:val="24"/>
          <w:szCs w:val="24"/>
        </w:rPr>
        <w:t>105.95</w:t>
      </w:r>
      <w:r w:rsidR="009375B5" w:rsidRPr="00AC13A8">
        <w:rPr>
          <w:rFonts w:ascii="Arial" w:hAnsi="Arial" w:cs="Arial"/>
          <w:sz w:val="24"/>
          <w:szCs w:val="24"/>
        </w:rPr>
        <w:t xml:space="preserve"> </w:t>
      </w:r>
      <w:r w:rsidR="00AF7B1E" w:rsidRPr="00AC13A8">
        <w:rPr>
          <w:rFonts w:ascii="Arial" w:hAnsi="Arial" w:cs="Arial"/>
          <w:sz w:val="24"/>
          <w:szCs w:val="24"/>
        </w:rPr>
        <w:t>difference</w:t>
      </w:r>
      <w:r w:rsidR="008B5D46" w:rsidRPr="007E4C44">
        <w:rPr>
          <w:rFonts w:ascii="Arial" w:hAnsi="Arial" w:cs="Arial"/>
          <w:sz w:val="24"/>
          <w:szCs w:val="24"/>
        </w:rPr>
        <w:t xml:space="preserve"> </w:t>
      </w:r>
    </w:p>
    <w:p w14:paraId="00E58032" w14:textId="77777777" w:rsidR="00835665" w:rsidRPr="007E4C44" w:rsidRDefault="00835665" w:rsidP="00835665">
      <w:pPr>
        <w:rPr>
          <w:rFonts w:ascii="Arial" w:hAnsi="Arial" w:cs="Arial"/>
          <w:sz w:val="24"/>
          <w:szCs w:val="24"/>
        </w:rPr>
      </w:pPr>
    </w:p>
    <w:p w14:paraId="7F739F47" w14:textId="3B241152" w:rsidR="00835665" w:rsidRPr="007E4C44" w:rsidRDefault="00835665" w:rsidP="00835665">
      <w:pPr>
        <w:rPr>
          <w:rFonts w:ascii="Arial" w:hAnsi="Arial" w:cs="Arial"/>
          <w:sz w:val="24"/>
          <w:szCs w:val="24"/>
        </w:rPr>
      </w:pPr>
      <w:r w:rsidRPr="002F437B">
        <w:rPr>
          <w:rFonts w:ascii="Arial" w:hAnsi="Arial" w:cs="Arial"/>
          <w:b/>
          <w:bCs/>
          <w:sz w:val="24"/>
          <w:szCs w:val="24"/>
        </w:rPr>
        <w:t>Median</w:t>
      </w:r>
      <w:r w:rsidRPr="007E4C44">
        <w:rPr>
          <w:rFonts w:ascii="Arial" w:hAnsi="Arial" w:cs="Arial"/>
          <w:sz w:val="24"/>
          <w:szCs w:val="24"/>
        </w:rPr>
        <w:t xml:space="preserve"> – Middle </w:t>
      </w:r>
      <w:r w:rsidR="009375B5">
        <w:rPr>
          <w:rFonts w:ascii="Arial" w:hAnsi="Arial" w:cs="Arial"/>
          <w:sz w:val="24"/>
          <w:szCs w:val="24"/>
        </w:rPr>
        <w:t xml:space="preserve">annual </w:t>
      </w:r>
      <w:r w:rsidRPr="007E4C44">
        <w:rPr>
          <w:rFonts w:ascii="Arial" w:hAnsi="Arial" w:cs="Arial"/>
          <w:sz w:val="24"/>
          <w:szCs w:val="24"/>
        </w:rPr>
        <w:t>bonus payment and the percentage difference between</w:t>
      </w:r>
    </w:p>
    <w:p w14:paraId="11B271F0" w14:textId="77777777" w:rsidR="00835665" w:rsidRPr="007E4C44" w:rsidRDefault="00835665" w:rsidP="00835665">
      <w:pPr>
        <w:rPr>
          <w:rFonts w:ascii="Arial" w:hAnsi="Arial" w:cs="Arial"/>
          <w:sz w:val="24"/>
          <w:szCs w:val="24"/>
        </w:rPr>
      </w:pPr>
    </w:p>
    <w:p w14:paraId="05C9CF0B" w14:textId="18A3F787" w:rsidR="00835665" w:rsidRPr="00AC13A8" w:rsidRDefault="00835665" w:rsidP="00835665">
      <w:pPr>
        <w:rPr>
          <w:rFonts w:ascii="Arial" w:hAnsi="Arial" w:cs="Arial"/>
          <w:sz w:val="24"/>
          <w:szCs w:val="24"/>
        </w:rPr>
      </w:pPr>
      <w:r w:rsidRPr="00AC13A8">
        <w:rPr>
          <w:rFonts w:ascii="Arial" w:hAnsi="Arial" w:cs="Arial"/>
          <w:sz w:val="24"/>
          <w:szCs w:val="24"/>
        </w:rPr>
        <w:t xml:space="preserve">Female </w:t>
      </w:r>
      <w:r w:rsidR="000C4055" w:rsidRPr="00AC13A8">
        <w:rPr>
          <w:rFonts w:ascii="Arial" w:hAnsi="Arial" w:cs="Arial"/>
          <w:sz w:val="24"/>
          <w:szCs w:val="24"/>
        </w:rPr>
        <w:tab/>
      </w:r>
      <w:r w:rsidR="008F13D8" w:rsidRPr="00AC13A8">
        <w:rPr>
          <w:rFonts w:ascii="Arial" w:hAnsi="Arial" w:cs="Arial"/>
          <w:sz w:val="24"/>
          <w:szCs w:val="24"/>
        </w:rPr>
        <w:t>=</w:t>
      </w:r>
      <w:r w:rsidRPr="00AC13A8">
        <w:rPr>
          <w:rFonts w:ascii="Arial" w:hAnsi="Arial" w:cs="Arial"/>
          <w:sz w:val="24"/>
          <w:szCs w:val="24"/>
        </w:rPr>
        <w:t xml:space="preserve"> £</w:t>
      </w:r>
      <w:r w:rsidR="00AC13A8" w:rsidRPr="00693FA0">
        <w:rPr>
          <w:rFonts w:ascii="Arial" w:hAnsi="Arial" w:cs="Arial"/>
          <w:sz w:val="24"/>
          <w:szCs w:val="24"/>
        </w:rPr>
        <w:t>250.00</w:t>
      </w:r>
      <w:r w:rsidR="000F4453">
        <w:rPr>
          <w:rFonts w:ascii="Arial" w:hAnsi="Arial" w:cs="Arial"/>
          <w:sz w:val="24"/>
          <w:szCs w:val="24"/>
        </w:rPr>
        <w:t xml:space="preserve"> (compared with £</w:t>
      </w:r>
      <w:r w:rsidR="008540BE">
        <w:rPr>
          <w:rFonts w:ascii="Arial" w:hAnsi="Arial" w:cs="Arial"/>
          <w:sz w:val="24"/>
          <w:szCs w:val="24"/>
        </w:rPr>
        <w:t>250</w:t>
      </w:r>
      <w:r w:rsidR="000F4453">
        <w:rPr>
          <w:rFonts w:ascii="Arial" w:hAnsi="Arial" w:cs="Arial"/>
          <w:sz w:val="24"/>
          <w:szCs w:val="24"/>
        </w:rPr>
        <w:t xml:space="preserve"> in </w:t>
      </w:r>
      <w:r w:rsidR="008540BE">
        <w:rPr>
          <w:rFonts w:ascii="Arial" w:hAnsi="Arial" w:cs="Arial"/>
          <w:sz w:val="24"/>
          <w:szCs w:val="24"/>
        </w:rPr>
        <w:t>2020</w:t>
      </w:r>
      <w:r w:rsidR="000F4453">
        <w:rPr>
          <w:rFonts w:ascii="Arial" w:hAnsi="Arial" w:cs="Arial"/>
          <w:sz w:val="24"/>
          <w:szCs w:val="24"/>
        </w:rPr>
        <w:t>)</w:t>
      </w:r>
    </w:p>
    <w:p w14:paraId="2A189E15" w14:textId="144A21BF" w:rsidR="00835665" w:rsidRPr="00AC13A8" w:rsidRDefault="00835665" w:rsidP="00835665">
      <w:pPr>
        <w:rPr>
          <w:rFonts w:ascii="Arial" w:hAnsi="Arial" w:cs="Arial"/>
          <w:sz w:val="24"/>
          <w:szCs w:val="24"/>
        </w:rPr>
      </w:pPr>
      <w:r w:rsidRPr="00AC13A8">
        <w:rPr>
          <w:rFonts w:ascii="Arial" w:hAnsi="Arial" w:cs="Arial"/>
          <w:sz w:val="24"/>
          <w:szCs w:val="24"/>
        </w:rPr>
        <w:t>Male</w:t>
      </w:r>
      <w:r w:rsidR="000C4055" w:rsidRPr="00AC13A8">
        <w:rPr>
          <w:rFonts w:ascii="Arial" w:hAnsi="Arial" w:cs="Arial"/>
          <w:sz w:val="24"/>
          <w:szCs w:val="24"/>
        </w:rPr>
        <w:tab/>
      </w:r>
      <w:r w:rsidR="000C4055" w:rsidRPr="00AC13A8">
        <w:rPr>
          <w:rFonts w:ascii="Arial" w:hAnsi="Arial" w:cs="Arial"/>
          <w:sz w:val="24"/>
          <w:szCs w:val="24"/>
        </w:rPr>
        <w:tab/>
      </w:r>
      <w:r w:rsidR="008F13D8" w:rsidRPr="00AC13A8">
        <w:rPr>
          <w:rFonts w:ascii="Arial" w:hAnsi="Arial" w:cs="Arial"/>
          <w:sz w:val="24"/>
          <w:szCs w:val="24"/>
        </w:rPr>
        <w:t xml:space="preserve">= </w:t>
      </w:r>
      <w:r w:rsidRPr="00AC13A8">
        <w:rPr>
          <w:rFonts w:ascii="Arial" w:hAnsi="Arial" w:cs="Arial"/>
          <w:sz w:val="24"/>
          <w:szCs w:val="24"/>
        </w:rPr>
        <w:t>£</w:t>
      </w:r>
      <w:r w:rsidR="00577BB3">
        <w:rPr>
          <w:rFonts w:ascii="Arial" w:hAnsi="Arial" w:cs="Arial"/>
          <w:sz w:val="24"/>
          <w:szCs w:val="24"/>
        </w:rPr>
        <w:t>250</w:t>
      </w:r>
      <w:r w:rsidR="000F4453">
        <w:rPr>
          <w:rFonts w:ascii="Arial" w:hAnsi="Arial" w:cs="Arial"/>
          <w:sz w:val="24"/>
          <w:szCs w:val="24"/>
        </w:rPr>
        <w:t xml:space="preserve"> (compared with £</w:t>
      </w:r>
      <w:r w:rsidR="008540BE">
        <w:rPr>
          <w:rFonts w:ascii="Arial" w:hAnsi="Arial" w:cs="Arial"/>
          <w:sz w:val="24"/>
          <w:szCs w:val="24"/>
        </w:rPr>
        <w:t>307.62</w:t>
      </w:r>
      <w:r w:rsidR="000F4453">
        <w:rPr>
          <w:rFonts w:ascii="Arial" w:hAnsi="Arial" w:cs="Arial"/>
          <w:sz w:val="24"/>
          <w:szCs w:val="24"/>
        </w:rPr>
        <w:t xml:space="preserve"> in </w:t>
      </w:r>
      <w:r w:rsidR="008540BE">
        <w:rPr>
          <w:rFonts w:ascii="Arial" w:hAnsi="Arial" w:cs="Arial"/>
          <w:sz w:val="24"/>
          <w:szCs w:val="24"/>
        </w:rPr>
        <w:t>2020</w:t>
      </w:r>
      <w:r w:rsidR="000F4453">
        <w:rPr>
          <w:rFonts w:ascii="Arial" w:hAnsi="Arial" w:cs="Arial"/>
          <w:sz w:val="24"/>
          <w:szCs w:val="24"/>
        </w:rPr>
        <w:t>)</w:t>
      </w:r>
    </w:p>
    <w:p w14:paraId="0D75513E" w14:textId="62668909" w:rsidR="00835665" w:rsidRPr="001C647C" w:rsidRDefault="00835665" w:rsidP="00835665">
      <w:pPr>
        <w:rPr>
          <w:rFonts w:ascii="Arial" w:hAnsi="Arial" w:cs="Arial"/>
          <w:sz w:val="24"/>
          <w:szCs w:val="24"/>
        </w:rPr>
      </w:pPr>
      <w:r w:rsidRPr="00AC13A8">
        <w:rPr>
          <w:rFonts w:ascii="Arial" w:hAnsi="Arial" w:cs="Arial"/>
          <w:sz w:val="24"/>
          <w:szCs w:val="24"/>
        </w:rPr>
        <w:t xml:space="preserve">Gap </w:t>
      </w:r>
      <w:r w:rsidR="000C4055" w:rsidRPr="00AC13A8">
        <w:rPr>
          <w:rFonts w:ascii="Arial" w:hAnsi="Arial" w:cs="Arial"/>
          <w:sz w:val="24"/>
          <w:szCs w:val="24"/>
        </w:rPr>
        <w:tab/>
      </w:r>
      <w:r w:rsidR="000C4055" w:rsidRPr="00AC13A8">
        <w:rPr>
          <w:rFonts w:ascii="Arial" w:hAnsi="Arial" w:cs="Arial"/>
          <w:sz w:val="24"/>
          <w:szCs w:val="24"/>
        </w:rPr>
        <w:tab/>
      </w:r>
      <w:r w:rsidR="008F13D8" w:rsidRPr="00AC13A8">
        <w:rPr>
          <w:rFonts w:ascii="Arial" w:hAnsi="Arial" w:cs="Arial"/>
          <w:sz w:val="24"/>
          <w:szCs w:val="24"/>
        </w:rPr>
        <w:t>=</w:t>
      </w:r>
      <w:r w:rsidRPr="00AC13A8">
        <w:rPr>
          <w:rFonts w:ascii="Arial" w:hAnsi="Arial" w:cs="Arial"/>
          <w:sz w:val="24"/>
          <w:szCs w:val="24"/>
        </w:rPr>
        <w:t xml:space="preserve"> </w:t>
      </w:r>
      <w:r w:rsidR="00577BB3">
        <w:rPr>
          <w:rFonts w:ascii="Arial" w:hAnsi="Arial" w:cs="Arial"/>
          <w:sz w:val="24"/>
          <w:szCs w:val="24"/>
        </w:rPr>
        <w:t>0</w:t>
      </w:r>
      <w:r w:rsidR="00AC13A8" w:rsidRPr="00693FA0">
        <w:rPr>
          <w:rFonts w:ascii="Arial" w:hAnsi="Arial" w:cs="Arial"/>
          <w:sz w:val="24"/>
          <w:szCs w:val="24"/>
        </w:rPr>
        <w:t>%</w:t>
      </w:r>
      <w:r w:rsidRPr="00AC13A8">
        <w:rPr>
          <w:rFonts w:ascii="Arial" w:hAnsi="Arial" w:cs="Arial"/>
          <w:sz w:val="24"/>
          <w:szCs w:val="24"/>
        </w:rPr>
        <w:t xml:space="preserve">   </w:t>
      </w:r>
      <w:r w:rsidR="009375B5" w:rsidRPr="00AC13A8">
        <w:rPr>
          <w:rFonts w:ascii="Arial" w:hAnsi="Arial" w:cs="Arial"/>
          <w:sz w:val="24"/>
          <w:szCs w:val="24"/>
        </w:rPr>
        <w:t>£</w:t>
      </w:r>
      <w:r w:rsidR="00577BB3">
        <w:rPr>
          <w:rFonts w:ascii="Arial" w:hAnsi="Arial" w:cs="Arial"/>
          <w:sz w:val="24"/>
          <w:szCs w:val="24"/>
        </w:rPr>
        <w:t>0.00</w:t>
      </w:r>
      <w:r w:rsidR="00847BB5" w:rsidRPr="00AC13A8">
        <w:rPr>
          <w:rFonts w:ascii="Arial" w:hAnsi="Arial" w:cs="Arial"/>
          <w:sz w:val="24"/>
          <w:szCs w:val="24"/>
        </w:rPr>
        <w:t xml:space="preserve"> </w:t>
      </w:r>
      <w:r w:rsidR="00AF7B1E" w:rsidRPr="00AC13A8">
        <w:rPr>
          <w:rFonts w:ascii="Arial" w:hAnsi="Arial" w:cs="Arial"/>
          <w:sz w:val="24"/>
          <w:szCs w:val="24"/>
        </w:rPr>
        <w:t>difference</w:t>
      </w:r>
      <w:r w:rsidR="008B5D46">
        <w:rPr>
          <w:rFonts w:ascii="Arial" w:hAnsi="Arial" w:cs="Arial"/>
          <w:sz w:val="24"/>
          <w:szCs w:val="24"/>
        </w:rPr>
        <w:t xml:space="preserve"> </w:t>
      </w:r>
    </w:p>
    <w:p w14:paraId="68BA612E" w14:textId="77777777" w:rsidR="00835665" w:rsidRPr="00E60784" w:rsidRDefault="00835665" w:rsidP="00835665">
      <w:pPr>
        <w:rPr>
          <w:rFonts w:ascii="Arial" w:hAnsi="Arial" w:cs="Arial"/>
          <w:sz w:val="24"/>
          <w:szCs w:val="24"/>
        </w:rPr>
      </w:pPr>
    </w:p>
    <w:p w14:paraId="512F219D" w14:textId="17D9102E" w:rsidR="001C4976" w:rsidRDefault="00CA254B">
      <w:pPr>
        <w:rPr>
          <w:rFonts w:ascii="Arial" w:hAnsi="Arial" w:cs="Arial"/>
          <w:sz w:val="24"/>
          <w:szCs w:val="24"/>
        </w:rPr>
      </w:pPr>
      <w:r w:rsidRPr="00564862">
        <w:rPr>
          <w:rFonts w:ascii="Arial" w:hAnsi="Arial" w:cs="Arial"/>
          <w:sz w:val="24"/>
          <w:szCs w:val="24"/>
        </w:rPr>
        <w:t xml:space="preserve">The </w:t>
      </w:r>
      <w:r w:rsidR="001D2119">
        <w:rPr>
          <w:rFonts w:ascii="Arial" w:hAnsi="Arial" w:cs="Arial"/>
          <w:sz w:val="24"/>
          <w:szCs w:val="24"/>
        </w:rPr>
        <w:t xml:space="preserve">significant </w:t>
      </w:r>
      <w:r w:rsidR="00D57A6F">
        <w:rPr>
          <w:rFonts w:ascii="Arial" w:hAnsi="Arial" w:cs="Arial"/>
          <w:sz w:val="24"/>
          <w:szCs w:val="24"/>
        </w:rPr>
        <w:t xml:space="preserve">% </w:t>
      </w:r>
      <w:r w:rsidRPr="00564862">
        <w:rPr>
          <w:rFonts w:ascii="Arial" w:hAnsi="Arial" w:cs="Arial"/>
          <w:sz w:val="24"/>
          <w:szCs w:val="24"/>
        </w:rPr>
        <w:t>difference</w:t>
      </w:r>
      <w:r w:rsidR="007203FF">
        <w:rPr>
          <w:rFonts w:ascii="Arial" w:hAnsi="Arial" w:cs="Arial"/>
          <w:sz w:val="24"/>
          <w:szCs w:val="24"/>
        </w:rPr>
        <w:t xml:space="preserve"> in the male and female mean bonus payment is due to </w:t>
      </w:r>
      <w:r w:rsidR="00FB035D">
        <w:rPr>
          <w:rFonts w:ascii="Arial" w:hAnsi="Arial" w:cs="Arial"/>
          <w:sz w:val="24"/>
          <w:szCs w:val="24"/>
        </w:rPr>
        <w:t>more</w:t>
      </w:r>
      <w:r w:rsidRPr="00564862">
        <w:rPr>
          <w:rFonts w:ascii="Arial" w:hAnsi="Arial" w:cs="Arial"/>
          <w:sz w:val="24"/>
          <w:szCs w:val="24"/>
        </w:rPr>
        <w:t xml:space="preserve"> female employees receiving lower amounts</w:t>
      </w:r>
      <w:r w:rsidR="00DB1018">
        <w:rPr>
          <w:rFonts w:ascii="Arial" w:hAnsi="Arial" w:cs="Arial"/>
          <w:sz w:val="24"/>
          <w:szCs w:val="24"/>
        </w:rPr>
        <w:t xml:space="preserve"> and a small number of male employees receiving a higher amount</w:t>
      </w:r>
      <w:r w:rsidR="00CC05F8">
        <w:rPr>
          <w:rFonts w:ascii="Arial" w:hAnsi="Arial" w:cs="Arial"/>
          <w:sz w:val="24"/>
          <w:szCs w:val="24"/>
        </w:rPr>
        <w:t>.</w:t>
      </w:r>
    </w:p>
    <w:p w14:paraId="02830006" w14:textId="1CA9BD12" w:rsidR="0027216B" w:rsidRDefault="0027216B">
      <w:pPr>
        <w:rPr>
          <w:rFonts w:ascii="Arial" w:hAnsi="Arial" w:cs="Arial"/>
          <w:sz w:val="24"/>
          <w:szCs w:val="24"/>
        </w:rPr>
      </w:pPr>
    </w:p>
    <w:p w14:paraId="36C72C03" w14:textId="287AF5F6" w:rsidR="0027216B" w:rsidRDefault="0027216B">
      <w:pPr>
        <w:rPr>
          <w:rFonts w:ascii="Arial" w:hAnsi="Arial" w:cs="Arial"/>
          <w:b/>
          <w:bCs/>
        </w:rPr>
      </w:pPr>
      <w:r w:rsidRPr="00693FA0">
        <w:rPr>
          <w:rFonts w:ascii="Arial" w:hAnsi="Arial" w:cs="Arial"/>
          <w:b/>
          <w:bCs/>
        </w:rPr>
        <w:t>Figure 2</w:t>
      </w:r>
    </w:p>
    <w:p w14:paraId="103A9CA3" w14:textId="3397CA85" w:rsidR="008158D6" w:rsidRDefault="008158D6">
      <w:pPr>
        <w:rPr>
          <w:rFonts w:ascii="Arial" w:hAnsi="Arial" w:cs="Arial"/>
          <w:b/>
          <w:bCs/>
        </w:rPr>
      </w:pPr>
    </w:p>
    <w:p w14:paraId="614117B9" w14:textId="65D8E4DC" w:rsidR="008158D6" w:rsidRPr="00693FA0" w:rsidRDefault="009608E1">
      <w:pPr>
        <w:rPr>
          <w:rFonts w:ascii="Arial" w:hAnsi="Arial" w:cs="Arial"/>
          <w:b/>
          <w:bCs/>
        </w:rPr>
      </w:pPr>
      <w:r w:rsidRPr="009608E1">
        <w:rPr>
          <w:rFonts w:ascii="Arial" w:hAnsi="Arial" w:cs="Arial"/>
          <w:b/>
          <w:bCs/>
          <w:noProof/>
        </w:rPr>
        <w:drawing>
          <wp:inline distT="0" distB="0" distL="0" distR="0" wp14:anchorId="4CD0BDBD" wp14:editId="744D2DD8">
            <wp:extent cx="6337935" cy="2853055"/>
            <wp:effectExtent l="0" t="0" r="5715" b="444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337935" cy="2853055"/>
                    </a:xfrm>
                    <a:prstGeom prst="rect">
                      <a:avLst/>
                    </a:prstGeom>
                  </pic:spPr>
                </pic:pic>
              </a:graphicData>
            </a:graphic>
          </wp:inline>
        </w:drawing>
      </w:r>
    </w:p>
    <w:p w14:paraId="33F6BE3E" w14:textId="1C1282B0" w:rsidR="003D71AC" w:rsidRPr="00693FA0" w:rsidRDefault="003D71AC">
      <w:pPr>
        <w:rPr>
          <w:rFonts w:ascii="Arial" w:hAnsi="Arial" w:cs="Arial"/>
          <w:b/>
          <w:sz w:val="24"/>
          <w:szCs w:val="24"/>
        </w:rPr>
      </w:pPr>
      <w:r>
        <w:rPr>
          <w:rFonts w:ascii="Arial" w:hAnsi="Arial" w:cs="Arial"/>
          <w:b/>
          <w:sz w:val="24"/>
          <w:szCs w:val="24"/>
        </w:rPr>
        <w:t>‘</w:t>
      </w:r>
      <w:r w:rsidRPr="00693FA0">
        <w:rPr>
          <w:rFonts w:ascii="Arial" w:hAnsi="Arial" w:cs="Arial"/>
          <w:b/>
          <w:sz w:val="24"/>
          <w:szCs w:val="24"/>
        </w:rPr>
        <w:t>Bonus</w:t>
      </w:r>
      <w:r>
        <w:rPr>
          <w:rFonts w:ascii="Arial" w:hAnsi="Arial" w:cs="Arial"/>
          <w:b/>
          <w:sz w:val="24"/>
          <w:szCs w:val="24"/>
        </w:rPr>
        <w:t>’ payments</w:t>
      </w:r>
      <w:r w:rsidRPr="00693FA0">
        <w:rPr>
          <w:rFonts w:ascii="Arial" w:hAnsi="Arial" w:cs="Arial"/>
          <w:b/>
          <w:sz w:val="24"/>
          <w:szCs w:val="24"/>
        </w:rPr>
        <w:t xml:space="preserve"> since 2017</w:t>
      </w:r>
    </w:p>
    <w:p w14:paraId="256876C7" w14:textId="77777777" w:rsidR="0027216B" w:rsidRDefault="0027216B" w:rsidP="0027216B">
      <w:pPr>
        <w:rPr>
          <w:rFonts w:ascii="Arial" w:hAnsi="Arial" w:cs="Arial"/>
          <w:b/>
          <w:sz w:val="24"/>
          <w:szCs w:val="24"/>
        </w:rPr>
      </w:pPr>
    </w:p>
    <w:p w14:paraId="699CE708" w14:textId="4358169E" w:rsidR="0027216B" w:rsidRPr="00693FA0" w:rsidRDefault="0027216B" w:rsidP="0027216B">
      <w:pPr>
        <w:rPr>
          <w:rFonts w:ascii="Arial" w:hAnsi="Arial" w:cs="Arial"/>
          <w:b/>
        </w:rPr>
      </w:pPr>
      <w:r w:rsidRPr="00693FA0">
        <w:rPr>
          <w:rFonts w:ascii="Arial" w:hAnsi="Arial" w:cs="Arial"/>
          <w:b/>
        </w:rPr>
        <w:t>Figure 3</w:t>
      </w:r>
    </w:p>
    <w:p w14:paraId="711AEA83" w14:textId="77777777" w:rsidR="003D71AC" w:rsidRDefault="003D71AC">
      <w:pPr>
        <w:rPr>
          <w:rFonts w:ascii="Arial" w:hAnsi="Arial" w:cs="Arial"/>
          <w:b/>
          <w:sz w:val="24"/>
          <w:szCs w:val="24"/>
          <w:highlight w:val="yellow"/>
        </w:rPr>
      </w:pPr>
    </w:p>
    <w:p w14:paraId="15D5D4B3" w14:textId="2C6D4C42" w:rsidR="003D71AC" w:rsidRDefault="008158D6">
      <w:pPr>
        <w:rPr>
          <w:rFonts w:ascii="Arial" w:hAnsi="Arial" w:cs="Arial"/>
          <w:b/>
          <w:sz w:val="24"/>
          <w:szCs w:val="24"/>
          <w:highlight w:val="yellow"/>
        </w:rPr>
      </w:pPr>
      <w:r w:rsidRPr="008158D6">
        <w:rPr>
          <w:rFonts w:ascii="Arial" w:hAnsi="Arial" w:cs="Arial"/>
          <w:b/>
          <w:noProof/>
          <w:sz w:val="24"/>
          <w:szCs w:val="24"/>
        </w:rPr>
        <w:drawing>
          <wp:inline distT="0" distB="0" distL="0" distR="0" wp14:anchorId="78134A01" wp14:editId="53CC2831">
            <wp:extent cx="6257925" cy="3535385"/>
            <wp:effectExtent l="0" t="0" r="0" b="825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274008" cy="3544471"/>
                    </a:xfrm>
                    <a:prstGeom prst="rect">
                      <a:avLst/>
                    </a:prstGeom>
                  </pic:spPr>
                </pic:pic>
              </a:graphicData>
            </a:graphic>
          </wp:inline>
        </w:drawing>
      </w:r>
    </w:p>
    <w:p w14:paraId="0CDD722D" w14:textId="650E1C9E" w:rsidR="002444F6" w:rsidRPr="007E4C44" w:rsidRDefault="00B906BE">
      <w:pPr>
        <w:rPr>
          <w:rFonts w:ascii="Arial" w:hAnsi="Arial" w:cs="Arial"/>
          <w:sz w:val="24"/>
          <w:szCs w:val="24"/>
        </w:rPr>
      </w:pPr>
      <w:r w:rsidRPr="008158D6">
        <w:rPr>
          <w:rFonts w:ascii="Arial" w:hAnsi="Arial" w:cs="Arial"/>
          <w:b/>
          <w:sz w:val="24"/>
          <w:szCs w:val="24"/>
        </w:rPr>
        <w:lastRenderedPageBreak/>
        <w:t>Quartile Pay Bands</w:t>
      </w:r>
    </w:p>
    <w:p w14:paraId="2671D5AE" w14:textId="77777777" w:rsidR="00B906BE" w:rsidRPr="001C647C" w:rsidRDefault="00B906BE">
      <w:pPr>
        <w:rPr>
          <w:rFonts w:ascii="Arial" w:hAnsi="Arial" w:cs="Arial"/>
          <w:sz w:val="24"/>
          <w:szCs w:val="24"/>
        </w:rPr>
      </w:pPr>
    </w:p>
    <w:p w14:paraId="781F49ED" w14:textId="3B05FB7C" w:rsidR="00B941EA" w:rsidRDefault="00B906BE" w:rsidP="00B941EA">
      <w:pPr>
        <w:rPr>
          <w:rFonts w:ascii="Arial" w:hAnsi="Arial" w:cs="Arial"/>
          <w:sz w:val="24"/>
          <w:szCs w:val="24"/>
        </w:rPr>
      </w:pPr>
      <w:r w:rsidRPr="001C647C">
        <w:rPr>
          <w:rFonts w:ascii="Arial" w:hAnsi="Arial" w:cs="Arial"/>
          <w:sz w:val="24"/>
          <w:szCs w:val="24"/>
        </w:rPr>
        <w:t xml:space="preserve">The table </w:t>
      </w:r>
      <w:r w:rsidR="00B5304C" w:rsidRPr="001C647C">
        <w:rPr>
          <w:rFonts w:ascii="Arial" w:hAnsi="Arial" w:cs="Arial"/>
          <w:sz w:val="24"/>
          <w:szCs w:val="24"/>
        </w:rPr>
        <w:t>bel</w:t>
      </w:r>
      <w:r w:rsidRPr="001C647C">
        <w:rPr>
          <w:rFonts w:ascii="Arial" w:hAnsi="Arial" w:cs="Arial"/>
          <w:sz w:val="24"/>
          <w:szCs w:val="24"/>
        </w:rPr>
        <w:t>ow show</w:t>
      </w:r>
      <w:r w:rsidR="00065190" w:rsidRPr="001C647C">
        <w:rPr>
          <w:rFonts w:ascii="Arial" w:hAnsi="Arial" w:cs="Arial"/>
          <w:sz w:val="24"/>
          <w:szCs w:val="24"/>
        </w:rPr>
        <w:t>s</w:t>
      </w:r>
      <w:r w:rsidRPr="001C647C">
        <w:rPr>
          <w:rFonts w:ascii="Arial" w:hAnsi="Arial" w:cs="Arial"/>
          <w:sz w:val="24"/>
          <w:szCs w:val="24"/>
        </w:rPr>
        <w:t xml:space="preserve"> the workforce com</w:t>
      </w:r>
      <w:r w:rsidR="00DE095D">
        <w:rPr>
          <w:rFonts w:ascii="Arial" w:hAnsi="Arial" w:cs="Arial"/>
          <w:sz w:val="24"/>
          <w:szCs w:val="24"/>
        </w:rPr>
        <w:t xml:space="preserve">position in each pay quartile. </w:t>
      </w:r>
      <w:r w:rsidR="00B941EA" w:rsidRPr="001C647C">
        <w:rPr>
          <w:rFonts w:ascii="Arial" w:hAnsi="Arial" w:cs="Arial"/>
          <w:sz w:val="24"/>
          <w:szCs w:val="24"/>
        </w:rPr>
        <w:t>In order for there to be no gender pay gap, the</w:t>
      </w:r>
      <w:r w:rsidR="001A3400" w:rsidRPr="001C647C">
        <w:rPr>
          <w:rFonts w:ascii="Arial" w:hAnsi="Arial" w:cs="Arial"/>
          <w:sz w:val="24"/>
          <w:szCs w:val="24"/>
        </w:rPr>
        <w:t xml:space="preserve"> representation of male and female in each quartile would need to match the overall representation of o</w:t>
      </w:r>
      <w:r w:rsidR="008F13D8" w:rsidRPr="001C647C">
        <w:rPr>
          <w:rFonts w:ascii="Arial" w:hAnsi="Arial" w:cs="Arial"/>
          <w:sz w:val="24"/>
          <w:szCs w:val="24"/>
        </w:rPr>
        <w:t xml:space="preserve">ur workforce, </w:t>
      </w:r>
      <w:proofErr w:type="spellStart"/>
      <w:proofErr w:type="gramStart"/>
      <w:r w:rsidR="008F13D8" w:rsidRPr="001C647C">
        <w:rPr>
          <w:rFonts w:ascii="Arial" w:hAnsi="Arial" w:cs="Arial"/>
          <w:sz w:val="24"/>
          <w:szCs w:val="24"/>
        </w:rPr>
        <w:t>ie</w:t>
      </w:r>
      <w:proofErr w:type="spellEnd"/>
      <w:proofErr w:type="gramEnd"/>
      <w:r w:rsidR="008F13D8" w:rsidRPr="001C647C">
        <w:rPr>
          <w:rFonts w:ascii="Arial" w:hAnsi="Arial" w:cs="Arial"/>
          <w:sz w:val="24"/>
          <w:szCs w:val="24"/>
        </w:rPr>
        <w:t xml:space="preserve"> </w:t>
      </w:r>
      <w:r w:rsidR="00DA199E">
        <w:rPr>
          <w:rFonts w:ascii="Arial" w:hAnsi="Arial" w:cs="Arial"/>
          <w:sz w:val="24"/>
          <w:szCs w:val="24"/>
        </w:rPr>
        <w:t>62.</w:t>
      </w:r>
      <w:r w:rsidR="00906C19">
        <w:rPr>
          <w:rFonts w:ascii="Arial" w:hAnsi="Arial" w:cs="Arial"/>
          <w:sz w:val="24"/>
          <w:szCs w:val="24"/>
        </w:rPr>
        <w:t>4</w:t>
      </w:r>
      <w:r w:rsidR="001A3400" w:rsidRPr="001C647C">
        <w:rPr>
          <w:rFonts w:ascii="Arial" w:hAnsi="Arial" w:cs="Arial"/>
          <w:sz w:val="24"/>
          <w:szCs w:val="24"/>
        </w:rPr>
        <w:t xml:space="preserve">% female and </w:t>
      </w:r>
      <w:r w:rsidR="00393D92">
        <w:rPr>
          <w:rFonts w:ascii="Arial" w:hAnsi="Arial" w:cs="Arial"/>
          <w:sz w:val="24"/>
          <w:szCs w:val="24"/>
        </w:rPr>
        <w:t>37.6</w:t>
      </w:r>
      <w:r w:rsidR="001A3400" w:rsidRPr="001C647C">
        <w:rPr>
          <w:rFonts w:ascii="Arial" w:hAnsi="Arial" w:cs="Arial"/>
          <w:sz w:val="24"/>
          <w:szCs w:val="24"/>
        </w:rPr>
        <w:t xml:space="preserve">% male.  </w:t>
      </w:r>
      <w:r w:rsidR="00303CD1">
        <w:rPr>
          <w:rFonts w:ascii="Arial" w:hAnsi="Arial" w:cs="Arial"/>
          <w:sz w:val="24"/>
          <w:szCs w:val="24"/>
        </w:rPr>
        <w:t xml:space="preserve">There </w:t>
      </w:r>
      <w:r w:rsidR="00C300F6">
        <w:rPr>
          <w:rFonts w:ascii="Arial" w:hAnsi="Arial" w:cs="Arial"/>
          <w:sz w:val="24"/>
          <w:szCs w:val="24"/>
        </w:rPr>
        <w:t xml:space="preserve">are </w:t>
      </w:r>
      <w:r w:rsidR="00303CD1">
        <w:rPr>
          <w:rFonts w:ascii="Arial" w:hAnsi="Arial" w:cs="Arial"/>
          <w:sz w:val="24"/>
          <w:szCs w:val="24"/>
        </w:rPr>
        <w:t xml:space="preserve">approximately </w:t>
      </w:r>
      <w:r w:rsidR="00C755C2">
        <w:rPr>
          <w:rFonts w:ascii="Arial" w:hAnsi="Arial" w:cs="Arial"/>
          <w:sz w:val="24"/>
          <w:szCs w:val="24"/>
        </w:rPr>
        <w:t xml:space="preserve">600 </w:t>
      </w:r>
      <w:r w:rsidR="00303CD1">
        <w:rPr>
          <w:rFonts w:ascii="Arial" w:hAnsi="Arial" w:cs="Arial"/>
          <w:sz w:val="24"/>
          <w:szCs w:val="24"/>
        </w:rPr>
        <w:t>employees in each quartile.</w:t>
      </w:r>
    </w:p>
    <w:p w14:paraId="0E9AAE2C" w14:textId="77777777" w:rsidR="005D065A" w:rsidRPr="001C647C" w:rsidRDefault="005D065A">
      <w:pPr>
        <w:rPr>
          <w:rFonts w:ascii="Arial" w:hAnsi="Arial" w:cs="Arial"/>
        </w:rPr>
      </w:pPr>
    </w:p>
    <w:tbl>
      <w:tblPr>
        <w:tblStyle w:val="TableGrid"/>
        <w:tblW w:w="9640"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1134"/>
        <w:gridCol w:w="1559"/>
        <w:gridCol w:w="3686"/>
      </w:tblGrid>
      <w:tr w:rsidR="00704AA8" w:rsidRPr="00E72982" w14:paraId="11A4E368" w14:textId="77777777" w:rsidTr="006525AE">
        <w:trPr>
          <w:trHeight w:val="940"/>
        </w:trPr>
        <w:tc>
          <w:tcPr>
            <w:tcW w:w="3261" w:type="dxa"/>
            <w:shd w:val="clear" w:color="auto" w:fill="83CEE5"/>
            <w:vAlign w:val="bottom"/>
          </w:tcPr>
          <w:p w14:paraId="5F188E92" w14:textId="77777777" w:rsidR="00704AA8" w:rsidRPr="009046EA" w:rsidRDefault="00704AA8" w:rsidP="00852386">
            <w:pPr>
              <w:rPr>
                <w:rFonts w:ascii="Arial" w:hAnsi="Arial" w:cs="Arial"/>
                <w:b/>
              </w:rPr>
            </w:pPr>
          </w:p>
          <w:p w14:paraId="4C2266E8" w14:textId="77777777" w:rsidR="00704AA8" w:rsidRPr="009046EA" w:rsidRDefault="00704AA8" w:rsidP="00852386">
            <w:pPr>
              <w:rPr>
                <w:rFonts w:ascii="Arial" w:hAnsi="Arial" w:cs="Arial"/>
                <w:b/>
              </w:rPr>
            </w:pPr>
            <w:r w:rsidRPr="009046EA">
              <w:rPr>
                <w:rFonts w:ascii="Arial" w:hAnsi="Arial" w:cs="Arial"/>
                <w:b/>
              </w:rPr>
              <w:t xml:space="preserve">Quartile </w:t>
            </w:r>
          </w:p>
          <w:p w14:paraId="5ED2B363" w14:textId="77777777" w:rsidR="00704AA8" w:rsidRPr="009046EA" w:rsidRDefault="00704AA8" w:rsidP="00852386">
            <w:pPr>
              <w:rPr>
                <w:rFonts w:ascii="Arial" w:hAnsi="Arial" w:cs="Arial"/>
              </w:rPr>
            </w:pPr>
          </w:p>
          <w:p w14:paraId="5438C663" w14:textId="77777777" w:rsidR="00704AA8" w:rsidRPr="009046EA" w:rsidRDefault="00704AA8" w:rsidP="00852386">
            <w:pPr>
              <w:rPr>
                <w:rFonts w:ascii="Arial" w:hAnsi="Arial" w:cs="Arial"/>
              </w:rPr>
            </w:pPr>
          </w:p>
          <w:p w14:paraId="211FB39C" w14:textId="77777777" w:rsidR="00704AA8" w:rsidRPr="009046EA" w:rsidRDefault="00704AA8" w:rsidP="00852386">
            <w:pPr>
              <w:rPr>
                <w:rFonts w:ascii="Arial" w:hAnsi="Arial" w:cs="Arial"/>
              </w:rPr>
            </w:pPr>
          </w:p>
        </w:tc>
        <w:tc>
          <w:tcPr>
            <w:tcW w:w="1134" w:type="dxa"/>
            <w:shd w:val="clear" w:color="auto" w:fill="83CEE5"/>
          </w:tcPr>
          <w:p w14:paraId="60ABDD86" w14:textId="77777777" w:rsidR="00704AA8" w:rsidRPr="009046EA" w:rsidRDefault="00704AA8" w:rsidP="002C7845">
            <w:pPr>
              <w:jc w:val="center"/>
              <w:rPr>
                <w:rFonts w:ascii="Arial" w:hAnsi="Arial" w:cs="Arial"/>
                <w:b/>
              </w:rPr>
            </w:pPr>
          </w:p>
          <w:p w14:paraId="5DAFADE6" w14:textId="06BAE9C8" w:rsidR="00704AA8" w:rsidRPr="009046EA" w:rsidRDefault="00704AA8" w:rsidP="002C7845">
            <w:pPr>
              <w:jc w:val="center"/>
              <w:rPr>
                <w:rFonts w:ascii="Arial" w:hAnsi="Arial" w:cs="Arial"/>
                <w:b/>
              </w:rPr>
            </w:pPr>
            <w:r>
              <w:rPr>
                <w:rFonts w:ascii="Arial" w:hAnsi="Arial" w:cs="Arial"/>
                <w:b/>
              </w:rPr>
              <w:t>202</w:t>
            </w:r>
            <w:r w:rsidR="00B6656F">
              <w:rPr>
                <w:rFonts w:ascii="Arial" w:hAnsi="Arial" w:cs="Arial"/>
                <w:b/>
              </w:rPr>
              <w:t>1</w:t>
            </w:r>
            <w:r w:rsidRPr="009046EA">
              <w:rPr>
                <w:rFonts w:ascii="Arial" w:hAnsi="Arial" w:cs="Arial"/>
                <w:b/>
              </w:rPr>
              <w:t xml:space="preserve"> Male</w:t>
            </w:r>
          </w:p>
        </w:tc>
        <w:tc>
          <w:tcPr>
            <w:tcW w:w="1559" w:type="dxa"/>
            <w:shd w:val="clear" w:color="auto" w:fill="83CEE5"/>
          </w:tcPr>
          <w:p w14:paraId="6696D8CA" w14:textId="77777777" w:rsidR="00704AA8" w:rsidRPr="009046EA" w:rsidRDefault="00704AA8" w:rsidP="002C7845">
            <w:pPr>
              <w:jc w:val="center"/>
              <w:rPr>
                <w:rFonts w:ascii="Arial" w:hAnsi="Arial" w:cs="Arial"/>
                <w:b/>
              </w:rPr>
            </w:pPr>
          </w:p>
          <w:p w14:paraId="3CA75EE1" w14:textId="6AB58FFB" w:rsidR="00704AA8" w:rsidRPr="009046EA" w:rsidRDefault="00704AA8" w:rsidP="002C7845">
            <w:pPr>
              <w:jc w:val="center"/>
              <w:rPr>
                <w:rFonts w:ascii="Arial" w:hAnsi="Arial" w:cs="Arial"/>
                <w:b/>
              </w:rPr>
            </w:pPr>
            <w:r>
              <w:rPr>
                <w:rFonts w:ascii="Arial" w:hAnsi="Arial" w:cs="Arial"/>
                <w:b/>
              </w:rPr>
              <w:t>202</w:t>
            </w:r>
            <w:r w:rsidR="00B6656F">
              <w:rPr>
                <w:rFonts w:ascii="Arial" w:hAnsi="Arial" w:cs="Arial"/>
                <w:b/>
              </w:rPr>
              <w:t>1</w:t>
            </w:r>
          </w:p>
          <w:p w14:paraId="251A72DE" w14:textId="75061673" w:rsidR="00704AA8" w:rsidRPr="009046EA" w:rsidRDefault="00704AA8" w:rsidP="002C7845">
            <w:pPr>
              <w:jc w:val="center"/>
              <w:rPr>
                <w:rFonts w:ascii="Arial" w:hAnsi="Arial" w:cs="Arial"/>
                <w:b/>
              </w:rPr>
            </w:pPr>
            <w:r w:rsidRPr="009046EA">
              <w:rPr>
                <w:rFonts w:ascii="Arial" w:hAnsi="Arial" w:cs="Arial"/>
                <w:b/>
              </w:rPr>
              <w:t>Female</w:t>
            </w:r>
          </w:p>
        </w:tc>
        <w:tc>
          <w:tcPr>
            <w:tcW w:w="3686" w:type="dxa"/>
            <w:shd w:val="clear" w:color="auto" w:fill="83CEE5"/>
          </w:tcPr>
          <w:p w14:paraId="772F451C" w14:textId="77777777" w:rsidR="002C7845" w:rsidRDefault="002C7845" w:rsidP="002C7845">
            <w:pPr>
              <w:jc w:val="center"/>
              <w:rPr>
                <w:rFonts w:ascii="Arial" w:hAnsi="Arial" w:cs="Arial"/>
                <w:b/>
              </w:rPr>
            </w:pPr>
          </w:p>
          <w:p w14:paraId="3BBB9808" w14:textId="0DB51690" w:rsidR="00704AA8" w:rsidRPr="009046EA" w:rsidRDefault="00704AA8" w:rsidP="002C7845">
            <w:pPr>
              <w:jc w:val="center"/>
              <w:rPr>
                <w:rFonts w:ascii="Arial" w:hAnsi="Arial" w:cs="Arial"/>
                <w:b/>
              </w:rPr>
            </w:pPr>
            <w:r>
              <w:rPr>
                <w:rFonts w:ascii="Arial" w:hAnsi="Arial" w:cs="Arial"/>
                <w:b/>
              </w:rPr>
              <w:t>202</w:t>
            </w:r>
            <w:r w:rsidR="00B6656F">
              <w:rPr>
                <w:rFonts w:ascii="Arial" w:hAnsi="Arial" w:cs="Arial"/>
                <w:b/>
              </w:rPr>
              <w:t>1</w:t>
            </w:r>
            <w:r w:rsidRPr="009046EA">
              <w:rPr>
                <w:rFonts w:ascii="Arial" w:hAnsi="Arial" w:cs="Arial"/>
                <w:b/>
              </w:rPr>
              <w:t xml:space="preserve"> difference in % of females compared with B&amp;NES workforce</w:t>
            </w:r>
          </w:p>
        </w:tc>
      </w:tr>
      <w:tr w:rsidR="00704AA8" w:rsidRPr="00E72982" w14:paraId="049E0967" w14:textId="77777777" w:rsidTr="006525AE">
        <w:trPr>
          <w:trHeight w:val="680"/>
        </w:trPr>
        <w:tc>
          <w:tcPr>
            <w:tcW w:w="3261" w:type="dxa"/>
            <w:tcBorders>
              <w:bottom w:val="single" w:sz="4" w:space="0" w:color="auto"/>
            </w:tcBorders>
            <w:vAlign w:val="center"/>
          </w:tcPr>
          <w:p w14:paraId="7DB4C067" w14:textId="4B08837E" w:rsidR="00704AA8" w:rsidRPr="007307C2" w:rsidRDefault="00704AA8" w:rsidP="004457FB">
            <w:pPr>
              <w:rPr>
                <w:rFonts w:ascii="Arial" w:hAnsi="Arial" w:cs="Arial"/>
              </w:rPr>
            </w:pPr>
            <w:r w:rsidRPr="007307C2">
              <w:rPr>
                <w:rFonts w:ascii="Arial" w:hAnsi="Arial" w:cs="Arial"/>
              </w:rPr>
              <w:t>Upper quartile</w:t>
            </w:r>
            <w:r w:rsidR="002C7845">
              <w:rPr>
                <w:rFonts w:ascii="Arial" w:hAnsi="Arial" w:cs="Arial"/>
              </w:rPr>
              <w:t>,</w:t>
            </w:r>
            <w:r w:rsidRPr="007307C2">
              <w:rPr>
                <w:rFonts w:ascii="Arial" w:hAnsi="Arial" w:cs="Arial"/>
              </w:rPr>
              <w:t xml:space="preserve"> </w:t>
            </w:r>
            <w:r>
              <w:rPr>
                <w:rFonts w:ascii="Arial" w:hAnsi="Arial" w:cs="Arial"/>
              </w:rPr>
              <w:t xml:space="preserve">Q4 </w:t>
            </w:r>
            <w:r w:rsidRPr="007307C2">
              <w:rPr>
                <w:rFonts w:ascii="Arial" w:hAnsi="Arial" w:cs="Arial"/>
              </w:rPr>
              <w:t>(highest paid)</w:t>
            </w:r>
          </w:p>
          <w:p w14:paraId="1A463564" w14:textId="3106822F" w:rsidR="00704AA8" w:rsidRPr="007307C2" w:rsidRDefault="00704AA8" w:rsidP="004457FB">
            <w:pPr>
              <w:rPr>
                <w:rFonts w:ascii="Arial" w:hAnsi="Arial" w:cs="Arial"/>
              </w:rPr>
            </w:pPr>
            <w:r w:rsidRPr="007307C2">
              <w:rPr>
                <w:rFonts w:ascii="Arial" w:hAnsi="Arial" w:cs="Arial"/>
              </w:rPr>
              <w:t xml:space="preserve">(Grade </w:t>
            </w:r>
            <w:r>
              <w:rPr>
                <w:rFonts w:ascii="Arial" w:hAnsi="Arial" w:cs="Arial"/>
              </w:rPr>
              <w:t>9</w:t>
            </w:r>
            <w:r w:rsidRPr="007307C2">
              <w:rPr>
                <w:rFonts w:ascii="Arial" w:hAnsi="Arial" w:cs="Arial"/>
              </w:rPr>
              <w:t xml:space="preserve"> to top)</w:t>
            </w:r>
          </w:p>
        </w:tc>
        <w:tc>
          <w:tcPr>
            <w:tcW w:w="1134" w:type="dxa"/>
            <w:tcBorders>
              <w:bottom w:val="single" w:sz="4" w:space="0" w:color="auto"/>
            </w:tcBorders>
          </w:tcPr>
          <w:p w14:paraId="25C5FD8A" w14:textId="7BB7C68B" w:rsidR="00704AA8" w:rsidRPr="005B7E26" w:rsidRDefault="00704AA8" w:rsidP="000C4055">
            <w:pPr>
              <w:jc w:val="center"/>
              <w:rPr>
                <w:rFonts w:ascii="Arial" w:hAnsi="Arial" w:cs="Arial"/>
                <w:b/>
                <w:bCs/>
              </w:rPr>
            </w:pPr>
          </w:p>
          <w:p w14:paraId="59782E24" w14:textId="61F61834" w:rsidR="00704AA8" w:rsidRPr="005B7E26" w:rsidRDefault="00B6656F" w:rsidP="000C4055">
            <w:pPr>
              <w:jc w:val="center"/>
              <w:rPr>
                <w:rFonts w:ascii="Arial" w:hAnsi="Arial" w:cs="Arial"/>
                <w:b/>
                <w:bCs/>
              </w:rPr>
            </w:pPr>
            <w:r>
              <w:rPr>
                <w:rFonts w:ascii="Arial" w:hAnsi="Arial" w:cs="Arial"/>
                <w:b/>
                <w:bCs/>
              </w:rPr>
              <w:t>42.1</w:t>
            </w:r>
          </w:p>
        </w:tc>
        <w:tc>
          <w:tcPr>
            <w:tcW w:w="1559" w:type="dxa"/>
            <w:tcBorders>
              <w:bottom w:val="single" w:sz="4" w:space="0" w:color="auto"/>
            </w:tcBorders>
          </w:tcPr>
          <w:p w14:paraId="611DE477" w14:textId="77777777" w:rsidR="00704AA8" w:rsidRPr="005B7E26" w:rsidRDefault="00704AA8" w:rsidP="000C4055">
            <w:pPr>
              <w:jc w:val="center"/>
              <w:rPr>
                <w:rFonts w:ascii="Arial" w:hAnsi="Arial" w:cs="Arial"/>
                <w:b/>
                <w:bCs/>
              </w:rPr>
            </w:pPr>
          </w:p>
          <w:p w14:paraId="051D44CF" w14:textId="13047375" w:rsidR="00704AA8" w:rsidRPr="005B7E26" w:rsidRDefault="00B6656F" w:rsidP="000C4055">
            <w:pPr>
              <w:jc w:val="center"/>
              <w:rPr>
                <w:rFonts w:ascii="Arial" w:hAnsi="Arial" w:cs="Arial"/>
                <w:b/>
                <w:bCs/>
              </w:rPr>
            </w:pPr>
            <w:r>
              <w:rPr>
                <w:rFonts w:ascii="Arial" w:hAnsi="Arial" w:cs="Arial"/>
                <w:b/>
                <w:bCs/>
              </w:rPr>
              <w:t>57.9</w:t>
            </w:r>
          </w:p>
        </w:tc>
        <w:tc>
          <w:tcPr>
            <w:tcW w:w="3686" w:type="dxa"/>
            <w:tcBorders>
              <w:bottom w:val="single" w:sz="4" w:space="0" w:color="auto"/>
            </w:tcBorders>
            <w:shd w:val="clear" w:color="auto" w:fill="F2F2F2" w:themeFill="background1" w:themeFillShade="F2"/>
          </w:tcPr>
          <w:p w14:paraId="1DCE1170" w14:textId="77777777" w:rsidR="00704AA8" w:rsidRPr="005B7E26" w:rsidRDefault="00704AA8" w:rsidP="000C4055">
            <w:pPr>
              <w:jc w:val="center"/>
              <w:rPr>
                <w:rFonts w:ascii="Arial" w:hAnsi="Arial" w:cs="Arial"/>
                <w:b/>
                <w:bCs/>
              </w:rPr>
            </w:pPr>
          </w:p>
          <w:p w14:paraId="52B9431E" w14:textId="31AAE00D" w:rsidR="00704AA8" w:rsidRPr="005B7E26" w:rsidRDefault="00B6656F" w:rsidP="000C4055">
            <w:pPr>
              <w:jc w:val="center"/>
              <w:rPr>
                <w:rFonts w:ascii="Arial" w:hAnsi="Arial" w:cs="Arial"/>
                <w:b/>
                <w:bCs/>
              </w:rPr>
            </w:pPr>
            <w:r>
              <w:rPr>
                <w:rFonts w:ascii="Arial" w:hAnsi="Arial" w:cs="Arial"/>
                <w:b/>
                <w:bCs/>
                <w:color w:val="FF0000"/>
              </w:rPr>
              <w:t>-4.5</w:t>
            </w:r>
          </w:p>
        </w:tc>
      </w:tr>
      <w:tr w:rsidR="00704AA8" w:rsidRPr="00E72982" w14:paraId="121D75EB" w14:textId="77777777" w:rsidTr="006525AE">
        <w:trPr>
          <w:trHeight w:val="680"/>
        </w:trPr>
        <w:tc>
          <w:tcPr>
            <w:tcW w:w="3261" w:type="dxa"/>
            <w:tcBorders>
              <w:top w:val="single" w:sz="4" w:space="0" w:color="auto"/>
              <w:bottom w:val="single" w:sz="4" w:space="0" w:color="auto"/>
            </w:tcBorders>
            <w:vAlign w:val="center"/>
          </w:tcPr>
          <w:p w14:paraId="3DDB67BF" w14:textId="283E3C42" w:rsidR="00704AA8" w:rsidRPr="007307C2" w:rsidRDefault="00704AA8" w:rsidP="004457FB">
            <w:pPr>
              <w:rPr>
                <w:rFonts w:ascii="Arial" w:hAnsi="Arial" w:cs="Arial"/>
              </w:rPr>
            </w:pPr>
            <w:r w:rsidRPr="007307C2">
              <w:rPr>
                <w:rFonts w:ascii="Arial" w:hAnsi="Arial" w:cs="Arial"/>
              </w:rPr>
              <w:t>Upper middle quartile</w:t>
            </w:r>
            <w:r>
              <w:rPr>
                <w:rFonts w:ascii="Arial" w:hAnsi="Arial" w:cs="Arial"/>
              </w:rPr>
              <w:t>, Q3</w:t>
            </w:r>
          </w:p>
          <w:p w14:paraId="2527CE20" w14:textId="2DBFB20C" w:rsidR="00704AA8" w:rsidRPr="007307C2" w:rsidRDefault="00704AA8" w:rsidP="004457FB">
            <w:pPr>
              <w:rPr>
                <w:rFonts w:ascii="Arial" w:hAnsi="Arial" w:cs="Arial"/>
              </w:rPr>
            </w:pPr>
            <w:r w:rsidRPr="007307C2">
              <w:rPr>
                <w:rFonts w:ascii="Arial" w:hAnsi="Arial" w:cs="Arial"/>
              </w:rPr>
              <w:t xml:space="preserve">(Grade </w:t>
            </w:r>
            <w:r>
              <w:rPr>
                <w:rFonts w:ascii="Arial" w:hAnsi="Arial" w:cs="Arial"/>
              </w:rPr>
              <w:t>6 to 9</w:t>
            </w:r>
            <w:r w:rsidRPr="007307C2">
              <w:rPr>
                <w:rFonts w:ascii="Arial" w:hAnsi="Arial" w:cs="Arial"/>
              </w:rPr>
              <w:t>)</w:t>
            </w:r>
          </w:p>
        </w:tc>
        <w:tc>
          <w:tcPr>
            <w:tcW w:w="1134" w:type="dxa"/>
            <w:tcBorders>
              <w:top w:val="single" w:sz="4" w:space="0" w:color="auto"/>
              <w:bottom w:val="single" w:sz="4" w:space="0" w:color="auto"/>
            </w:tcBorders>
          </w:tcPr>
          <w:p w14:paraId="0F12E027" w14:textId="77777777" w:rsidR="00704AA8" w:rsidRPr="005B7E26" w:rsidRDefault="00704AA8" w:rsidP="000C4055">
            <w:pPr>
              <w:jc w:val="center"/>
              <w:rPr>
                <w:rFonts w:ascii="Arial" w:hAnsi="Arial" w:cs="Arial"/>
                <w:b/>
                <w:bCs/>
              </w:rPr>
            </w:pPr>
          </w:p>
          <w:p w14:paraId="74AC66A1" w14:textId="6C1A7A92" w:rsidR="00704AA8" w:rsidRPr="005B7E26" w:rsidRDefault="00B6656F" w:rsidP="009046EA">
            <w:pPr>
              <w:jc w:val="center"/>
              <w:rPr>
                <w:rFonts w:ascii="Arial" w:hAnsi="Arial" w:cs="Arial"/>
                <w:b/>
                <w:bCs/>
              </w:rPr>
            </w:pPr>
            <w:r>
              <w:rPr>
                <w:rFonts w:ascii="Arial" w:hAnsi="Arial" w:cs="Arial"/>
                <w:b/>
                <w:bCs/>
              </w:rPr>
              <w:t>33.5</w:t>
            </w:r>
          </w:p>
        </w:tc>
        <w:tc>
          <w:tcPr>
            <w:tcW w:w="1559" w:type="dxa"/>
            <w:tcBorders>
              <w:top w:val="single" w:sz="4" w:space="0" w:color="auto"/>
              <w:bottom w:val="single" w:sz="4" w:space="0" w:color="auto"/>
            </w:tcBorders>
          </w:tcPr>
          <w:p w14:paraId="6062F79C" w14:textId="77777777" w:rsidR="00704AA8" w:rsidRPr="005B7E26" w:rsidRDefault="00704AA8" w:rsidP="000C4055">
            <w:pPr>
              <w:jc w:val="center"/>
              <w:rPr>
                <w:rFonts w:ascii="Arial" w:hAnsi="Arial" w:cs="Arial"/>
                <w:b/>
                <w:bCs/>
              </w:rPr>
            </w:pPr>
          </w:p>
          <w:p w14:paraId="50620A37" w14:textId="696649DA" w:rsidR="00704AA8" w:rsidRPr="005B7E26" w:rsidRDefault="00B6656F" w:rsidP="000C4055">
            <w:pPr>
              <w:jc w:val="center"/>
              <w:rPr>
                <w:rFonts w:ascii="Arial" w:hAnsi="Arial" w:cs="Arial"/>
                <w:b/>
                <w:bCs/>
              </w:rPr>
            </w:pPr>
            <w:r>
              <w:rPr>
                <w:rFonts w:ascii="Arial" w:hAnsi="Arial" w:cs="Arial"/>
                <w:b/>
                <w:bCs/>
              </w:rPr>
              <w:t>66.5</w:t>
            </w:r>
          </w:p>
        </w:tc>
        <w:tc>
          <w:tcPr>
            <w:tcW w:w="3686" w:type="dxa"/>
            <w:tcBorders>
              <w:top w:val="single" w:sz="4" w:space="0" w:color="auto"/>
              <w:bottom w:val="single" w:sz="4" w:space="0" w:color="auto"/>
            </w:tcBorders>
            <w:shd w:val="clear" w:color="auto" w:fill="F2F2F2" w:themeFill="background1" w:themeFillShade="F2"/>
          </w:tcPr>
          <w:p w14:paraId="78D93E27" w14:textId="77777777" w:rsidR="00704AA8" w:rsidRPr="005B7E26" w:rsidRDefault="00704AA8" w:rsidP="000C4055">
            <w:pPr>
              <w:jc w:val="center"/>
              <w:rPr>
                <w:rFonts w:ascii="Arial" w:hAnsi="Arial" w:cs="Arial"/>
                <w:b/>
                <w:bCs/>
              </w:rPr>
            </w:pPr>
          </w:p>
          <w:p w14:paraId="3C9D7E5F" w14:textId="6AAF3102" w:rsidR="00704AA8" w:rsidRPr="005B7E26" w:rsidRDefault="00B6656F" w:rsidP="000C4055">
            <w:pPr>
              <w:jc w:val="center"/>
              <w:rPr>
                <w:rFonts w:ascii="Arial" w:hAnsi="Arial" w:cs="Arial"/>
                <w:b/>
                <w:bCs/>
              </w:rPr>
            </w:pPr>
            <w:r>
              <w:rPr>
                <w:rFonts w:ascii="Arial" w:hAnsi="Arial" w:cs="Arial"/>
                <w:b/>
                <w:bCs/>
              </w:rPr>
              <w:t>4.1</w:t>
            </w:r>
          </w:p>
        </w:tc>
      </w:tr>
      <w:tr w:rsidR="00704AA8" w:rsidRPr="00E72982" w14:paraId="1978F626" w14:textId="77777777" w:rsidTr="006525AE">
        <w:trPr>
          <w:trHeight w:val="680"/>
        </w:trPr>
        <w:tc>
          <w:tcPr>
            <w:tcW w:w="3261" w:type="dxa"/>
            <w:tcBorders>
              <w:top w:val="single" w:sz="4" w:space="0" w:color="auto"/>
              <w:bottom w:val="single" w:sz="4" w:space="0" w:color="auto"/>
            </w:tcBorders>
            <w:vAlign w:val="center"/>
          </w:tcPr>
          <w:p w14:paraId="0F41687A" w14:textId="7FCB4924" w:rsidR="00704AA8" w:rsidRPr="007307C2" w:rsidRDefault="00704AA8" w:rsidP="004457FB">
            <w:pPr>
              <w:rPr>
                <w:rFonts w:ascii="Arial" w:hAnsi="Arial" w:cs="Arial"/>
              </w:rPr>
            </w:pPr>
            <w:r w:rsidRPr="007307C2">
              <w:rPr>
                <w:rFonts w:ascii="Arial" w:hAnsi="Arial" w:cs="Arial"/>
              </w:rPr>
              <w:t>Lower middle quartile</w:t>
            </w:r>
            <w:r>
              <w:rPr>
                <w:rFonts w:ascii="Arial" w:hAnsi="Arial" w:cs="Arial"/>
              </w:rPr>
              <w:t>, Q2</w:t>
            </w:r>
          </w:p>
          <w:p w14:paraId="5B51DB52" w14:textId="2E1E506D" w:rsidR="00704AA8" w:rsidRPr="007307C2" w:rsidRDefault="00704AA8" w:rsidP="004457FB">
            <w:pPr>
              <w:rPr>
                <w:rFonts w:ascii="Arial" w:hAnsi="Arial" w:cs="Arial"/>
              </w:rPr>
            </w:pPr>
            <w:r w:rsidRPr="007307C2">
              <w:rPr>
                <w:rFonts w:ascii="Arial" w:hAnsi="Arial" w:cs="Arial"/>
              </w:rPr>
              <w:t xml:space="preserve">(Grade </w:t>
            </w:r>
            <w:r>
              <w:rPr>
                <w:rFonts w:ascii="Arial" w:hAnsi="Arial" w:cs="Arial"/>
              </w:rPr>
              <w:t>4 to 6</w:t>
            </w:r>
            <w:r w:rsidRPr="007307C2">
              <w:rPr>
                <w:rFonts w:ascii="Arial" w:hAnsi="Arial" w:cs="Arial"/>
              </w:rPr>
              <w:t>)</w:t>
            </w:r>
          </w:p>
        </w:tc>
        <w:tc>
          <w:tcPr>
            <w:tcW w:w="1134" w:type="dxa"/>
            <w:tcBorders>
              <w:top w:val="single" w:sz="4" w:space="0" w:color="auto"/>
              <w:bottom w:val="single" w:sz="4" w:space="0" w:color="auto"/>
            </w:tcBorders>
          </w:tcPr>
          <w:p w14:paraId="32484C76" w14:textId="77777777" w:rsidR="00704AA8" w:rsidRPr="005B7E26" w:rsidRDefault="00704AA8" w:rsidP="000C4055">
            <w:pPr>
              <w:jc w:val="center"/>
              <w:rPr>
                <w:rFonts w:ascii="Arial" w:hAnsi="Arial" w:cs="Arial"/>
                <w:b/>
                <w:bCs/>
              </w:rPr>
            </w:pPr>
          </w:p>
          <w:p w14:paraId="778C885B" w14:textId="370234FF" w:rsidR="00704AA8" w:rsidRPr="005B7E26" w:rsidRDefault="00B6656F" w:rsidP="000C4055">
            <w:pPr>
              <w:jc w:val="center"/>
              <w:rPr>
                <w:rFonts w:ascii="Arial" w:hAnsi="Arial" w:cs="Arial"/>
                <w:b/>
                <w:bCs/>
              </w:rPr>
            </w:pPr>
            <w:r>
              <w:rPr>
                <w:rFonts w:ascii="Arial" w:hAnsi="Arial" w:cs="Arial"/>
                <w:b/>
                <w:bCs/>
              </w:rPr>
              <w:t>37.7</w:t>
            </w:r>
          </w:p>
        </w:tc>
        <w:tc>
          <w:tcPr>
            <w:tcW w:w="1559" w:type="dxa"/>
            <w:tcBorders>
              <w:top w:val="single" w:sz="4" w:space="0" w:color="auto"/>
              <w:bottom w:val="single" w:sz="4" w:space="0" w:color="auto"/>
            </w:tcBorders>
          </w:tcPr>
          <w:p w14:paraId="59E42C4C" w14:textId="77777777" w:rsidR="00704AA8" w:rsidRPr="005B7E26" w:rsidRDefault="00704AA8" w:rsidP="000C4055">
            <w:pPr>
              <w:jc w:val="center"/>
              <w:rPr>
                <w:rFonts w:ascii="Arial" w:hAnsi="Arial" w:cs="Arial"/>
                <w:b/>
                <w:bCs/>
              </w:rPr>
            </w:pPr>
          </w:p>
          <w:p w14:paraId="06DDC780" w14:textId="718BEB5A" w:rsidR="00704AA8" w:rsidRPr="005B7E26" w:rsidRDefault="00B6656F" w:rsidP="000C4055">
            <w:pPr>
              <w:jc w:val="center"/>
              <w:rPr>
                <w:rFonts w:ascii="Arial" w:hAnsi="Arial" w:cs="Arial"/>
                <w:b/>
                <w:bCs/>
              </w:rPr>
            </w:pPr>
            <w:r>
              <w:rPr>
                <w:rFonts w:ascii="Arial" w:hAnsi="Arial" w:cs="Arial"/>
                <w:b/>
                <w:bCs/>
              </w:rPr>
              <w:t>62.3</w:t>
            </w:r>
          </w:p>
        </w:tc>
        <w:tc>
          <w:tcPr>
            <w:tcW w:w="3686" w:type="dxa"/>
            <w:tcBorders>
              <w:top w:val="single" w:sz="4" w:space="0" w:color="auto"/>
              <w:bottom w:val="single" w:sz="4" w:space="0" w:color="auto"/>
            </w:tcBorders>
            <w:shd w:val="clear" w:color="auto" w:fill="F2F2F2" w:themeFill="background1" w:themeFillShade="F2"/>
          </w:tcPr>
          <w:p w14:paraId="2DE35443" w14:textId="77777777" w:rsidR="00704AA8" w:rsidRPr="005B7E26" w:rsidRDefault="00704AA8" w:rsidP="000C4055">
            <w:pPr>
              <w:jc w:val="center"/>
              <w:rPr>
                <w:rFonts w:ascii="Arial" w:hAnsi="Arial" w:cs="Arial"/>
                <w:b/>
                <w:bCs/>
              </w:rPr>
            </w:pPr>
          </w:p>
          <w:p w14:paraId="5A5BC96D" w14:textId="2093BF0F" w:rsidR="00704AA8" w:rsidRPr="005B7E26" w:rsidRDefault="00B6656F" w:rsidP="000C4055">
            <w:pPr>
              <w:jc w:val="center"/>
              <w:rPr>
                <w:rFonts w:ascii="Arial" w:hAnsi="Arial" w:cs="Arial"/>
                <w:b/>
                <w:bCs/>
              </w:rPr>
            </w:pPr>
            <w:r>
              <w:rPr>
                <w:rFonts w:ascii="Arial" w:hAnsi="Arial" w:cs="Arial"/>
                <w:b/>
                <w:bCs/>
                <w:color w:val="FF0000"/>
              </w:rPr>
              <w:t>0.0</w:t>
            </w:r>
          </w:p>
        </w:tc>
      </w:tr>
      <w:tr w:rsidR="00704AA8" w:rsidRPr="00E72982" w14:paraId="2F89568E" w14:textId="77777777" w:rsidTr="006525AE">
        <w:trPr>
          <w:trHeight w:val="680"/>
        </w:trPr>
        <w:tc>
          <w:tcPr>
            <w:tcW w:w="3261" w:type="dxa"/>
            <w:tcBorders>
              <w:top w:val="single" w:sz="4" w:space="0" w:color="auto"/>
              <w:bottom w:val="single" w:sz="4" w:space="0" w:color="auto"/>
            </w:tcBorders>
            <w:vAlign w:val="center"/>
          </w:tcPr>
          <w:p w14:paraId="5087C78D" w14:textId="1E5D17A4" w:rsidR="00704AA8" w:rsidRPr="007307C2" w:rsidRDefault="00704AA8" w:rsidP="004457FB">
            <w:pPr>
              <w:rPr>
                <w:rFonts w:ascii="Arial" w:hAnsi="Arial" w:cs="Arial"/>
              </w:rPr>
            </w:pPr>
            <w:r w:rsidRPr="007307C2">
              <w:rPr>
                <w:rFonts w:ascii="Arial" w:hAnsi="Arial" w:cs="Arial"/>
              </w:rPr>
              <w:t xml:space="preserve">Lower quartile </w:t>
            </w:r>
            <w:r>
              <w:rPr>
                <w:rFonts w:ascii="Arial" w:hAnsi="Arial" w:cs="Arial"/>
              </w:rPr>
              <w:t xml:space="preserve">Q1 </w:t>
            </w:r>
            <w:r w:rsidRPr="007307C2">
              <w:rPr>
                <w:rFonts w:ascii="Arial" w:hAnsi="Arial" w:cs="Arial"/>
              </w:rPr>
              <w:t>(lowest paid)</w:t>
            </w:r>
          </w:p>
          <w:p w14:paraId="03FF4B76" w14:textId="5C0025CF" w:rsidR="00704AA8" w:rsidRPr="007307C2" w:rsidRDefault="00704AA8" w:rsidP="004457FB">
            <w:pPr>
              <w:rPr>
                <w:rFonts w:ascii="Arial" w:hAnsi="Arial" w:cs="Arial"/>
              </w:rPr>
            </w:pPr>
            <w:r w:rsidRPr="007307C2">
              <w:rPr>
                <w:rFonts w:ascii="Arial" w:hAnsi="Arial" w:cs="Arial"/>
              </w:rPr>
              <w:t xml:space="preserve">(Apprentice rate to Grade </w:t>
            </w:r>
            <w:r>
              <w:rPr>
                <w:rFonts w:ascii="Arial" w:hAnsi="Arial" w:cs="Arial"/>
              </w:rPr>
              <w:t>4</w:t>
            </w:r>
            <w:r w:rsidRPr="007307C2">
              <w:rPr>
                <w:rFonts w:ascii="Arial" w:hAnsi="Arial" w:cs="Arial"/>
              </w:rPr>
              <w:t>)</w:t>
            </w:r>
          </w:p>
        </w:tc>
        <w:tc>
          <w:tcPr>
            <w:tcW w:w="1134" w:type="dxa"/>
            <w:tcBorders>
              <w:top w:val="single" w:sz="4" w:space="0" w:color="auto"/>
              <w:bottom w:val="single" w:sz="4" w:space="0" w:color="auto"/>
            </w:tcBorders>
          </w:tcPr>
          <w:p w14:paraId="2F08E6F9" w14:textId="77777777" w:rsidR="00704AA8" w:rsidRPr="005B7E26" w:rsidRDefault="00704AA8" w:rsidP="000C4055">
            <w:pPr>
              <w:jc w:val="center"/>
              <w:rPr>
                <w:rFonts w:ascii="Arial" w:hAnsi="Arial" w:cs="Arial"/>
                <w:b/>
                <w:bCs/>
              </w:rPr>
            </w:pPr>
          </w:p>
          <w:p w14:paraId="7A81A004" w14:textId="695330FA" w:rsidR="00704AA8" w:rsidRPr="005B7E26" w:rsidRDefault="00B6656F" w:rsidP="000C4055">
            <w:pPr>
              <w:jc w:val="center"/>
              <w:rPr>
                <w:rFonts w:ascii="Arial" w:hAnsi="Arial" w:cs="Arial"/>
                <w:b/>
                <w:bCs/>
              </w:rPr>
            </w:pPr>
            <w:r>
              <w:rPr>
                <w:rFonts w:ascii="Arial" w:hAnsi="Arial" w:cs="Arial"/>
                <w:b/>
                <w:bCs/>
              </w:rPr>
              <w:t>41.5</w:t>
            </w:r>
          </w:p>
        </w:tc>
        <w:tc>
          <w:tcPr>
            <w:tcW w:w="1559" w:type="dxa"/>
            <w:tcBorders>
              <w:top w:val="single" w:sz="4" w:space="0" w:color="auto"/>
              <w:bottom w:val="single" w:sz="4" w:space="0" w:color="auto"/>
            </w:tcBorders>
          </w:tcPr>
          <w:p w14:paraId="3E56E970" w14:textId="77777777" w:rsidR="00704AA8" w:rsidRPr="005B7E26" w:rsidRDefault="00704AA8" w:rsidP="000C4055">
            <w:pPr>
              <w:jc w:val="center"/>
              <w:rPr>
                <w:rFonts w:ascii="Arial" w:hAnsi="Arial" w:cs="Arial"/>
                <w:b/>
                <w:bCs/>
              </w:rPr>
            </w:pPr>
          </w:p>
          <w:p w14:paraId="4AAC3F52" w14:textId="2F788CF0" w:rsidR="00704AA8" w:rsidRPr="005B7E26" w:rsidRDefault="00B6656F" w:rsidP="000C4055">
            <w:pPr>
              <w:jc w:val="center"/>
              <w:rPr>
                <w:rFonts w:ascii="Arial" w:hAnsi="Arial" w:cs="Arial"/>
                <w:b/>
                <w:bCs/>
              </w:rPr>
            </w:pPr>
            <w:r>
              <w:rPr>
                <w:rFonts w:ascii="Arial" w:hAnsi="Arial" w:cs="Arial"/>
                <w:b/>
                <w:bCs/>
              </w:rPr>
              <w:t>58.5</w:t>
            </w:r>
          </w:p>
        </w:tc>
        <w:tc>
          <w:tcPr>
            <w:tcW w:w="3686" w:type="dxa"/>
            <w:tcBorders>
              <w:top w:val="single" w:sz="4" w:space="0" w:color="auto"/>
              <w:bottom w:val="single" w:sz="4" w:space="0" w:color="auto"/>
            </w:tcBorders>
            <w:shd w:val="clear" w:color="auto" w:fill="F2F2F2" w:themeFill="background1" w:themeFillShade="F2"/>
          </w:tcPr>
          <w:p w14:paraId="7459789D" w14:textId="77777777" w:rsidR="00704AA8" w:rsidRPr="005B7E26" w:rsidRDefault="00704AA8" w:rsidP="000C4055">
            <w:pPr>
              <w:jc w:val="center"/>
              <w:rPr>
                <w:rFonts w:ascii="Arial" w:hAnsi="Arial" w:cs="Arial"/>
                <w:b/>
                <w:bCs/>
              </w:rPr>
            </w:pPr>
          </w:p>
          <w:p w14:paraId="75ABEF62" w14:textId="094B0D42" w:rsidR="00704AA8" w:rsidRPr="005B7E26" w:rsidRDefault="00B6656F" w:rsidP="000C4055">
            <w:pPr>
              <w:jc w:val="center"/>
              <w:rPr>
                <w:rFonts w:ascii="Arial" w:hAnsi="Arial" w:cs="Arial"/>
                <w:b/>
                <w:bCs/>
              </w:rPr>
            </w:pPr>
            <w:r>
              <w:rPr>
                <w:rFonts w:ascii="Arial" w:hAnsi="Arial" w:cs="Arial"/>
                <w:b/>
                <w:bCs/>
                <w:color w:val="FF0000"/>
              </w:rPr>
              <w:t>-3.9</w:t>
            </w:r>
          </w:p>
        </w:tc>
      </w:tr>
    </w:tbl>
    <w:p w14:paraId="42CA4FD7" w14:textId="77777777" w:rsidR="0070193E" w:rsidRDefault="0070193E" w:rsidP="00411F43">
      <w:pPr>
        <w:rPr>
          <w:rFonts w:ascii="Arial" w:hAnsi="Arial" w:cs="Arial"/>
          <w:sz w:val="24"/>
          <w:szCs w:val="24"/>
        </w:rPr>
      </w:pPr>
    </w:p>
    <w:p w14:paraId="6DBD97ED" w14:textId="77777777" w:rsidR="00534272" w:rsidRPr="00B718CE" w:rsidRDefault="00534272" w:rsidP="00534272">
      <w:pPr>
        <w:rPr>
          <w:rFonts w:ascii="Arial" w:hAnsi="Arial" w:cs="Arial"/>
          <w:sz w:val="24"/>
          <w:szCs w:val="24"/>
        </w:rPr>
      </w:pPr>
      <w:r w:rsidRPr="00B718CE">
        <w:rPr>
          <w:rFonts w:ascii="Arial" w:hAnsi="Arial" w:cs="Arial"/>
          <w:sz w:val="24"/>
          <w:szCs w:val="24"/>
        </w:rPr>
        <w:t xml:space="preserve">There continues to be a higher representation of male employees in the highest paid quartile The gap </w:t>
      </w:r>
      <w:r>
        <w:rPr>
          <w:rFonts w:ascii="Arial" w:hAnsi="Arial" w:cs="Arial"/>
          <w:sz w:val="24"/>
          <w:szCs w:val="24"/>
        </w:rPr>
        <w:t xml:space="preserve">in this quartile </w:t>
      </w:r>
      <w:r w:rsidRPr="00B718CE">
        <w:rPr>
          <w:rFonts w:ascii="Arial" w:hAnsi="Arial" w:cs="Arial"/>
          <w:sz w:val="24"/>
          <w:szCs w:val="24"/>
        </w:rPr>
        <w:t xml:space="preserve">has </w:t>
      </w:r>
      <w:r>
        <w:rPr>
          <w:rFonts w:ascii="Arial" w:hAnsi="Arial" w:cs="Arial"/>
          <w:sz w:val="24"/>
          <w:szCs w:val="24"/>
        </w:rPr>
        <w:t>widened</w:t>
      </w:r>
      <w:r w:rsidRPr="00B718CE">
        <w:rPr>
          <w:rFonts w:ascii="Arial" w:hAnsi="Arial" w:cs="Arial"/>
          <w:sz w:val="24"/>
          <w:szCs w:val="24"/>
        </w:rPr>
        <w:t xml:space="preserve"> in 2021</w:t>
      </w:r>
      <w:r>
        <w:rPr>
          <w:rFonts w:ascii="Arial" w:hAnsi="Arial" w:cs="Arial"/>
          <w:sz w:val="24"/>
          <w:szCs w:val="24"/>
        </w:rPr>
        <w:t>, whereas the gap has evened out for the other three quartiles.</w:t>
      </w:r>
      <w:r w:rsidRPr="00B718CE">
        <w:rPr>
          <w:rFonts w:ascii="Arial" w:hAnsi="Arial" w:cs="Arial"/>
          <w:sz w:val="24"/>
          <w:szCs w:val="24"/>
        </w:rPr>
        <w:t xml:space="preserve">  </w:t>
      </w:r>
    </w:p>
    <w:p w14:paraId="4F3BF65C" w14:textId="77777777" w:rsidR="00534272" w:rsidRDefault="00534272" w:rsidP="00411F43">
      <w:pPr>
        <w:rPr>
          <w:rFonts w:ascii="Arial" w:hAnsi="Arial" w:cs="Arial"/>
          <w:b/>
          <w:bCs/>
        </w:rPr>
      </w:pPr>
    </w:p>
    <w:p w14:paraId="73DA617E" w14:textId="77777777" w:rsidR="006525AE" w:rsidRDefault="0048739F" w:rsidP="00411F43">
      <w:pPr>
        <w:rPr>
          <w:rFonts w:ascii="Arial" w:hAnsi="Arial" w:cs="Arial"/>
          <w:sz w:val="24"/>
          <w:szCs w:val="24"/>
        </w:rPr>
      </w:pPr>
      <w:r w:rsidRPr="00B718CE">
        <w:rPr>
          <w:rFonts w:ascii="Arial" w:hAnsi="Arial" w:cs="Arial"/>
          <w:sz w:val="24"/>
          <w:szCs w:val="24"/>
        </w:rPr>
        <w:t xml:space="preserve">There is still a </w:t>
      </w:r>
      <w:r w:rsidR="00411F43" w:rsidRPr="00B718CE">
        <w:rPr>
          <w:rFonts w:ascii="Arial" w:hAnsi="Arial" w:cs="Arial"/>
          <w:sz w:val="24"/>
          <w:szCs w:val="24"/>
        </w:rPr>
        <w:t xml:space="preserve">higher representation of female employees </w:t>
      </w:r>
      <w:r w:rsidR="00DE095D" w:rsidRPr="00B718CE">
        <w:rPr>
          <w:rFonts w:ascii="Arial" w:hAnsi="Arial" w:cs="Arial"/>
          <w:sz w:val="24"/>
          <w:szCs w:val="24"/>
        </w:rPr>
        <w:t>in the upper middle quartile</w:t>
      </w:r>
      <w:r w:rsidRPr="00B718CE">
        <w:rPr>
          <w:rFonts w:ascii="Arial" w:hAnsi="Arial" w:cs="Arial"/>
          <w:sz w:val="24"/>
          <w:szCs w:val="24"/>
        </w:rPr>
        <w:t xml:space="preserve"> which highlights that there still exists </w:t>
      </w:r>
      <w:r w:rsidR="00411F43" w:rsidRPr="00B718CE">
        <w:rPr>
          <w:rFonts w:ascii="Arial" w:hAnsi="Arial" w:cs="Arial"/>
          <w:sz w:val="24"/>
          <w:szCs w:val="24"/>
        </w:rPr>
        <w:t>a gap for females</w:t>
      </w:r>
      <w:r w:rsidRPr="00B718CE">
        <w:rPr>
          <w:rFonts w:ascii="Arial" w:hAnsi="Arial" w:cs="Arial"/>
          <w:sz w:val="24"/>
          <w:szCs w:val="24"/>
        </w:rPr>
        <w:t xml:space="preserve"> between that upper middle quartile and the upper quartile</w:t>
      </w:r>
      <w:r w:rsidR="00847BB5" w:rsidRPr="00B718CE">
        <w:rPr>
          <w:rFonts w:ascii="Arial" w:hAnsi="Arial" w:cs="Arial"/>
          <w:sz w:val="24"/>
          <w:szCs w:val="24"/>
        </w:rPr>
        <w:t>, however this gap has reduced</w:t>
      </w:r>
      <w:r w:rsidR="00C300F6" w:rsidRPr="00B718CE">
        <w:rPr>
          <w:rFonts w:ascii="Arial" w:hAnsi="Arial" w:cs="Arial"/>
          <w:sz w:val="24"/>
          <w:szCs w:val="24"/>
        </w:rPr>
        <w:t xml:space="preserve"> </w:t>
      </w:r>
      <w:r w:rsidR="00B718CE" w:rsidRPr="00B718CE">
        <w:rPr>
          <w:rFonts w:ascii="Arial" w:hAnsi="Arial" w:cs="Arial"/>
          <w:sz w:val="24"/>
          <w:szCs w:val="24"/>
        </w:rPr>
        <w:t>over last 3 years</w:t>
      </w:r>
      <w:r w:rsidR="00847BB5" w:rsidRPr="00B718CE">
        <w:rPr>
          <w:rFonts w:ascii="Arial" w:hAnsi="Arial" w:cs="Arial"/>
          <w:sz w:val="24"/>
          <w:szCs w:val="24"/>
        </w:rPr>
        <w:t>.</w:t>
      </w:r>
      <w:r w:rsidR="006525AE" w:rsidRPr="006525AE">
        <w:rPr>
          <w:rFonts w:ascii="Arial" w:hAnsi="Arial" w:cs="Arial"/>
          <w:sz w:val="24"/>
          <w:szCs w:val="24"/>
        </w:rPr>
        <w:t xml:space="preserve"> </w:t>
      </w:r>
    </w:p>
    <w:p w14:paraId="3EA800EF" w14:textId="77777777" w:rsidR="006525AE" w:rsidRDefault="006525AE" w:rsidP="00411F43">
      <w:pPr>
        <w:rPr>
          <w:rFonts w:ascii="Arial" w:hAnsi="Arial" w:cs="Arial"/>
          <w:sz w:val="24"/>
          <w:szCs w:val="24"/>
        </w:rPr>
      </w:pPr>
    </w:p>
    <w:p w14:paraId="7BE510CE" w14:textId="0A97F7AA" w:rsidR="0048739F" w:rsidRDefault="006525AE" w:rsidP="00411F43">
      <w:pPr>
        <w:rPr>
          <w:rFonts w:ascii="Arial" w:hAnsi="Arial" w:cs="Arial"/>
          <w:sz w:val="24"/>
          <w:szCs w:val="24"/>
        </w:rPr>
      </w:pPr>
      <w:r w:rsidRPr="002C7845">
        <w:rPr>
          <w:rFonts w:ascii="Arial" w:hAnsi="Arial" w:cs="Arial"/>
          <w:sz w:val="24"/>
          <w:szCs w:val="24"/>
        </w:rPr>
        <w:t xml:space="preserve">It’s interesting to note that despite the increase in workforce being largely due to the TUPE of Residential Care (predominantly females in lower quartile, it is still our male employees who are </w:t>
      </w:r>
      <w:proofErr w:type="gramStart"/>
      <w:r w:rsidRPr="002C7845">
        <w:rPr>
          <w:rFonts w:ascii="Arial" w:hAnsi="Arial" w:cs="Arial"/>
          <w:sz w:val="24"/>
          <w:szCs w:val="24"/>
        </w:rPr>
        <w:t>over represented</w:t>
      </w:r>
      <w:proofErr w:type="gramEnd"/>
      <w:r w:rsidRPr="002C7845">
        <w:rPr>
          <w:rFonts w:ascii="Arial" w:hAnsi="Arial" w:cs="Arial"/>
          <w:sz w:val="24"/>
          <w:szCs w:val="24"/>
        </w:rPr>
        <w:t xml:space="preserve"> in the lower quartile, although this gap has reduced from 48.1% in 2020.  </w:t>
      </w:r>
    </w:p>
    <w:p w14:paraId="0B88DB14" w14:textId="1C493ADA" w:rsidR="00EC02FF" w:rsidRDefault="00EC02FF" w:rsidP="00411F43">
      <w:pPr>
        <w:rPr>
          <w:rFonts w:ascii="Arial" w:hAnsi="Arial" w:cs="Arial"/>
          <w:sz w:val="24"/>
          <w:szCs w:val="24"/>
        </w:rPr>
      </w:pPr>
    </w:p>
    <w:p w14:paraId="40637398" w14:textId="0715F4F1" w:rsidR="00EC02FF" w:rsidRDefault="00EC02FF" w:rsidP="00411F43">
      <w:pPr>
        <w:rPr>
          <w:rFonts w:ascii="Arial" w:hAnsi="Arial" w:cs="Arial"/>
          <w:b/>
          <w:bCs/>
          <w:sz w:val="24"/>
          <w:szCs w:val="24"/>
        </w:rPr>
      </w:pPr>
      <w:r w:rsidRPr="00693FA0">
        <w:rPr>
          <w:rFonts w:ascii="Arial" w:hAnsi="Arial" w:cs="Arial"/>
          <w:b/>
          <w:bCs/>
          <w:sz w:val="24"/>
          <w:szCs w:val="24"/>
        </w:rPr>
        <w:t>Quartile</w:t>
      </w:r>
      <w:r>
        <w:rPr>
          <w:rFonts w:ascii="Arial" w:hAnsi="Arial" w:cs="Arial"/>
          <w:b/>
          <w:bCs/>
          <w:sz w:val="24"/>
          <w:szCs w:val="24"/>
        </w:rPr>
        <w:t xml:space="preserve"> data of </w:t>
      </w:r>
      <w:r w:rsidRPr="00693FA0">
        <w:rPr>
          <w:rFonts w:ascii="Arial" w:hAnsi="Arial" w:cs="Arial"/>
          <w:b/>
          <w:bCs/>
          <w:sz w:val="24"/>
          <w:szCs w:val="24"/>
        </w:rPr>
        <w:t xml:space="preserve">male/female and full time/part time over the </w:t>
      </w:r>
      <w:r w:rsidR="00C755C2">
        <w:rPr>
          <w:rFonts w:ascii="Arial" w:hAnsi="Arial" w:cs="Arial"/>
          <w:b/>
          <w:bCs/>
          <w:sz w:val="24"/>
          <w:szCs w:val="24"/>
        </w:rPr>
        <w:t>5</w:t>
      </w:r>
      <w:r w:rsidR="00C755C2" w:rsidRPr="00693FA0">
        <w:rPr>
          <w:rFonts w:ascii="Arial" w:hAnsi="Arial" w:cs="Arial"/>
          <w:b/>
          <w:bCs/>
          <w:sz w:val="24"/>
          <w:szCs w:val="24"/>
        </w:rPr>
        <w:t xml:space="preserve"> </w:t>
      </w:r>
      <w:r w:rsidRPr="00693FA0">
        <w:rPr>
          <w:rFonts w:ascii="Arial" w:hAnsi="Arial" w:cs="Arial"/>
          <w:b/>
          <w:bCs/>
          <w:sz w:val="24"/>
          <w:szCs w:val="24"/>
        </w:rPr>
        <w:t>years</w:t>
      </w:r>
    </w:p>
    <w:p w14:paraId="61ED4AB6" w14:textId="67581044" w:rsidR="004A0F9F" w:rsidRDefault="004A0F9F" w:rsidP="00411F43">
      <w:pPr>
        <w:rPr>
          <w:rFonts w:ascii="Arial" w:hAnsi="Arial" w:cs="Arial"/>
          <w:b/>
          <w:bCs/>
          <w:sz w:val="24"/>
          <w:szCs w:val="24"/>
        </w:rPr>
      </w:pPr>
    </w:p>
    <w:p w14:paraId="47BEEA16" w14:textId="3A156AB5" w:rsidR="00EC038A" w:rsidRPr="00CE109C" w:rsidRDefault="00EC038A" w:rsidP="00693FA0">
      <w:pPr>
        <w:rPr>
          <w:rFonts w:ascii="Arial" w:hAnsi="Arial" w:cs="Arial"/>
          <w:sz w:val="24"/>
          <w:szCs w:val="24"/>
          <w:highlight w:val="yellow"/>
        </w:rPr>
      </w:pPr>
      <w:r w:rsidRPr="00B718CE">
        <w:rPr>
          <w:rFonts w:ascii="Arial" w:hAnsi="Arial" w:cs="Arial"/>
          <w:sz w:val="24"/>
          <w:szCs w:val="24"/>
        </w:rPr>
        <w:t xml:space="preserve">Many of the jobs that are available across the UK on a part-time basis are in the lower and middle paid roles rather than the senior higher paid roles and this is regarded as a key contributing factor in a gender pay gap as it can be a barrier to females accessing senior </w:t>
      </w:r>
      <w:r w:rsidRPr="002C7845">
        <w:rPr>
          <w:rFonts w:ascii="Arial" w:hAnsi="Arial" w:cs="Arial"/>
          <w:sz w:val="24"/>
          <w:szCs w:val="24"/>
        </w:rPr>
        <w:t xml:space="preserve">roles. </w:t>
      </w:r>
    </w:p>
    <w:p w14:paraId="3874ECFA" w14:textId="77777777" w:rsidR="004A0F9F" w:rsidRPr="00CE109C" w:rsidRDefault="004A0F9F" w:rsidP="00693FA0">
      <w:pPr>
        <w:ind w:left="142"/>
        <w:rPr>
          <w:rFonts w:ascii="Arial" w:hAnsi="Arial" w:cs="Arial"/>
          <w:b/>
          <w:bCs/>
          <w:sz w:val="24"/>
          <w:szCs w:val="24"/>
          <w:highlight w:val="yellow"/>
        </w:rPr>
      </w:pPr>
    </w:p>
    <w:p w14:paraId="2E144DFA" w14:textId="1E8DFD9D" w:rsidR="00EC038A" w:rsidRPr="007003BE" w:rsidRDefault="00EC038A" w:rsidP="00693FA0">
      <w:pPr>
        <w:rPr>
          <w:rFonts w:ascii="Arial" w:hAnsi="Arial" w:cs="Arial"/>
          <w:sz w:val="24"/>
          <w:szCs w:val="24"/>
        </w:rPr>
      </w:pPr>
      <w:r w:rsidRPr="007003BE">
        <w:rPr>
          <w:rFonts w:ascii="Arial" w:hAnsi="Arial" w:cs="Arial"/>
          <w:sz w:val="24"/>
          <w:szCs w:val="24"/>
        </w:rPr>
        <w:t xml:space="preserve">B&amp;NES Council supports part time and other forms of flexible </w:t>
      </w:r>
      <w:proofErr w:type="gramStart"/>
      <w:r w:rsidRPr="007003BE">
        <w:rPr>
          <w:rFonts w:ascii="Arial" w:hAnsi="Arial" w:cs="Arial"/>
          <w:sz w:val="24"/>
          <w:szCs w:val="24"/>
        </w:rPr>
        <w:t>working,</w:t>
      </w:r>
      <w:proofErr w:type="gramEnd"/>
      <w:r w:rsidRPr="007003BE">
        <w:rPr>
          <w:rFonts w:ascii="Arial" w:hAnsi="Arial" w:cs="Arial"/>
          <w:sz w:val="24"/>
          <w:szCs w:val="24"/>
        </w:rPr>
        <w:t xml:space="preserve"> however the quartiles data shows that there </w:t>
      </w:r>
      <w:r w:rsidR="007003BE" w:rsidRPr="007003BE">
        <w:rPr>
          <w:rFonts w:ascii="Arial" w:hAnsi="Arial" w:cs="Arial"/>
          <w:sz w:val="24"/>
          <w:szCs w:val="24"/>
        </w:rPr>
        <w:t xml:space="preserve">continues to be </w:t>
      </w:r>
      <w:r w:rsidRPr="007003BE">
        <w:rPr>
          <w:rFonts w:ascii="Arial" w:hAnsi="Arial" w:cs="Arial"/>
          <w:sz w:val="24"/>
          <w:szCs w:val="24"/>
        </w:rPr>
        <w:t xml:space="preserve">more part time roles in the lowest quartile.  As the hourly rate increases so does the number of </w:t>
      </w:r>
      <w:proofErr w:type="gramStart"/>
      <w:r w:rsidRPr="007003BE">
        <w:rPr>
          <w:rFonts w:ascii="Arial" w:hAnsi="Arial" w:cs="Arial"/>
          <w:sz w:val="24"/>
          <w:szCs w:val="24"/>
        </w:rPr>
        <w:t>full time</w:t>
      </w:r>
      <w:proofErr w:type="gramEnd"/>
      <w:r w:rsidRPr="007003BE">
        <w:rPr>
          <w:rFonts w:ascii="Arial" w:hAnsi="Arial" w:cs="Arial"/>
          <w:sz w:val="24"/>
          <w:szCs w:val="24"/>
        </w:rPr>
        <w:t xml:space="preserve"> roles (the number of part time roles decrease).</w:t>
      </w:r>
    </w:p>
    <w:p w14:paraId="55ADBD62" w14:textId="77777777" w:rsidR="00EC038A" w:rsidRPr="00CE109C" w:rsidRDefault="00EC038A" w:rsidP="00EC038A">
      <w:pPr>
        <w:rPr>
          <w:rFonts w:ascii="Arial" w:hAnsi="Arial" w:cs="Arial"/>
          <w:sz w:val="24"/>
          <w:szCs w:val="24"/>
          <w:highlight w:val="yellow"/>
        </w:rPr>
      </w:pPr>
    </w:p>
    <w:p w14:paraId="11FCCB3C" w14:textId="4EBA79D2" w:rsidR="00EC038A" w:rsidRDefault="00EC038A" w:rsidP="003211B3">
      <w:pPr>
        <w:rPr>
          <w:rFonts w:ascii="Arial" w:hAnsi="Arial" w:cs="Arial"/>
          <w:sz w:val="24"/>
          <w:szCs w:val="24"/>
          <w:lang w:val="en"/>
        </w:rPr>
      </w:pPr>
      <w:r w:rsidRPr="007003BE">
        <w:rPr>
          <w:rFonts w:ascii="Arial" w:hAnsi="Arial" w:cs="Arial"/>
          <w:sz w:val="24"/>
          <w:szCs w:val="24"/>
          <w:lang w:val="en"/>
        </w:rPr>
        <w:t xml:space="preserve">Across these quartiles, the trend </w:t>
      </w:r>
      <w:r w:rsidR="007003BE" w:rsidRPr="007003BE">
        <w:rPr>
          <w:rFonts w:ascii="Arial" w:hAnsi="Arial" w:cs="Arial"/>
          <w:sz w:val="24"/>
          <w:szCs w:val="24"/>
          <w:lang w:val="en"/>
        </w:rPr>
        <w:t xml:space="preserve">continues </w:t>
      </w:r>
      <w:proofErr w:type="gramStart"/>
      <w:r w:rsidR="007003BE" w:rsidRPr="007003BE">
        <w:rPr>
          <w:rFonts w:ascii="Arial" w:hAnsi="Arial" w:cs="Arial"/>
          <w:sz w:val="24"/>
          <w:szCs w:val="24"/>
          <w:lang w:val="en"/>
        </w:rPr>
        <w:t>that</w:t>
      </w:r>
      <w:r w:rsidRPr="007003BE">
        <w:rPr>
          <w:rFonts w:ascii="Arial" w:hAnsi="Arial" w:cs="Arial"/>
          <w:sz w:val="24"/>
          <w:szCs w:val="24"/>
          <w:lang w:val="en"/>
        </w:rPr>
        <w:t xml:space="preserve"> part-time posts</w:t>
      </w:r>
      <w:proofErr w:type="gramEnd"/>
      <w:r w:rsidRPr="007003BE">
        <w:rPr>
          <w:rFonts w:ascii="Arial" w:hAnsi="Arial" w:cs="Arial"/>
          <w:sz w:val="24"/>
          <w:szCs w:val="24"/>
          <w:lang w:val="en"/>
        </w:rPr>
        <w:t xml:space="preserve"> are more likely to be filled by females.</w:t>
      </w:r>
      <w:r w:rsidRPr="00B718CE">
        <w:rPr>
          <w:rFonts w:ascii="Arial" w:hAnsi="Arial" w:cs="Arial"/>
          <w:sz w:val="24"/>
          <w:szCs w:val="24"/>
          <w:lang w:val="en"/>
        </w:rPr>
        <w:t xml:space="preserve">  It could be that females are more attracted to positions in these quartiles because of the greater opportunity for working part time and more flexibly.  Of course, flexible working isn’t just about part time hours and the data doesn’t show how other forms of flexible working are supported, </w:t>
      </w:r>
      <w:proofErr w:type="spellStart"/>
      <w:proofErr w:type="gramStart"/>
      <w:r w:rsidRPr="00B718CE">
        <w:rPr>
          <w:rFonts w:ascii="Arial" w:hAnsi="Arial" w:cs="Arial"/>
          <w:sz w:val="24"/>
          <w:szCs w:val="24"/>
          <w:lang w:val="en"/>
        </w:rPr>
        <w:t>eg</w:t>
      </w:r>
      <w:proofErr w:type="spellEnd"/>
      <w:proofErr w:type="gramEnd"/>
      <w:r w:rsidRPr="00B718CE">
        <w:rPr>
          <w:rFonts w:ascii="Arial" w:hAnsi="Arial" w:cs="Arial"/>
          <w:sz w:val="24"/>
          <w:szCs w:val="24"/>
          <w:lang w:val="en"/>
        </w:rPr>
        <w:t xml:space="preserve"> </w:t>
      </w:r>
      <w:r w:rsidR="008C4810" w:rsidRPr="00B718CE">
        <w:rPr>
          <w:rFonts w:ascii="Arial" w:hAnsi="Arial" w:cs="Arial"/>
          <w:sz w:val="24"/>
          <w:szCs w:val="24"/>
          <w:lang w:val="en"/>
        </w:rPr>
        <w:t>flexible location</w:t>
      </w:r>
      <w:r w:rsidR="00013CF9" w:rsidRPr="00B718CE">
        <w:rPr>
          <w:rFonts w:ascii="Arial" w:hAnsi="Arial" w:cs="Arial"/>
          <w:sz w:val="24"/>
          <w:szCs w:val="24"/>
          <w:lang w:val="en"/>
        </w:rPr>
        <w:t xml:space="preserve"> with blended working, </w:t>
      </w:r>
      <w:r w:rsidRPr="00B718CE">
        <w:rPr>
          <w:rFonts w:ascii="Arial" w:hAnsi="Arial" w:cs="Arial"/>
          <w:sz w:val="24"/>
          <w:szCs w:val="24"/>
          <w:lang w:val="en"/>
        </w:rPr>
        <w:t>condensed hours in the form of a 4 day week or 9 day fortnight, or working flexible hours throughout a longer day.</w:t>
      </w:r>
    </w:p>
    <w:p w14:paraId="6810E592" w14:textId="77777777" w:rsidR="008B6CDD" w:rsidRDefault="008B6CDD" w:rsidP="003211B3">
      <w:pPr>
        <w:rPr>
          <w:rFonts w:ascii="Arial" w:hAnsi="Arial" w:cs="Arial"/>
          <w:b/>
          <w:bCs/>
          <w:lang w:val="en"/>
        </w:rPr>
      </w:pPr>
    </w:p>
    <w:p w14:paraId="3F3256FC" w14:textId="6B43F2B2" w:rsidR="00534272" w:rsidRDefault="0027216B" w:rsidP="003211B3">
      <w:pPr>
        <w:rPr>
          <w:rFonts w:ascii="Arial" w:hAnsi="Arial" w:cs="Arial"/>
          <w:b/>
          <w:bCs/>
          <w:lang w:val="en"/>
        </w:rPr>
      </w:pPr>
      <w:r w:rsidRPr="00693FA0">
        <w:rPr>
          <w:rFonts w:ascii="Arial" w:hAnsi="Arial" w:cs="Arial"/>
          <w:b/>
          <w:bCs/>
          <w:lang w:val="en"/>
        </w:rPr>
        <w:lastRenderedPageBreak/>
        <w:t xml:space="preserve">Figure </w:t>
      </w:r>
      <w:r w:rsidR="00743FD4">
        <w:rPr>
          <w:rFonts w:ascii="Arial" w:hAnsi="Arial" w:cs="Arial"/>
          <w:b/>
          <w:bCs/>
          <w:lang w:val="en"/>
        </w:rPr>
        <w:t>4</w:t>
      </w:r>
    </w:p>
    <w:p w14:paraId="18CFD89C" w14:textId="570FAA7C" w:rsidR="00534272" w:rsidRDefault="000F0891" w:rsidP="003211B3">
      <w:pPr>
        <w:rPr>
          <w:rFonts w:ascii="Arial" w:hAnsi="Arial" w:cs="Arial"/>
          <w:b/>
          <w:bCs/>
          <w:lang w:val="en"/>
        </w:rPr>
      </w:pPr>
      <w:r w:rsidRPr="000F0891">
        <w:rPr>
          <w:rFonts w:ascii="Arial" w:hAnsi="Arial" w:cs="Arial"/>
          <w:b/>
          <w:bCs/>
          <w:noProof/>
          <w:lang w:val="en"/>
        </w:rPr>
        <w:drawing>
          <wp:inline distT="0" distB="0" distL="0" distR="0" wp14:anchorId="0F0C4203" wp14:editId="0A4B4202">
            <wp:extent cx="6777721" cy="4076508"/>
            <wp:effectExtent l="0" t="0" r="4445"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795132" cy="4086980"/>
                    </a:xfrm>
                    <a:prstGeom prst="rect">
                      <a:avLst/>
                    </a:prstGeom>
                  </pic:spPr>
                </pic:pic>
              </a:graphicData>
            </a:graphic>
          </wp:inline>
        </w:drawing>
      </w:r>
    </w:p>
    <w:p w14:paraId="236F973B" w14:textId="06EFCAF4" w:rsidR="00EC038A" w:rsidRPr="00693FA0" w:rsidRDefault="00EC038A" w:rsidP="00EC038A">
      <w:pPr>
        <w:rPr>
          <w:rFonts w:ascii="Arial" w:hAnsi="Arial" w:cs="Arial"/>
        </w:rPr>
      </w:pPr>
      <w:r w:rsidRPr="00693FA0">
        <w:rPr>
          <w:rFonts w:ascii="Arial" w:hAnsi="Arial" w:cs="Arial"/>
          <w:b/>
          <w:bCs/>
        </w:rPr>
        <w:t>Note</w:t>
      </w:r>
      <w:r w:rsidRPr="00693FA0">
        <w:rPr>
          <w:rFonts w:ascii="Arial" w:hAnsi="Arial" w:cs="Arial"/>
        </w:rPr>
        <w:t xml:space="preserve">: there is no number shown when the number is less than </w:t>
      </w:r>
      <w:r w:rsidR="00431170">
        <w:rPr>
          <w:rFonts w:ascii="Arial" w:hAnsi="Arial" w:cs="Arial"/>
        </w:rPr>
        <w:t>30</w:t>
      </w:r>
      <w:r w:rsidRPr="00693FA0">
        <w:rPr>
          <w:rFonts w:ascii="Arial" w:hAnsi="Arial" w:cs="Arial"/>
        </w:rPr>
        <w:t xml:space="preserve">  </w:t>
      </w:r>
    </w:p>
    <w:p w14:paraId="3355FA36" w14:textId="046CB573" w:rsidR="00C300F6" w:rsidRDefault="00C300F6" w:rsidP="00411F43">
      <w:pPr>
        <w:rPr>
          <w:rFonts w:ascii="Arial" w:hAnsi="Arial" w:cs="Arial"/>
          <w:sz w:val="24"/>
          <w:szCs w:val="24"/>
        </w:rPr>
      </w:pPr>
    </w:p>
    <w:p w14:paraId="5EBB9E8F" w14:textId="3DCA3113" w:rsidR="00801CFB" w:rsidRPr="00693FA0" w:rsidRDefault="00801CFB" w:rsidP="00411F43">
      <w:pPr>
        <w:rPr>
          <w:rFonts w:ascii="Arial" w:hAnsi="Arial" w:cs="Arial"/>
          <w:b/>
          <w:bCs/>
          <w:sz w:val="24"/>
          <w:szCs w:val="24"/>
        </w:rPr>
      </w:pPr>
      <w:r w:rsidRPr="00693FA0">
        <w:rPr>
          <w:rFonts w:ascii="Arial" w:hAnsi="Arial" w:cs="Arial"/>
          <w:b/>
          <w:bCs/>
          <w:sz w:val="24"/>
          <w:szCs w:val="24"/>
        </w:rPr>
        <w:t>Highest Paid Employees</w:t>
      </w:r>
    </w:p>
    <w:p w14:paraId="4749E26B" w14:textId="77777777" w:rsidR="00801CFB" w:rsidRDefault="00801CFB" w:rsidP="00411F43">
      <w:pPr>
        <w:rPr>
          <w:rFonts w:ascii="Arial" w:hAnsi="Arial" w:cs="Arial"/>
          <w:sz w:val="24"/>
          <w:szCs w:val="24"/>
        </w:rPr>
      </w:pPr>
    </w:p>
    <w:p w14:paraId="0DE3C9C4" w14:textId="5FD32914" w:rsidR="00C3006E" w:rsidRDefault="00F5208E" w:rsidP="000271B0">
      <w:pPr>
        <w:rPr>
          <w:rFonts w:ascii="Arial" w:hAnsi="Arial" w:cs="Arial"/>
          <w:sz w:val="24"/>
          <w:szCs w:val="24"/>
          <w:lang w:val="en"/>
        </w:rPr>
      </w:pPr>
      <w:r>
        <w:rPr>
          <w:rFonts w:ascii="Arial" w:hAnsi="Arial" w:cs="Arial"/>
          <w:sz w:val="24"/>
          <w:szCs w:val="24"/>
          <w:lang w:val="en"/>
        </w:rPr>
        <w:t>Further</w:t>
      </w:r>
      <w:r w:rsidR="00B526B7">
        <w:rPr>
          <w:rFonts w:ascii="Arial" w:hAnsi="Arial" w:cs="Arial"/>
          <w:sz w:val="24"/>
          <w:szCs w:val="24"/>
          <w:lang w:val="en"/>
        </w:rPr>
        <w:t xml:space="preserve"> </w:t>
      </w:r>
      <w:r w:rsidR="00303CD1">
        <w:rPr>
          <w:rFonts w:ascii="Arial" w:hAnsi="Arial" w:cs="Arial"/>
          <w:sz w:val="24"/>
          <w:szCs w:val="24"/>
          <w:lang w:val="en"/>
        </w:rPr>
        <w:t>analysis</w:t>
      </w:r>
      <w:r w:rsidR="00B526B7">
        <w:rPr>
          <w:rFonts w:ascii="Arial" w:hAnsi="Arial" w:cs="Arial"/>
          <w:sz w:val="24"/>
          <w:szCs w:val="24"/>
          <w:lang w:val="en"/>
        </w:rPr>
        <w:t xml:space="preserve"> </w:t>
      </w:r>
      <w:r w:rsidR="007203FF">
        <w:rPr>
          <w:rFonts w:ascii="Arial" w:hAnsi="Arial" w:cs="Arial"/>
          <w:sz w:val="24"/>
          <w:szCs w:val="24"/>
          <w:lang w:val="en"/>
        </w:rPr>
        <w:t>of the</w:t>
      </w:r>
      <w:r w:rsidR="00801CFB">
        <w:rPr>
          <w:rFonts w:ascii="Arial" w:hAnsi="Arial" w:cs="Arial"/>
          <w:sz w:val="24"/>
          <w:szCs w:val="24"/>
          <w:lang w:val="en"/>
        </w:rPr>
        <w:t xml:space="preserve"> top end of the</w:t>
      </w:r>
      <w:r w:rsidR="007203FF">
        <w:rPr>
          <w:rFonts w:ascii="Arial" w:hAnsi="Arial" w:cs="Arial"/>
          <w:sz w:val="24"/>
          <w:szCs w:val="24"/>
          <w:lang w:val="en"/>
        </w:rPr>
        <w:t xml:space="preserve"> upper quartile (highest paid)</w:t>
      </w:r>
      <w:r w:rsidR="00801CFB">
        <w:rPr>
          <w:rFonts w:ascii="Arial" w:hAnsi="Arial" w:cs="Arial"/>
          <w:sz w:val="24"/>
          <w:szCs w:val="24"/>
          <w:lang w:val="en"/>
        </w:rPr>
        <w:t>,</w:t>
      </w:r>
      <w:r w:rsidR="00B526B7">
        <w:rPr>
          <w:rFonts w:ascii="Arial" w:hAnsi="Arial" w:cs="Arial"/>
          <w:sz w:val="24"/>
          <w:szCs w:val="24"/>
          <w:lang w:val="en"/>
        </w:rPr>
        <w:t xml:space="preserve"> the</w:t>
      </w:r>
      <w:r w:rsidR="00EC02FF">
        <w:rPr>
          <w:rFonts w:ascii="Arial" w:hAnsi="Arial" w:cs="Arial"/>
          <w:sz w:val="24"/>
          <w:szCs w:val="24"/>
          <w:lang w:val="en"/>
        </w:rPr>
        <w:t xml:space="preserve"> higher up the salary scale the</w:t>
      </w:r>
      <w:r w:rsidR="00B526B7">
        <w:rPr>
          <w:rFonts w:ascii="Arial" w:hAnsi="Arial" w:cs="Arial"/>
          <w:sz w:val="24"/>
          <w:szCs w:val="24"/>
          <w:lang w:val="en"/>
        </w:rPr>
        <w:t xml:space="preserve"> more sign</w:t>
      </w:r>
      <w:r w:rsidR="007203FF">
        <w:rPr>
          <w:rFonts w:ascii="Arial" w:hAnsi="Arial" w:cs="Arial"/>
          <w:sz w:val="24"/>
          <w:szCs w:val="24"/>
          <w:lang w:val="en"/>
        </w:rPr>
        <w:t>i</w:t>
      </w:r>
      <w:r w:rsidR="00B526B7">
        <w:rPr>
          <w:rFonts w:ascii="Arial" w:hAnsi="Arial" w:cs="Arial"/>
          <w:sz w:val="24"/>
          <w:szCs w:val="24"/>
          <w:lang w:val="en"/>
        </w:rPr>
        <w:t>ficant the gap</w:t>
      </w:r>
    </w:p>
    <w:p w14:paraId="73B4C188" w14:textId="77777777" w:rsidR="002C7845" w:rsidRDefault="002C7845" w:rsidP="000271B0">
      <w:pPr>
        <w:rPr>
          <w:rFonts w:ascii="Arial" w:hAnsi="Arial" w:cs="Arial"/>
          <w:b/>
          <w:bCs/>
          <w:lang w:val="en"/>
        </w:rPr>
      </w:pPr>
    </w:p>
    <w:p w14:paraId="052531B5" w14:textId="6B7B4937" w:rsidR="00EC02FF" w:rsidRDefault="00F5208E" w:rsidP="000271B0">
      <w:pPr>
        <w:rPr>
          <w:noProof/>
        </w:rPr>
      </w:pPr>
      <w:r w:rsidRPr="00693FA0">
        <w:rPr>
          <w:rFonts w:ascii="Arial" w:hAnsi="Arial" w:cs="Arial"/>
          <w:b/>
          <w:bCs/>
          <w:lang w:val="en"/>
        </w:rPr>
        <w:t xml:space="preserve">Figure </w:t>
      </w:r>
      <w:r w:rsidR="002C7845">
        <w:rPr>
          <w:rFonts w:ascii="Arial" w:hAnsi="Arial" w:cs="Arial"/>
          <w:b/>
          <w:bCs/>
          <w:lang w:val="en"/>
        </w:rPr>
        <w:t>5</w:t>
      </w:r>
      <w:r w:rsidR="000F4453">
        <w:rPr>
          <w:rFonts w:ascii="Arial" w:hAnsi="Arial" w:cs="Arial"/>
          <w:b/>
          <w:bCs/>
          <w:lang w:val="en"/>
        </w:rPr>
        <w:t xml:space="preserve"> – Highest Paid Employees (%)</w:t>
      </w:r>
    </w:p>
    <w:p w14:paraId="5DDB6E62" w14:textId="69414618" w:rsidR="00431170" w:rsidRDefault="00431170" w:rsidP="000271B0">
      <w:pPr>
        <w:rPr>
          <w:noProof/>
        </w:rPr>
      </w:pPr>
    </w:p>
    <w:p w14:paraId="712D499F" w14:textId="5152F118" w:rsidR="00431170" w:rsidRDefault="002C7845" w:rsidP="000271B0">
      <w:pPr>
        <w:rPr>
          <w:noProof/>
        </w:rPr>
      </w:pPr>
      <w:r w:rsidRPr="002C7845">
        <w:rPr>
          <w:noProof/>
        </w:rPr>
        <w:drawing>
          <wp:inline distT="0" distB="0" distL="0" distR="0" wp14:anchorId="75F8118A" wp14:editId="2ED864BC">
            <wp:extent cx="6695495" cy="36385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707251" cy="3644939"/>
                    </a:xfrm>
                    <a:prstGeom prst="rect">
                      <a:avLst/>
                    </a:prstGeom>
                  </pic:spPr>
                </pic:pic>
              </a:graphicData>
            </a:graphic>
          </wp:inline>
        </w:drawing>
      </w:r>
    </w:p>
    <w:p w14:paraId="2FE7DE08" w14:textId="77777777" w:rsidR="00431170" w:rsidRDefault="00431170" w:rsidP="000271B0">
      <w:pPr>
        <w:rPr>
          <w:rFonts w:ascii="Arial" w:hAnsi="Arial" w:cs="Arial"/>
          <w:sz w:val="24"/>
          <w:szCs w:val="24"/>
          <w:lang w:val="en"/>
        </w:rPr>
      </w:pPr>
    </w:p>
    <w:p w14:paraId="54084BB7" w14:textId="3BE92639" w:rsidR="00D22F4C" w:rsidRPr="001C647C" w:rsidRDefault="00022937" w:rsidP="00EE6918">
      <w:pPr>
        <w:rPr>
          <w:rFonts w:ascii="Arial" w:hAnsi="Arial" w:cs="Arial"/>
          <w:b/>
          <w:sz w:val="24"/>
          <w:szCs w:val="24"/>
        </w:rPr>
      </w:pPr>
      <w:r w:rsidRPr="001C647C">
        <w:rPr>
          <w:rFonts w:ascii="Arial" w:hAnsi="Arial" w:cs="Arial"/>
          <w:b/>
          <w:sz w:val="24"/>
          <w:szCs w:val="24"/>
        </w:rPr>
        <w:t xml:space="preserve">What is </w:t>
      </w:r>
      <w:r w:rsidR="005E34DD" w:rsidRPr="005E34DD">
        <w:rPr>
          <w:rFonts w:ascii="Arial" w:hAnsi="Arial" w:cs="Arial"/>
          <w:b/>
          <w:sz w:val="24"/>
          <w:szCs w:val="24"/>
        </w:rPr>
        <w:t>B&amp;NES Council</w:t>
      </w:r>
      <w:r w:rsidR="005E34DD">
        <w:rPr>
          <w:rFonts w:ascii="Arial" w:hAnsi="Arial" w:cs="Arial"/>
          <w:sz w:val="24"/>
          <w:szCs w:val="24"/>
        </w:rPr>
        <w:t xml:space="preserve"> </w:t>
      </w:r>
      <w:r w:rsidRPr="001C647C">
        <w:rPr>
          <w:rFonts w:ascii="Arial" w:hAnsi="Arial" w:cs="Arial"/>
          <w:b/>
          <w:sz w:val="24"/>
          <w:szCs w:val="24"/>
        </w:rPr>
        <w:t>doing to address its gender pay gap?</w:t>
      </w:r>
    </w:p>
    <w:p w14:paraId="5D4D88EA" w14:textId="77777777" w:rsidR="005F3865" w:rsidRPr="004D6275" w:rsidRDefault="005E34DD" w:rsidP="005F3865">
      <w:pPr>
        <w:shd w:val="clear" w:color="auto" w:fill="FFFFFF"/>
        <w:spacing w:before="100" w:beforeAutospacing="1" w:after="180"/>
        <w:rPr>
          <w:rFonts w:ascii="Arial" w:hAnsi="Arial" w:cs="Arial"/>
          <w:sz w:val="24"/>
          <w:szCs w:val="24"/>
        </w:rPr>
      </w:pPr>
      <w:r>
        <w:rPr>
          <w:rFonts w:ascii="Arial" w:hAnsi="Arial" w:cs="Arial"/>
          <w:sz w:val="24"/>
          <w:szCs w:val="24"/>
        </w:rPr>
        <w:t xml:space="preserve">B&amp;NES Council </w:t>
      </w:r>
      <w:r w:rsidR="005F3865" w:rsidRPr="004D6275">
        <w:rPr>
          <w:rFonts w:ascii="Arial" w:hAnsi="Arial" w:cs="Arial"/>
          <w:sz w:val="24"/>
          <w:szCs w:val="24"/>
        </w:rPr>
        <w:t>is committed to the principle of equal opportunities and equal treatment for all employees, regardless of sex, race, religion or belief, age, marriage or civil partnership, pregnancy/maternity, sexual orientation, gender reassignment or disability. It has a clear policy of paying employees equally for the same or equivalent work, regardless of their sex (or any other characteristic set out above). As such, it evaluates job roles and pay grades using the HAY job evaluation</w:t>
      </w:r>
      <w:r w:rsidR="005F3865" w:rsidRPr="00FA283D">
        <w:rPr>
          <w:rStyle w:val="FootnoteReference"/>
          <w:rFonts w:ascii="Arial" w:hAnsi="Arial" w:cs="Arial"/>
          <w:sz w:val="24"/>
          <w:szCs w:val="24"/>
        </w:rPr>
        <w:footnoteReference w:id="4"/>
      </w:r>
      <w:r w:rsidR="005F3865">
        <w:rPr>
          <w:rFonts w:ascii="Arial" w:hAnsi="Arial" w:cs="Arial"/>
          <w:sz w:val="24"/>
          <w:szCs w:val="24"/>
        </w:rPr>
        <w:t xml:space="preserve"> </w:t>
      </w:r>
      <w:r w:rsidR="005F3865" w:rsidRPr="004D6275">
        <w:rPr>
          <w:rFonts w:ascii="Arial" w:hAnsi="Arial" w:cs="Arial"/>
          <w:sz w:val="24"/>
          <w:szCs w:val="24"/>
        </w:rPr>
        <w:t xml:space="preserve"> </w:t>
      </w:r>
      <w:r w:rsidR="005F3865">
        <w:rPr>
          <w:rFonts w:ascii="Arial" w:hAnsi="Arial" w:cs="Arial"/>
          <w:sz w:val="24"/>
          <w:szCs w:val="24"/>
        </w:rPr>
        <w:t xml:space="preserve">analytical </w:t>
      </w:r>
      <w:r w:rsidR="005F3865" w:rsidRPr="004D6275">
        <w:rPr>
          <w:rFonts w:ascii="Arial" w:hAnsi="Arial" w:cs="Arial"/>
          <w:sz w:val="24"/>
          <w:szCs w:val="24"/>
        </w:rPr>
        <w:t xml:space="preserve">methodology to ensure a fair </w:t>
      </w:r>
      <w:r w:rsidR="005F3865">
        <w:rPr>
          <w:rFonts w:ascii="Arial" w:hAnsi="Arial" w:cs="Arial"/>
          <w:sz w:val="24"/>
          <w:szCs w:val="24"/>
        </w:rPr>
        <w:t xml:space="preserve">and consistent </w:t>
      </w:r>
      <w:r w:rsidR="005F3865" w:rsidRPr="004D6275">
        <w:rPr>
          <w:rFonts w:ascii="Arial" w:hAnsi="Arial" w:cs="Arial"/>
          <w:sz w:val="24"/>
          <w:szCs w:val="24"/>
        </w:rPr>
        <w:t>pay structure.</w:t>
      </w:r>
    </w:p>
    <w:p w14:paraId="028A6642" w14:textId="77777777" w:rsidR="005F3865" w:rsidRDefault="005E34DD" w:rsidP="005F3865">
      <w:pPr>
        <w:rPr>
          <w:rFonts w:ascii="Arial" w:hAnsi="Arial" w:cs="Arial"/>
          <w:sz w:val="24"/>
          <w:szCs w:val="24"/>
        </w:rPr>
      </w:pPr>
      <w:r>
        <w:rPr>
          <w:rFonts w:ascii="Arial" w:hAnsi="Arial" w:cs="Arial"/>
          <w:sz w:val="24"/>
          <w:szCs w:val="24"/>
        </w:rPr>
        <w:t xml:space="preserve">B&amp;NES Council </w:t>
      </w:r>
      <w:r w:rsidR="005F3865" w:rsidRPr="004D6275">
        <w:rPr>
          <w:rFonts w:ascii="Arial" w:hAnsi="Arial" w:cs="Arial"/>
          <w:sz w:val="24"/>
          <w:szCs w:val="24"/>
        </w:rPr>
        <w:t xml:space="preserve">is therefore confident that its gender pay gap does not stem from paying men and women differently for the same or equivalent work.  Rather its gender pay gap is the result of the roles in which men and women work within the organisation and the salaries that these roles attract.  </w:t>
      </w:r>
    </w:p>
    <w:p w14:paraId="02304A38" w14:textId="0831CE51" w:rsidR="00C94AED" w:rsidRDefault="005E34DD" w:rsidP="00233E22">
      <w:pPr>
        <w:shd w:val="clear" w:color="auto" w:fill="FFFFFF"/>
        <w:spacing w:before="100" w:beforeAutospacing="1" w:after="180"/>
        <w:rPr>
          <w:rFonts w:ascii="Arial" w:hAnsi="Arial" w:cs="Arial"/>
          <w:sz w:val="24"/>
          <w:szCs w:val="24"/>
        </w:rPr>
      </w:pPr>
      <w:r>
        <w:rPr>
          <w:rFonts w:ascii="Arial" w:hAnsi="Arial" w:cs="Arial"/>
          <w:sz w:val="24"/>
          <w:szCs w:val="24"/>
        </w:rPr>
        <w:t>Whilst</w:t>
      </w:r>
      <w:r w:rsidR="00022937" w:rsidRPr="001C647C">
        <w:rPr>
          <w:rFonts w:ascii="Arial" w:hAnsi="Arial" w:cs="Arial"/>
          <w:sz w:val="24"/>
          <w:szCs w:val="24"/>
        </w:rPr>
        <w:t xml:space="preserve"> </w:t>
      </w:r>
      <w:r>
        <w:rPr>
          <w:rFonts w:ascii="Arial" w:hAnsi="Arial" w:cs="Arial"/>
          <w:sz w:val="24"/>
          <w:szCs w:val="24"/>
        </w:rPr>
        <w:t xml:space="preserve">B&amp;NES Council’s </w:t>
      </w:r>
      <w:r w:rsidR="00022937" w:rsidRPr="001C647C">
        <w:rPr>
          <w:rFonts w:ascii="Arial" w:hAnsi="Arial" w:cs="Arial"/>
          <w:sz w:val="24"/>
          <w:szCs w:val="24"/>
        </w:rPr>
        <w:t xml:space="preserve">gender pay gap compares favourably with that of organisations both across the whole UK economy and within the public sector, this is not a subject about which </w:t>
      </w:r>
      <w:r>
        <w:rPr>
          <w:rFonts w:ascii="Arial" w:hAnsi="Arial" w:cs="Arial"/>
          <w:sz w:val="24"/>
          <w:szCs w:val="24"/>
        </w:rPr>
        <w:t>the</w:t>
      </w:r>
      <w:r w:rsidR="00022937" w:rsidRPr="001C647C">
        <w:rPr>
          <w:rFonts w:ascii="Arial" w:hAnsi="Arial" w:cs="Arial"/>
          <w:sz w:val="24"/>
          <w:szCs w:val="24"/>
        </w:rPr>
        <w:t xml:space="preserve"> Council is complacent, and it is committed to </w:t>
      </w:r>
      <w:r w:rsidR="001A3400" w:rsidRPr="001C647C">
        <w:rPr>
          <w:rFonts w:ascii="Arial" w:hAnsi="Arial" w:cs="Arial"/>
          <w:sz w:val="24"/>
          <w:szCs w:val="24"/>
        </w:rPr>
        <w:t xml:space="preserve">further </w:t>
      </w:r>
      <w:r w:rsidR="00F15AD0">
        <w:rPr>
          <w:rFonts w:ascii="Arial" w:hAnsi="Arial" w:cs="Arial"/>
          <w:sz w:val="24"/>
          <w:szCs w:val="24"/>
        </w:rPr>
        <w:t xml:space="preserve">understanding, </w:t>
      </w:r>
      <w:r w:rsidR="00C77D0F">
        <w:rPr>
          <w:rFonts w:ascii="Arial" w:hAnsi="Arial" w:cs="Arial"/>
          <w:sz w:val="24"/>
          <w:szCs w:val="24"/>
        </w:rPr>
        <w:t xml:space="preserve">analysing and </w:t>
      </w:r>
      <w:r w:rsidR="00975F69">
        <w:rPr>
          <w:rFonts w:ascii="Arial" w:hAnsi="Arial" w:cs="Arial"/>
          <w:sz w:val="24"/>
          <w:szCs w:val="24"/>
        </w:rPr>
        <w:t>addressing</w:t>
      </w:r>
      <w:r w:rsidR="00A83109">
        <w:rPr>
          <w:rFonts w:ascii="Arial" w:hAnsi="Arial" w:cs="Arial"/>
          <w:sz w:val="24"/>
          <w:szCs w:val="24"/>
        </w:rPr>
        <w:t xml:space="preserve"> </w:t>
      </w:r>
      <w:r w:rsidR="00022937" w:rsidRPr="001C647C">
        <w:rPr>
          <w:rFonts w:ascii="Arial" w:hAnsi="Arial" w:cs="Arial"/>
          <w:sz w:val="24"/>
          <w:szCs w:val="24"/>
        </w:rPr>
        <w:t>the gap.</w:t>
      </w:r>
    </w:p>
    <w:p w14:paraId="38A86010" w14:textId="77777777" w:rsidR="007D665C" w:rsidRPr="007D665C" w:rsidRDefault="007D665C" w:rsidP="007D665C">
      <w:pPr>
        <w:shd w:val="clear" w:color="auto" w:fill="FFFFFF"/>
        <w:spacing w:before="100" w:beforeAutospacing="1" w:after="180"/>
        <w:rPr>
          <w:rFonts w:ascii="Arial" w:hAnsi="Arial" w:cs="Arial"/>
          <w:sz w:val="24"/>
          <w:szCs w:val="24"/>
        </w:rPr>
      </w:pPr>
      <w:r w:rsidRPr="007D665C">
        <w:rPr>
          <w:rFonts w:ascii="Arial" w:hAnsi="Arial" w:cs="Arial"/>
          <w:sz w:val="24"/>
          <w:szCs w:val="24"/>
        </w:rPr>
        <w:t xml:space="preserve">During 2021 we undertook a project to understand the impact of Covid on our workforce, identifying and highlighting any differences between men and women.  The report found that whilst both male and female colleagues reported impacts on both their physical health and mental health, more female colleagues were required to shield, and have been absent from work with Covid, however this is in line with the gender split of the workforce.  More female colleagues have been absent with long </w:t>
      </w:r>
      <w:proofErr w:type="gramStart"/>
      <w:r w:rsidRPr="007D665C">
        <w:rPr>
          <w:rFonts w:ascii="Arial" w:hAnsi="Arial" w:cs="Arial"/>
          <w:sz w:val="24"/>
          <w:szCs w:val="24"/>
        </w:rPr>
        <w:t>Covid</w:t>
      </w:r>
      <w:proofErr w:type="gramEnd"/>
      <w:r w:rsidRPr="007D665C">
        <w:rPr>
          <w:rFonts w:ascii="Arial" w:hAnsi="Arial" w:cs="Arial"/>
          <w:sz w:val="24"/>
          <w:szCs w:val="24"/>
        </w:rPr>
        <w:t xml:space="preserve"> and work is underway to ensure that the right policies and support is in place for these staff.</w:t>
      </w:r>
    </w:p>
    <w:p w14:paraId="2E7A10BE" w14:textId="77777777" w:rsidR="007D665C" w:rsidRPr="007D665C" w:rsidRDefault="007D665C" w:rsidP="007D665C">
      <w:pPr>
        <w:shd w:val="clear" w:color="auto" w:fill="FFFFFF"/>
        <w:spacing w:before="100" w:beforeAutospacing="1" w:after="180"/>
        <w:rPr>
          <w:rFonts w:ascii="Arial" w:hAnsi="Arial" w:cs="Arial"/>
          <w:sz w:val="24"/>
          <w:szCs w:val="24"/>
        </w:rPr>
      </w:pPr>
      <w:r w:rsidRPr="007D665C">
        <w:rPr>
          <w:rFonts w:ascii="Arial" w:hAnsi="Arial" w:cs="Arial"/>
          <w:sz w:val="24"/>
          <w:szCs w:val="24"/>
        </w:rPr>
        <w:t xml:space="preserve">We heard from many staff who had to balance demanding job roles with demanding caring roles during the pandemic and </w:t>
      </w:r>
      <w:proofErr w:type="gramStart"/>
      <w:r w:rsidRPr="007D665C">
        <w:rPr>
          <w:rFonts w:ascii="Arial" w:hAnsi="Arial" w:cs="Arial"/>
          <w:sz w:val="24"/>
          <w:szCs w:val="24"/>
        </w:rPr>
        <w:t>in particular during</w:t>
      </w:r>
      <w:proofErr w:type="gramEnd"/>
      <w:r w:rsidRPr="007D665C">
        <w:rPr>
          <w:rFonts w:ascii="Arial" w:hAnsi="Arial" w:cs="Arial"/>
          <w:sz w:val="24"/>
          <w:szCs w:val="24"/>
        </w:rPr>
        <w:t xml:space="preserve"> the first lockdown; caring for small children, young adults, elderly parents, family and friends.  More female staff accessed carers leave during this period and it does appear that female colleagues undertook more caring responsibilities from the experiences we heard.</w:t>
      </w:r>
    </w:p>
    <w:p w14:paraId="5627B4A2" w14:textId="77777777" w:rsidR="00505A70" w:rsidRDefault="003732E3" w:rsidP="00233E22">
      <w:pPr>
        <w:shd w:val="clear" w:color="auto" w:fill="FFFFFF"/>
        <w:spacing w:before="100" w:beforeAutospacing="1" w:after="180"/>
        <w:rPr>
          <w:rFonts w:ascii="Arial" w:hAnsi="Arial" w:cs="Arial"/>
          <w:sz w:val="24"/>
          <w:szCs w:val="24"/>
        </w:rPr>
      </w:pPr>
      <w:r>
        <w:rPr>
          <w:rFonts w:ascii="Arial" w:hAnsi="Arial" w:cs="Arial"/>
          <w:sz w:val="24"/>
          <w:szCs w:val="24"/>
        </w:rPr>
        <w:t xml:space="preserve">The table below sets out what we said we were going to do to tackle the gender pay gap, what we have </w:t>
      </w:r>
      <w:proofErr w:type="gramStart"/>
      <w:r>
        <w:rPr>
          <w:rFonts w:ascii="Arial" w:hAnsi="Arial" w:cs="Arial"/>
          <w:sz w:val="24"/>
          <w:szCs w:val="24"/>
        </w:rPr>
        <w:t>actually done</w:t>
      </w:r>
      <w:proofErr w:type="gramEnd"/>
      <w:r>
        <w:rPr>
          <w:rFonts w:ascii="Arial" w:hAnsi="Arial" w:cs="Arial"/>
          <w:sz w:val="24"/>
          <w:szCs w:val="24"/>
        </w:rPr>
        <w:t xml:space="preserve"> and what we plan to do next.</w:t>
      </w:r>
      <w:r w:rsidR="00505A70">
        <w:rPr>
          <w:rFonts w:ascii="Arial" w:hAnsi="Arial" w:cs="Arial"/>
          <w:sz w:val="24"/>
          <w:szCs w:val="24"/>
        </w:rPr>
        <w:t xml:space="preserve"> </w:t>
      </w:r>
    </w:p>
    <w:p w14:paraId="1AAA70F3" w14:textId="6F422568" w:rsidR="00931DE5" w:rsidRDefault="002074D9" w:rsidP="00233E22">
      <w:pPr>
        <w:shd w:val="clear" w:color="auto" w:fill="FFFFFF"/>
        <w:spacing w:before="100" w:beforeAutospacing="1" w:after="180"/>
        <w:rPr>
          <w:rFonts w:ascii="Arial" w:hAnsi="Arial" w:cs="Arial"/>
          <w:sz w:val="24"/>
          <w:szCs w:val="24"/>
        </w:rPr>
      </w:pPr>
      <w:r>
        <w:rPr>
          <w:rFonts w:ascii="Arial" w:hAnsi="Arial" w:cs="Arial"/>
          <w:sz w:val="24"/>
          <w:szCs w:val="24"/>
        </w:rPr>
        <w:t>Development work</w:t>
      </w:r>
      <w:r w:rsidR="00505A70">
        <w:rPr>
          <w:rFonts w:ascii="Arial" w:hAnsi="Arial" w:cs="Arial"/>
          <w:sz w:val="24"/>
          <w:szCs w:val="24"/>
        </w:rPr>
        <w:t xml:space="preserve"> is underway </w:t>
      </w:r>
      <w:r>
        <w:rPr>
          <w:rFonts w:ascii="Arial" w:hAnsi="Arial" w:cs="Arial"/>
          <w:sz w:val="24"/>
          <w:szCs w:val="24"/>
        </w:rPr>
        <w:t>to prepare for ethnicity pay reporting</w:t>
      </w:r>
      <w:r w:rsidR="008418FC">
        <w:rPr>
          <w:rFonts w:ascii="Arial" w:hAnsi="Arial" w:cs="Arial"/>
          <w:sz w:val="24"/>
          <w:szCs w:val="24"/>
        </w:rPr>
        <w:t>.</w:t>
      </w:r>
    </w:p>
    <w:p w14:paraId="3EAA9D5C" w14:textId="77777777" w:rsidR="00233E22" w:rsidRDefault="00233E22">
      <w:pPr>
        <w:rPr>
          <w:rFonts w:ascii="Arial" w:hAnsi="Arial" w:cs="Arial"/>
          <w:sz w:val="22"/>
          <w:szCs w:val="22"/>
        </w:rPr>
      </w:pPr>
    </w:p>
    <w:p w14:paraId="32639DBA" w14:textId="77777777" w:rsidR="00233E22" w:rsidRDefault="00233E22">
      <w:pPr>
        <w:rPr>
          <w:rFonts w:ascii="Arial" w:hAnsi="Arial" w:cs="Arial"/>
          <w:sz w:val="22"/>
          <w:szCs w:val="22"/>
        </w:rPr>
        <w:sectPr w:rsidR="00233E22" w:rsidSect="00B12F4B">
          <w:footerReference w:type="default" r:id="rId13"/>
          <w:headerReference w:type="first" r:id="rId14"/>
          <w:footerReference w:type="first" r:id="rId15"/>
          <w:pgSz w:w="11909" w:h="16834" w:code="9"/>
          <w:pgMar w:top="567" w:right="851" w:bottom="1560" w:left="1077" w:header="706" w:footer="706" w:gutter="0"/>
          <w:cols w:space="720"/>
          <w:titlePg/>
          <w:docGrid w:linePitch="272"/>
        </w:sectPr>
      </w:pPr>
    </w:p>
    <w:p w14:paraId="32A6B11A" w14:textId="22DEB4DE" w:rsidR="00BE53AE" w:rsidRDefault="00CA254B" w:rsidP="006F5F18">
      <w:pPr>
        <w:shd w:val="clear" w:color="auto" w:fill="FFFFFF"/>
        <w:spacing w:before="100" w:beforeAutospacing="1" w:after="180"/>
        <w:ind w:left="-567"/>
        <w:rPr>
          <w:rFonts w:ascii="Arial" w:hAnsi="Arial" w:cs="Arial"/>
          <w:b/>
          <w:sz w:val="4"/>
          <w:szCs w:val="22"/>
        </w:rPr>
      </w:pPr>
      <w:r w:rsidRPr="00BE53AE">
        <w:rPr>
          <w:rFonts w:ascii="Arial" w:hAnsi="Arial" w:cs="Arial"/>
          <w:b/>
          <w:sz w:val="24"/>
          <w:szCs w:val="22"/>
        </w:rPr>
        <w:lastRenderedPageBreak/>
        <w:t xml:space="preserve">Bath &amp; </w:t>
      </w:r>
      <w:proofErr w:type="gramStart"/>
      <w:r w:rsidRPr="00BE53AE">
        <w:rPr>
          <w:rFonts w:ascii="Arial" w:hAnsi="Arial" w:cs="Arial"/>
          <w:b/>
          <w:sz w:val="24"/>
          <w:szCs w:val="22"/>
        </w:rPr>
        <w:t>North East</w:t>
      </w:r>
      <w:proofErr w:type="gramEnd"/>
      <w:r w:rsidRPr="00BE53AE">
        <w:rPr>
          <w:rFonts w:ascii="Arial" w:hAnsi="Arial" w:cs="Arial"/>
          <w:b/>
          <w:sz w:val="24"/>
          <w:szCs w:val="22"/>
        </w:rPr>
        <w:t xml:space="preserve"> Somerset </w:t>
      </w:r>
      <w:r w:rsidR="00D40A06" w:rsidRPr="00BE53AE">
        <w:rPr>
          <w:rFonts w:ascii="Arial" w:hAnsi="Arial" w:cs="Arial"/>
          <w:b/>
          <w:sz w:val="24"/>
          <w:szCs w:val="22"/>
        </w:rPr>
        <w:t xml:space="preserve">Gender Pay Gap </w:t>
      </w:r>
      <w:r w:rsidR="00A6418A">
        <w:rPr>
          <w:rFonts w:ascii="Arial" w:hAnsi="Arial" w:cs="Arial"/>
          <w:b/>
          <w:sz w:val="24"/>
          <w:szCs w:val="22"/>
        </w:rPr>
        <w:t xml:space="preserve">– </w:t>
      </w:r>
      <w:r w:rsidR="00022FC2">
        <w:rPr>
          <w:rFonts w:ascii="Arial" w:hAnsi="Arial" w:cs="Arial"/>
          <w:b/>
          <w:sz w:val="24"/>
          <w:szCs w:val="22"/>
        </w:rPr>
        <w:t>‘</w:t>
      </w:r>
      <w:r w:rsidR="00A6418A">
        <w:rPr>
          <w:rFonts w:ascii="Arial" w:hAnsi="Arial" w:cs="Arial"/>
          <w:b/>
          <w:sz w:val="24"/>
          <w:szCs w:val="22"/>
        </w:rPr>
        <w:t>Closing the Gap</w:t>
      </w:r>
      <w:r w:rsidR="00022FC2">
        <w:rPr>
          <w:rFonts w:ascii="Arial" w:hAnsi="Arial" w:cs="Arial"/>
          <w:b/>
          <w:sz w:val="24"/>
          <w:szCs w:val="22"/>
        </w:rPr>
        <w:t>’</w:t>
      </w:r>
      <w:r w:rsidR="00A6418A">
        <w:rPr>
          <w:rFonts w:ascii="Arial" w:hAnsi="Arial" w:cs="Arial"/>
          <w:b/>
          <w:sz w:val="24"/>
          <w:szCs w:val="22"/>
        </w:rPr>
        <w:t xml:space="preserve"> </w:t>
      </w:r>
      <w:r w:rsidR="00D40A06" w:rsidRPr="00BE53AE">
        <w:rPr>
          <w:rFonts w:ascii="Arial" w:hAnsi="Arial" w:cs="Arial"/>
          <w:b/>
          <w:sz w:val="24"/>
          <w:szCs w:val="22"/>
        </w:rPr>
        <w:t>Action</w:t>
      </w:r>
      <w:r w:rsidR="00A95A1C" w:rsidRPr="00BE53AE">
        <w:rPr>
          <w:rFonts w:ascii="Arial" w:hAnsi="Arial" w:cs="Arial"/>
          <w:b/>
          <w:sz w:val="24"/>
          <w:szCs w:val="22"/>
        </w:rPr>
        <w:t xml:space="preserve"> Plan</w:t>
      </w:r>
    </w:p>
    <w:p w14:paraId="3FE505B1" w14:textId="77777777" w:rsidR="006F5F18" w:rsidRPr="006F5F18" w:rsidRDefault="006F5F18" w:rsidP="006F5F18">
      <w:pPr>
        <w:shd w:val="clear" w:color="auto" w:fill="FFFFFF"/>
        <w:spacing w:before="100" w:beforeAutospacing="1" w:after="180"/>
        <w:ind w:left="-567"/>
        <w:rPr>
          <w:rFonts w:ascii="Arial" w:hAnsi="Arial" w:cs="Arial"/>
          <w:b/>
          <w:sz w:val="4"/>
          <w:szCs w:val="22"/>
        </w:rPr>
      </w:pPr>
    </w:p>
    <w:tbl>
      <w:tblPr>
        <w:tblStyle w:val="TableGrid"/>
        <w:tblW w:w="16018" w:type="dxa"/>
        <w:tblInd w:w="-601" w:type="dxa"/>
        <w:tblBorders>
          <w:left w:val="none" w:sz="0" w:space="0" w:color="auto"/>
          <w:right w:val="none" w:sz="0" w:space="0" w:color="auto"/>
          <w:insideH w:val="none" w:sz="0" w:space="0" w:color="auto"/>
          <w:insideV w:val="none" w:sz="0" w:space="0" w:color="auto"/>
        </w:tblBorders>
        <w:tblLayout w:type="fixed"/>
        <w:tblCellMar>
          <w:top w:w="170" w:type="dxa"/>
          <w:bottom w:w="113" w:type="dxa"/>
        </w:tblCellMar>
        <w:tblLook w:val="04A0" w:firstRow="1" w:lastRow="0" w:firstColumn="1" w:lastColumn="0" w:noHBand="0" w:noVBand="1"/>
      </w:tblPr>
      <w:tblGrid>
        <w:gridCol w:w="1702"/>
        <w:gridCol w:w="3969"/>
        <w:gridCol w:w="5103"/>
        <w:gridCol w:w="5244"/>
      </w:tblGrid>
      <w:tr w:rsidR="006F5F18" w:rsidRPr="00BE53AE" w14:paraId="38E4F0E5" w14:textId="77777777" w:rsidTr="00693FA0">
        <w:trPr>
          <w:trHeight w:val="510"/>
        </w:trPr>
        <w:tc>
          <w:tcPr>
            <w:tcW w:w="1702" w:type="dxa"/>
            <w:tcBorders>
              <w:top w:val="nil"/>
              <w:bottom w:val="nil"/>
            </w:tcBorders>
            <w:shd w:val="clear" w:color="auto" w:fill="D4ECFF"/>
            <w:vAlign w:val="center"/>
          </w:tcPr>
          <w:p w14:paraId="50182992" w14:textId="77777777" w:rsidR="003732E3" w:rsidRPr="00BE53AE" w:rsidRDefault="00FA283D" w:rsidP="0064483B">
            <w:pPr>
              <w:rPr>
                <w:rFonts w:ascii="Arial" w:hAnsi="Arial" w:cs="Arial"/>
                <w:b/>
                <w:sz w:val="22"/>
                <w:szCs w:val="22"/>
              </w:rPr>
            </w:pPr>
            <w:r w:rsidRPr="00BE53AE">
              <w:rPr>
                <w:rFonts w:ascii="Arial" w:hAnsi="Arial" w:cs="Arial"/>
                <w:b/>
                <w:sz w:val="22"/>
                <w:szCs w:val="22"/>
              </w:rPr>
              <w:t>Area of</w:t>
            </w:r>
            <w:r w:rsidR="008D42B9" w:rsidRPr="00BE53AE">
              <w:rPr>
                <w:rFonts w:ascii="Arial" w:hAnsi="Arial" w:cs="Arial"/>
                <w:b/>
                <w:sz w:val="22"/>
                <w:szCs w:val="22"/>
              </w:rPr>
              <w:t>…</w:t>
            </w:r>
          </w:p>
        </w:tc>
        <w:tc>
          <w:tcPr>
            <w:tcW w:w="3969" w:type="dxa"/>
            <w:tcBorders>
              <w:top w:val="nil"/>
              <w:bottom w:val="nil"/>
            </w:tcBorders>
            <w:shd w:val="clear" w:color="auto" w:fill="8DCDE1"/>
            <w:vAlign w:val="center"/>
          </w:tcPr>
          <w:p w14:paraId="49FFB0D0" w14:textId="650BA1F7" w:rsidR="003732E3" w:rsidRPr="00BE53AE" w:rsidRDefault="009A080D" w:rsidP="0064483B">
            <w:pPr>
              <w:rPr>
                <w:rFonts w:ascii="Arial" w:hAnsi="Arial" w:cs="Arial"/>
                <w:b/>
                <w:sz w:val="22"/>
                <w:szCs w:val="22"/>
              </w:rPr>
            </w:pPr>
            <w:r>
              <w:rPr>
                <w:rFonts w:ascii="Arial" w:hAnsi="Arial" w:cs="Arial"/>
                <w:b/>
                <w:sz w:val="22"/>
                <w:szCs w:val="22"/>
              </w:rPr>
              <w:t>Previous</w:t>
            </w:r>
            <w:r w:rsidR="00AB50AF">
              <w:rPr>
                <w:rFonts w:ascii="Arial" w:hAnsi="Arial" w:cs="Arial"/>
                <w:b/>
                <w:sz w:val="22"/>
                <w:szCs w:val="22"/>
              </w:rPr>
              <w:t>l</w:t>
            </w:r>
            <w:r>
              <w:rPr>
                <w:rFonts w:ascii="Arial" w:hAnsi="Arial" w:cs="Arial"/>
                <w:b/>
                <w:sz w:val="22"/>
                <w:szCs w:val="22"/>
              </w:rPr>
              <w:t>y</w:t>
            </w:r>
            <w:r w:rsidR="0030112D" w:rsidRPr="00BE53AE">
              <w:rPr>
                <w:rFonts w:ascii="Arial" w:hAnsi="Arial" w:cs="Arial"/>
                <w:b/>
                <w:sz w:val="22"/>
                <w:szCs w:val="22"/>
              </w:rPr>
              <w:t xml:space="preserve"> we said we </w:t>
            </w:r>
            <w:r w:rsidR="003732E3" w:rsidRPr="00BE53AE">
              <w:rPr>
                <w:rFonts w:ascii="Arial" w:hAnsi="Arial" w:cs="Arial"/>
                <w:b/>
                <w:sz w:val="22"/>
                <w:szCs w:val="22"/>
              </w:rPr>
              <w:t>would…</w:t>
            </w:r>
          </w:p>
        </w:tc>
        <w:tc>
          <w:tcPr>
            <w:tcW w:w="5103" w:type="dxa"/>
            <w:tcBorders>
              <w:top w:val="nil"/>
              <w:bottom w:val="nil"/>
            </w:tcBorders>
            <w:shd w:val="clear" w:color="auto" w:fill="8DCDE1"/>
            <w:vAlign w:val="center"/>
          </w:tcPr>
          <w:p w14:paraId="712EEF2E" w14:textId="77777777" w:rsidR="003732E3" w:rsidRPr="00BE53AE" w:rsidRDefault="003732E3" w:rsidP="0064483B">
            <w:pPr>
              <w:rPr>
                <w:rFonts w:ascii="Arial" w:hAnsi="Arial" w:cs="Arial"/>
                <w:b/>
                <w:sz w:val="22"/>
                <w:szCs w:val="22"/>
              </w:rPr>
            </w:pPr>
            <w:r w:rsidRPr="00BE53AE">
              <w:rPr>
                <w:rFonts w:ascii="Arial" w:hAnsi="Arial" w:cs="Arial"/>
                <w:b/>
                <w:sz w:val="22"/>
                <w:szCs w:val="22"/>
              </w:rPr>
              <w:t xml:space="preserve">So </w:t>
            </w:r>
            <w:proofErr w:type="gramStart"/>
            <w:r w:rsidRPr="00BE53AE">
              <w:rPr>
                <w:rFonts w:ascii="Arial" w:hAnsi="Arial" w:cs="Arial"/>
                <w:b/>
                <w:sz w:val="22"/>
                <w:szCs w:val="22"/>
              </w:rPr>
              <w:t>far</w:t>
            </w:r>
            <w:proofErr w:type="gramEnd"/>
            <w:r w:rsidRPr="00BE53AE">
              <w:rPr>
                <w:rFonts w:ascii="Arial" w:hAnsi="Arial" w:cs="Arial"/>
                <w:b/>
                <w:sz w:val="22"/>
                <w:szCs w:val="22"/>
              </w:rPr>
              <w:t xml:space="preserve"> we have…</w:t>
            </w:r>
          </w:p>
        </w:tc>
        <w:tc>
          <w:tcPr>
            <w:tcW w:w="5244" w:type="dxa"/>
            <w:tcBorders>
              <w:top w:val="nil"/>
              <w:bottom w:val="nil"/>
            </w:tcBorders>
            <w:shd w:val="clear" w:color="auto" w:fill="8DCDE1"/>
            <w:vAlign w:val="center"/>
          </w:tcPr>
          <w:p w14:paraId="309AACD3" w14:textId="59257DBF" w:rsidR="003732E3" w:rsidRPr="00BE53AE" w:rsidRDefault="008D42B9" w:rsidP="0064483B">
            <w:pPr>
              <w:rPr>
                <w:rFonts w:ascii="Arial" w:hAnsi="Arial" w:cs="Arial"/>
                <w:b/>
                <w:sz w:val="22"/>
                <w:szCs w:val="22"/>
              </w:rPr>
            </w:pPr>
            <w:r w:rsidRPr="00BE53AE">
              <w:rPr>
                <w:rFonts w:ascii="Arial" w:hAnsi="Arial" w:cs="Arial"/>
                <w:b/>
                <w:sz w:val="22"/>
                <w:szCs w:val="22"/>
              </w:rPr>
              <w:t>During 20</w:t>
            </w:r>
            <w:r w:rsidR="001649A7">
              <w:rPr>
                <w:rFonts w:ascii="Arial" w:hAnsi="Arial" w:cs="Arial"/>
                <w:b/>
                <w:sz w:val="22"/>
                <w:szCs w:val="22"/>
              </w:rPr>
              <w:t>2</w:t>
            </w:r>
            <w:r w:rsidR="00BC4532">
              <w:rPr>
                <w:rFonts w:ascii="Arial" w:hAnsi="Arial" w:cs="Arial"/>
                <w:b/>
                <w:sz w:val="22"/>
                <w:szCs w:val="22"/>
              </w:rPr>
              <w:t>2</w:t>
            </w:r>
            <w:r w:rsidR="003732E3" w:rsidRPr="00BE53AE">
              <w:rPr>
                <w:rFonts w:ascii="Arial" w:hAnsi="Arial" w:cs="Arial"/>
                <w:b/>
                <w:sz w:val="22"/>
                <w:szCs w:val="22"/>
              </w:rPr>
              <w:t xml:space="preserve"> we will…</w:t>
            </w:r>
          </w:p>
        </w:tc>
      </w:tr>
      <w:tr w:rsidR="003732E3" w:rsidRPr="00BE53AE" w14:paraId="31806455" w14:textId="77777777" w:rsidTr="00693FA0">
        <w:trPr>
          <w:trHeight w:val="3261"/>
        </w:trPr>
        <w:tc>
          <w:tcPr>
            <w:tcW w:w="1702" w:type="dxa"/>
            <w:tcBorders>
              <w:top w:val="nil"/>
              <w:bottom w:val="nil"/>
            </w:tcBorders>
            <w:shd w:val="clear" w:color="auto" w:fill="D4ECFF"/>
            <w:vAlign w:val="center"/>
          </w:tcPr>
          <w:p w14:paraId="41FA5DA7" w14:textId="77777777" w:rsidR="003732E3" w:rsidRPr="00BE53AE" w:rsidRDefault="003732E3" w:rsidP="0064483B">
            <w:pPr>
              <w:rPr>
                <w:rFonts w:ascii="Arial" w:hAnsi="Arial" w:cs="Arial"/>
                <w:b/>
                <w:sz w:val="22"/>
                <w:szCs w:val="22"/>
              </w:rPr>
            </w:pPr>
            <w:r w:rsidRPr="00BE53AE">
              <w:rPr>
                <w:rFonts w:ascii="Arial" w:hAnsi="Arial" w:cs="Arial"/>
                <w:b/>
                <w:sz w:val="22"/>
                <w:szCs w:val="22"/>
              </w:rPr>
              <w:t>Pay</w:t>
            </w:r>
          </w:p>
        </w:tc>
        <w:tc>
          <w:tcPr>
            <w:tcW w:w="3969" w:type="dxa"/>
            <w:tcBorders>
              <w:top w:val="nil"/>
              <w:bottom w:val="single" w:sz="4" w:space="0" w:color="auto"/>
            </w:tcBorders>
            <w:vAlign w:val="center"/>
          </w:tcPr>
          <w:p w14:paraId="3CE7AF0D" w14:textId="77777777" w:rsidR="003732E3" w:rsidRPr="00BE53AE" w:rsidRDefault="003732E3" w:rsidP="0064483B">
            <w:pPr>
              <w:rPr>
                <w:rFonts w:ascii="Arial" w:hAnsi="Arial" w:cs="Arial"/>
                <w:sz w:val="22"/>
                <w:szCs w:val="22"/>
              </w:rPr>
            </w:pPr>
            <w:r w:rsidRPr="00BE53AE">
              <w:rPr>
                <w:rFonts w:ascii="Arial" w:hAnsi="Arial" w:cs="Arial"/>
                <w:sz w:val="22"/>
                <w:szCs w:val="22"/>
              </w:rPr>
              <w:t>review our policy on ex-gratia (bonus) payments</w:t>
            </w:r>
          </w:p>
          <w:p w14:paraId="1F336855" w14:textId="77777777" w:rsidR="0082207D" w:rsidRPr="00BE53AE" w:rsidRDefault="0082207D" w:rsidP="0064483B">
            <w:pPr>
              <w:rPr>
                <w:rFonts w:ascii="Arial" w:hAnsi="Arial" w:cs="Arial"/>
                <w:sz w:val="22"/>
                <w:szCs w:val="22"/>
              </w:rPr>
            </w:pPr>
          </w:p>
          <w:p w14:paraId="36567D65" w14:textId="77777777" w:rsidR="0082207D" w:rsidRDefault="0082207D" w:rsidP="0064483B">
            <w:pPr>
              <w:rPr>
                <w:rFonts w:ascii="Arial" w:hAnsi="Arial" w:cs="Arial"/>
                <w:sz w:val="22"/>
                <w:szCs w:val="22"/>
              </w:rPr>
            </w:pPr>
            <w:r w:rsidRPr="00BE53AE">
              <w:rPr>
                <w:rFonts w:ascii="Arial" w:hAnsi="Arial" w:cs="Arial"/>
                <w:sz w:val="22"/>
                <w:szCs w:val="22"/>
              </w:rPr>
              <w:t>continue to build upon existing good practice to take a fair and consistent approach to pay and grading through robust job evaluation processes</w:t>
            </w:r>
          </w:p>
          <w:p w14:paraId="5428A419" w14:textId="77777777" w:rsidR="009046EA" w:rsidRDefault="009046EA" w:rsidP="0064483B">
            <w:pPr>
              <w:rPr>
                <w:rFonts w:ascii="Arial" w:hAnsi="Arial" w:cs="Arial"/>
                <w:sz w:val="22"/>
                <w:szCs w:val="22"/>
              </w:rPr>
            </w:pPr>
          </w:p>
          <w:p w14:paraId="123639DB" w14:textId="3F02577B" w:rsidR="009046EA" w:rsidRPr="00BE53AE" w:rsidRDefault="009046EA" w:rsidP="0064483B">
            <w:pPr>
              <w:rPr>
                <w:rFonts w:ascii="Arial" w:hAnsi="Arial" w:cs="Arial"/>
                <w:sz w:val="22"/>
                <w:szCs w:val="22"/>
              </w:rPr>
            </w:pPr>
            <w:r>
              <w:rPr>
                <w:rFonts w:ascii="Arial" w:hAnsi="Arial" w:cs="Arial"/>
                <w:sz w:val="22"/>
                <w:szCs w:val="22"/>
              </w:rPr>
              <w:t xml:space="preserve">review a sample of male and female recruits and </w:t>
            </w:r>
            <w:r w:rsidRPr="00BE53AE">
              <w:rPr>
                <w:rFonts w:ascii="Arial" w:hAnsi="Arial" w:cs="Arial"/>
                <w:sz w:val="22"/>
                <w:szCs w:val="22"/>
              </w:rPr>
              <w:t>their starting salary /spinal column point to determine if male recruits negotiate/are offered a higher starting salary than female recruits</w:t>
            </w:r>
          </w:p>
        </w:tc>
        <w:tc>
          <w:tcPr>
            <w:tcW w:w="5103" w:type="dxa"/>
            <w:tcBorders>
              <w:top w:val="nil"/>
              <w:bottom w:val="single" w:sz="4" w:space="0" w:color="auto"/>
            </w:tcBorders>
            <w:vAlign w:val="center"/>
          </w:tcPr>
          <w:p w14:paraId="45564A25" w14:textId="3DC8F8D2" w:rsidR="0082207D" w:rsidRDefault="008D42B9" w:rsidP="0064483B">
            <w:pPr>
              <w:rPr>
                <w:rFonts w:ascii="Arial" w:hAnsi="Arial" w:cs="Arial"/>
                <w:sz w:val="22"/>
                <w:szCs w:val="22"/>
              </w:rPr>
            </w:pPr>
            <w:r w:rsidRPr="00BE53AE">
              <w:rPr>
                <w:rFonts w:ascii="Arial" w:hAnsi="Arial" w:cs="Arial"/>
                <w:sz w:val="22"/>
                <w:szCs w:val="22"/>
              </w:rPr>
              <w:t>r</w:t>
            </w:r>
            <w:r w:rsidR="003732E3" w:rsidRPr="00BE53AE">
              <w:rPr>
                <w:rFonts w:ascii="Arial" w:hAnsi="Arial" w:cs="Arial"/>
                <w:sz w:val="22"/>
                <w:szCs w:val="22"/>
              </w:rPr>
              <w:t xml:space="preserve">eviewed ex gratia payments, </w:t>
            </w:r>
            <w:r w:rsidR="003407DF" w:rsidRPr="00BE53AE">
              <w:rPr>
                <w:rFonts w:ascii="Arial" w:hAnsi="Arial" w:cs="Arial"/>
                <w:sz w:val="22"/>
                <w:szCs w:val="22"/>
              </w:rPr>
              <w:t xml:space="preserve">resulting in the reviewing and </w:t>
            </w:r>
            <w:r w:rsidR="003732E3" w:rsidRPr="00BE53AE">
              <w:rPr>
                <w:rFonts w:ascii="Arial" w:hAnsi="Arial" w:cs="Arial"/>
                <w:sz w:val="22"/>
                <w:szCs w:val="22"/>
              </w:rPr>
              <w:t>removal of some</w:t>
            </w:r>
            <w:r w:rsidR="003407DF" w:rsidRPr="00BE53AE">
              <w:rPr>
                <w:rFonts w:ascii="Arial" w:hAnsi="Arial" w:cs="Arial"/>
                <w:sz w:val="22"/>
                <w:szCs w:val="22"/>
              </w:rPr>
              <w:t xml:space="preserve"> payments</w:t>
            </w:r>
            <w:r w:rsidR="003732E3" w:rsidRPr="00BE53AE">
              <w:rPr>
                <w:rFonts w:ascii="Arial" w:hAnsi="Arial" w:cs="Arial"/>
                <w:sz w:val="22"/>
                <w:szCs w:val="22"/>
              </w:rPr>
              <w:t xml:space="preserve">, </w:t>
            </w:r>
            <w:r w:rsidR="003407DF" w:rsidRPr="00BE53AE">
              <w:rPr>
                <w:rFonts w:ascii="Arial" w:hAnsi="Arial" w:cs="Arial"/>
                <w:sz w:val="22"/>
                <w:szCs w:val="22"/>
              </w:rPr>
              <w:t>strict</w:t>
            </w:r>
            <w:r w:rsidR="003732E3" w:rsidRPr="00BE53AE">
              <w:rPr>
                <w:rFonts w:ascii="Arial" w:hAnsi="Arial" w:cs="Arial"/>
                <w:sz w:val="22"/>
                <w:szCs w:val="22"/>
              </w:rPr>
              <w:t xml:space="preserve"> sign off protocol for initiating or extending - including </w:t>
            </w:r>
            <w:r w:rsidR="009058A0">
              <w:rPr>
                <w:rFonts w:ascii="Arial" w:hAnsi="Arial" w:cs="Arial"/>
                <w:sz w:val="22"/>
                <w:szCs w:val="22"/>
              </w:rPr>
              <w:t xml:space="preserve">monthly monitoring of HRBP and overview by </w:t>
            </w:r>
            <w:r w:rsidR="001F7AE0">
              <w:rPr>
                <w:rFonts w:ascii="Arial" w:hAnsi="Arial" w:cs="Arial"/>
                <w:sz w:val="22"/>
                <w:szCs w:val="22"/>
              </w:rPr>
              <w:t>Director</w:t>
            </w:r>
            <w:r w:rsidR="009058A0">
              <w:rPr>
                <w:rFonts w:ascii="Arial" w:hAnsi="Arial" w:cs="Arial"/>
                <w:sz w:val="22"/>
                <w:szCs w:val="22"/>
              </w:rPr>
              <w:t xml:space="preserve"> of </w:t>
            </w:r>
            <w:r w:rsidR="00BC4532">
              <w:rPr>
                <w:rFonts w:ascii="Arial" w:hAnsi="Arial" w:cs="Arial"/>
                <w:sz w:val="22"/>
                <w:szCs w:val="22"/>
              </w:rPr>
              <w:t>People &amp; Policy</w:t>
            </w:r>
          </w:p>
          <w:p w14:paraId="541B1A18" w14:textId="2EC4F2A5" w:rsidR="009058A0" w:rsidRDefault="009058A0" w:rsidP="0064483B">
            <w:pPr>
              <w:rPr>
                <w:rFonts w:ascii="Arial" w:hAnsi="Arial" w:cs="Arial"/>
                <w:sz w:val="22"/>
                <w:szCs w:val="22"/>
              </w:rPr>
            </w:pPr>
          </w:p>
          <w:p w14:paraId="5EB3801B" w14:textId="3B687CA1" w:rsidR="002324C3" w:rsidRDefault="008D42B9" w:rsidP="0064483B">
            <w:pPr>
              <w:rPr>
                <w:rFonts w:ascii="Arial" w:hAnsi="Arial" w:cs="Arial"/>
                <w:sz w:val="22"/>
                <w:szCs w:val="22"/>
              </w:rPr>
            </w:pPr>
            <w:r w:rsidRPr="00BE53AE">
              <w:rPr>
                <w:rFonts w:ascii="Arial" w:hAnsi="Arial" w:cs="Arial"/>
                <w:sz w:val="22"/>
                <w:szCs w:val="22"/>
              </w:rPr>
              <w:t>c</w:t>
            </w:r>
            <w:r w:rsidR="0082207D" w:rsidRPr="00BE53AE">
              <w:rPr>
                <w:rFonts w:ascii="Arial" w:hAnsi="Arial" w:cs="Arial"/>
                <w:sz w:val="22"/>
                <w:szCs w:val="22"/>
              </w:rPr>
              <w:t xml:space="preserve">ontinued with robust job evaluation process with regular JE panels including HR, Management and TU representation.  </w:t>
            </w:r>
          </w:p>
          <w:p w14:paraId="32E6403A" w14:textId="463ABB06" w:rsidR="009A0586" w:rsidRDefault="009A0586" w:rsidP="0064483B">
            <w:pPr>
              <w:rPr>
                <w:rFonts w:ascii="Arial" w:hAnsi="Arial" w:cs="Arial"/>
                <w:sz w:val="22"/>
                <w:szCs w:val="22"/>
              </w:rPr>
            </w:pPr>
          </w:p>
          <w:p w14:paraId="063AB170" w14:textId="0EAC885C" w:rsidR="00732A9D" w:rsidRPr="00BE53AE" w:rsidRDefault="00A27B60" w:rsidP="009046EA">
            <w:pPr>
              <w:rPr>
                <w:rFonts w:ascii="Arial" w:hAnsi="Arial" w:cs="Arial"/>
                <w:sz w:val="22"/>
                <w:szCs w:val="22"/>
              </w:rPr>
            </w:pPr>
            <w:r>
              <w:rPr>
                <w:rFonts w:ascii="Arial" w:hAnsi="Arial" w:cs="Arial"/>
                <w:sz w:val="22"/>
                <w:szCs w:val="22"/>
              </w:rPr>
              <w:t xml:space="preserve">undertaken an HR research project to review </w:t>
            </w:r>
            <w:r w:rsidR="009A0586">
              <w:rPr>
                <w:rFonts w:ascii="Arial" w:hAnsi="Arial" w:cs="Arial"/>
                <w:sz w:val="22"/>
                <w:szCs w:val="22"/>
              </w:rPr>
              <w:t>a sample of</w:t>
            </w:r>
            <w:r w:rsidR="009A0586" w:rsidRPr="00BE53AE">
              <w:rPr>
                <w:rFonts w:ascii="Arial" w:hAnsi="Arial" w:cs="Arial"/>
                <w:sz w:val="22"/>
                <w:szCs w:val="22"/>
              </w:rPr>
              <w:t xml:space="preserve"> male and female recruits </w:t>
            </w:r>
            <w:r w:rsidR="009046EA">
              <w:rPr>
                <w:rFonts w:ascii="Arial" w:hAnsi="Arial" w:cs="Arial"/>
                <w:sz w:val="22"/>
                <w:szCs w:val="22"/>
              </w:rPr>
              <w:t xml:space="preserve">to </w:t>
            </w:r>
            <w:r>
              <w:rPr>
                <w:rFonts w:ascii="Arial" w:hAnsi="Arial" w:cs="Arial"/>
                <w:sz w:val="22"/>
                <w:szCs w:val="22"/>
              </w:rPr>
              <w:t>investigate</w:t>
            </w:r>
            <w:r w:rsidR="00732A9D">
              <w:rPr>
                <w:rFonts w:ascii="Arial" w:hAnsi="Arial" w:cs="Arial"/>
                <w:sz w:val="22"/>
                <w:szCs w:val="22"/>
              </w:rPr>
              <w:t xml:space="preserve"> this complies with our clear policy</w:t>
            </w:r>
            <w:r w:rsidR="001F78AB">
              <w:rPr>
                <w:rFonts w:ascii="Arial" w:hAnsi="Arial" w:cs="Arial"/>
                <w:sz w:val="22"/>
                <w:szCs w:val="22"/>
              </w:rPr>
              <w:t xml:space="preserve"> on starting salaries</w:t>
            </w:r>
            <w:r w:rsidR="00732A9D">
              <w:rPr>
                <w:rFonts w:ascii="Arial" w:hAnsi="Arial" w:cs="Arial"/>
                <w:sz w:val="22"/>
                <w:szCs w:val="22"/>
              </w:rPr>
              <w:t xml:space="preserve"> </w:t>
            </w:r>
          </w:p>
        </w:tc>
        <w:tc>
          <w:tcPr>
            <w:tcW w:w="5244" w:type="dxa"/>
            <w:tcBorders>
              <w:top w:val="nil"/>
              <w:bottom w:val="single" w:sz="4" w:space="0" w:color="auto"/>
            </w:tcBorders>
            <w:vAlign w:val="center"/>
          </w:tcPr>
          <w:p w14:paraId="14B5C160" w14:textId="3281F10C" w:rsidR="003732E3" w:rsidRDefault="00BC4532" w:rsidP="0064483B">
            <w:pPr>
              <w:rPr>
                <w:rFonts w:ascii="Arial" w:hAnsi="Arial" w:cs="Arial"/>
                <w:sz w:val="22"/>
                <w:szCs w:val="22"/>
              </w:rPr>
            </w:pPr>
            <w:r>
              <w:rPr>
                <w:rFonts w:ascii="Arial" w:hAnsi="Arial" w:cs="Arial"/>
                <w:sz w:val="22"/>
                <w:szCs w:val="22"/>
              </w:rPr>
              <w:t>Continue to e</w:t>
            </w:r>
            <w:r w:rsidR="001649A7">
              <w:rPr>
                <w:rFonts w:ascii="Arial" w:hAnsi="Arial" w:cs="Arial"/>
                <w:sz w:val="22"/>
                <w:szCs w:val="22"/>
              </w:rPr>
              <w:t>nsure payments are appropriately paid (so fewer ex gratia payments</w:t>
            </w:r>
            <w:r w:rsidR="009046EA">
              <w:rPr>
                <w:rFonts w:ascii="Arial" w:hAnsi="Arial" w:cs="Arial"/>
                <w:sz w:val="22"/>
                <w:szCs w:val="22"/>
              </w:rPr>
              <w:t xml:space="preserve"> and therefore a reduction in bonus payments and increasing accuracy of hourly rate data</w:t>
            </w:r>
            <w:r w:rsidR="001649A7">
              <w:rPr>
                <w:rFonts w:ascii="Arial" w:hAnsi="Arial" w:cs="Arial"/>
                <w:sz w:val="22"/>
                <w:szCs w:val="22"/>
              </w:rPr>
              <w:t xml:space="preserve">) </w:t>
            </w:r>
          </w:p>
          <w:p w14:paraId="74E572C1" w14:textId="2A0EC92E" w:rsidR="009046EA" w:rsidRDefault="009046EA" w:rsidP="0064483B">
            <w:pPr>
              <w:rPr>
                <w:rFonts w:ascii="Arial" w:hAnsi="Arial" w:cs="Arial"/>
                <w:sz w:val="22"/>
                <w:szCs w:val="22"/>
              </w:rPr>
            </w:pPr>
          </w:p>
          <w:p w14:paraId="1448C4FA" w14:textId="46B96770" w:rsidR="00A27B60" w:rsidRDefault="00A27B60" w:rsidP="0064483B">
            <w:pPr>
              <w:rPr>
                <w:rFonts w:ascii="Arial" w:hAnsi="Arial" w:cs="Arial"/>
                <w:sz w:val="22"/>
                <w:szCs w:val="22"/>
              </w:rPr>
            </w:pPr>
          </w:p>
          <w:p w14:paraId="77E9574B" w14:textId="2E5D4073" w:rsidR="00F5208E" w:rsidRDefault="00F5208E" w:rsidP="0064483B">
            <w:pPr>
              <w:rPr>
                <w:rFonts w:ascii="Arial" w:hAnsi="Arial" w:cs="Arial"/>
                <w:sz w:val="22"/>
                <w:szCs w:val="22"/>
              </w:rPr>
            </w:pPr>
          </w:p>
          <w:p w14:paraId="2D7C8812" w14:textId="3F5A255F" w:rsidR="009046EA" w:rsidRDefault="005F68F0" w:rsidP="0064483B">
            <w:pPr>
              <w:rPr>
                <w:rFonts w:ascii="Arial" w:hAnsi="Arial" w:cs="Arial"/>
                <w:sz w:val="22"/>
                <w:szCs w:val="22"/>
              </w:rPr>
            </w:pPr>
            <w:r>
              <w:rPr>
                <w:rFonts w:ascii="Arial" w:hAnsi="Arial" w:cs="Arial"/>
                <w:sz w:val="22"/>
                <w:szCs w:val="22"/>
              </w:rPr>
              <w:t>F</w:t>
            </w:r>
            <w:r w:rsidR="00F5208E">
              <w:rPr>
                <w:rFonts w:ascii="Arial" w:hAnsi="Arial" w:cs="Arial"/>
                <w:sz w:val="22"/>
                <w:szCs w:val="22"/>
              </w:rPr>
              <w:t>urther JE training</w:t>
            </w:r>
            <w:r>
              <w:rPr>
                <w:rFonts w:ascii="Arial" w:hAnsi="Arial" w:cs="Arial"/>
                <w:sz w:val="22"/>
                <w:szCs w:val="22"/>
              </w:rPr>
              <w:t xml:space="preserve"> planned for March 2022</w:t>
            </w:r>
          </w:p>
          <w:p w14:paraId="00587B11" w14:textId="77777777" w:rsidR="00A05C4E" w:rsidRDefault="00A05C4E" w:rsidP="0064483B">
            <w:pPr>
              <w:rPr>
                <w:rFonts w:ascii="Arial" w:hAnsi="Arial" w:cs="Arial"/>
                <w:sz w:val="22"/>
                <w:szCs w:val="22"/>
              </w:rPr>
            </w:pPr>
          </w:p>
          <w:p w14:paraId="371B85A4" w14:textId="35E2A578" w:rsidR="002A128F" w:rsidRDefault="002A128F" w:rsidP="0064483B">
            <w:pPr>
              <w:rPr>
                <w:rFonts w:ascii="Arial" w:hAnsi="Arial" w:cs="Arial"/>
                <w:sz w:val="22"/>
                <w:szCs w:val="22"/>
              </w:rPr>
            </w:pPr>
          </w:p>
          <w:p w14:paraId="52F2AB9C" w14:textId="0D402308" w:rsidR="002A128F" w:rsidRDefault="00A05C4E" w:rsidP="0064483B">
            <w:pPr>
              <w:rPr>
                <w:rFonts w:ascii="Arial" w:hAnsi="Arial" w:cs="Arial"/>
                <w:sz w:val="22"/>
                <w:szCs w:val="22"/>
              </w:rPr>
            </w:pPr>
            <w:r>
              <w:rPr>
                <w:rFonts w:ascii="Arial" w:hAnsi="Arial" w:cs="Arial"/>
                <w:sz w:val="22"/>
                <w:szCs w:val="22"/>
              </w:rPr>
              <w:t xml:space="preserve">Prepare for ethnicity </w:t>
            </w:r>
            <w:r w:rsidR="00714182">
              <w:rPr>
                <w:rFonts w:ascii="Arial" w:hAnsi="Arial" w:cs="Arial"/>
                <w:sz w:val="22"/>
                <w:szCs w:val="22"/>
              </w:rPr>
              <w:t xml:space="preserve">pay </w:t>
            </w:r>
            <w:r>
              <w:rPr>
                <w:rFonts w:ascii="Arial" w:hAnsi="Arial" w:cs="Arial"/>
                <w:sz w:val="22"/>
                <w:szCs w:val="22"/>
              </w:rPr>
              <w:t>gap reporting</w:t>
            </w:r>
          </w:p>
          <w:p w14:paraId="73D69191" w14:textId="253DC7AF" w:rsidR="009046EA" w:rsidRDefault="009046EA" w:rsidP="0064483B">
            <w:pPr>
              <w:rPr>
                <w:rFonts w:ascii="Arial" w:hAnsi="Arial" w:cs="Arial"/>
                <w:sz w:val="22"/>
                <w:szCs w:val="22"/>
              </w:rPr>
            </w:pPr>
          </w:p>
          <w:p w14:paraId="1DB60810" w14:textId="3EEEB5A2" w:rsidR="009046EA" w:rsidRDefault="009046EA" w:rsidP="0064483B">
            <w:pPr>
              <w:rPr>
                <w:rFonts w:ascii="Arial" w:hAnsi="Arial" w:cs="Arial"/>
                <w:sz w:val="22"/>
                <w:szCs w:val="22"/>
              </w:rPr>
            </w:pPr>
          </w:p>
          <w:p w14:paraId="66BACC8F" w14:textId="05C31BDB" w:rsidR="009046EA" w:rsidRDefault="009046EA" w:rsidP="0064483B">
            <w:pPr>
              <w:rPr>
                <w:rFonts w:ascii="Arial" w:hAnsi="Arial" w:cs="Arial"/>
                <w:sz w:val="22"/>
                <w:szCs w:val="22"/>
              </w:rPr>
            </w:pPr>
          </w:p>
          <w:p w14:paraId="456BB04B" w14:textId="4FCA3861" w:rsidR="009046EA" w:rsidRDefault="009046EA" w:rsidP="0064483B">
            <w:pPr>
              <w:rPr>
                <w:rFonts w:ascii="Arial" w:hAnsi="Arial" w:cs="Arial"/>
                <w:sz w:val="22"/>
                <w:szCs w:val="22"/>
              </w:rPr>
            </w:pPr>
          </w:p>
          <w:p w14:paraId="1BE1C904" w14:textId="5A33710A" w:rsidR="009046EA" w:rsidRDefault="009046EA" w:rsidP="0064483B">
            <w:pPr>
              <w:rPr>
                <w:rFonts w:ascii="Arial" w:hAnsi="Arial" w:cs="Arial"/>
                <w:sz w:val="22"/>
                <w:szCs w:val="22"/>
              </w:rPr>
            </w:pPr>
          </w:p>
          <w:p w14:paraId="69CE7C38" w14:textId="161D3461" w:rsidR="00DC1693" w:rsidRPr="00BE53AE" w:rsidRDefault="00DC1693" w:rsidP="0064483B">
            <w:pPr>
              <w:rPr>
                <w:rFonts w:ascii="Arial" w:hAnsi="Arial" w:cs="Arial"/>
                <w:sz w:val="22"/>
                <w:szCs w:val="22"/>
              </w:rPr>
            </w:pPr>
          </w:p>
        </w:tc>
      </w:tr>
      <w:tr w:rsidR="003732E3" w:rsidRPr="00BE53AE" w14:paraId="3807F727" w14:textId="77777777" w:rsidTr="00693FA0">
        <w:tc>
          <w:tcPr>
            <w:tcW w:w="1702" w:type="dxa"/>
            <w:tcBorders>
              <w:top w:val="nil"/>
              <w:bottom w:val="nil"/>
            </w:tcBorders>
            <w:shd w:val="clear" w:color="auto" w:fill="D4ECFF"/>
            <w:vAlign w:val="center"/>
          </w:tcPr>
          <w:p w14:paraId="2595F19D" w14:textId="77777777" w:rsidR="003732E3" w:rsidRPr="00BE53AE" w:rsidRDefault="003732E3" w:rsidP="0064483B">
            <w:pPr>
              <w:rPr>
                <w:rFonts w:ascii="Arial" w:hAnsi="Arial" w:cs="Arial"/>
                <w:b/>
                <w:sz w:val="22"/>
                <w:szCs w:val="22"/>
              </w:rPr>
            </w:pPr>
            <w:r w:rsidRPr="00BE53AE">
              <w:rPr>
                <w:rFonts w:ascii="Arial" w:hAnsi="Arial" w:cs="Arial"/>
                <w:b/>
                <w:sz w:val="22"/>
                <w:szCs w:val="22"/>
              </w:rPr>
              <w:t>Recruitment</w:t>
            </w:r>
          </w:p>
        </w:tc>
        <w:tc>
          <w:tcPr>
            <w:tcW w:w="3969" w:type="dxa"/>
            <w:tcBorders>
              <w:top w:val="single" w:sz="4" w:space="0" w:color="auto"/>
              <w:bottom w:val="nil"/>
            </w:tcBorders>
            <w:vAlign w:val="center"/>
          </w:tcPr>
          <w:p w14:paraId="0462DA9F" w14:textId="77777777" w:rsidR="0082207D" w:rsidRDefault="003732E3" w:rsidP="0064483B">
            <w:pPr>
              <w:rPr>
                <w:rFonts w:ascii="Arial" w:hAnsi="Arial" w:cs="Arial"/>
                <w:sz w:val="22"/>
                <w:szCs w:val="22"/>
              </w:rPr>
            </w:pPr>
            <w:r w:rsidRPr="00BE53AE">
              <w:rPr>
                <w:rFonts w:ascii="Arial" w:hAnsi="Arial" w:cs="Arial"/>
                <w:sz w:val="22"/>
                <w:szCs w:val="22"/>
              </w:rPr>
              <w:t>review our gender monitoring through all employee lifecycles to identify any barriers to gender equality and inform priorities for action</w:t>
            </w:r>
          </w:p>
          <w:p w14:paraId="5F69BD48" w14:textId="77777777" w:rsidR="00A558A7" w:rsidRPr="00BE53AE" w:rsidRDefault="00A558A7" w:rsidP="0064483B">
            <w:pPr>
              <w:rPr>
                <w:rFonts w:ascii="Arial" w:hAnsi="Arial" w:cs="Arial"/>
                <w:sz w:val="22"/>
                <w:szCs w:val="22"/>
              </w:rPr>
            </w:pPr>
          </w:p>
          <w:p w14:paraId="768F63D8" w14:textId="77777777" w:rsidR="003657BF" w:rsidRPr="00BE53AE" w:rsidRDefault="008D42B9" w:rsidP="0064483B">
            <w:pPr>
              <w:rPr>
                <w:rFonts w:ascii="Arial" w:hAnsi="Arial" w:cs="Arial"/>
                <w:sz w:val="22"/>
                <w:szCs w:val="22"/>
              </w:rPr>
            </w:pPr>
            <w:r w:rsidRPr="00BE53AE">
              <w:rPr>
                <w:rFonts w:ascii="Arial" w:hAnsi="Arial" w:cs="Arial"/>
                <w:sz w:val="22"/>
                <w:szCs w:val="22"/>
              </w:rPr>
              <w:t>r</w:t>
            </w:r>
            <w:r w:rsidR="0082207D" w:rsidRPr="00BE53AE">
              <w:rPr>
                <w:rFonts w:ascii="Arial" w:hAnsi="Arial" w:cs="Arial"/>
                <w:sz w:val="22"/>
                <w:szCs w:val="22"/>
              </w:rPr>
              <w:t>eview existing recruitment practices to identify which areas need more promotion to attract women and men into roles where they are underrepresented</w:t>
            </w:r>
          </w:p>
        </w:tc>
        <w:tc>
          <w:tcPr>
            <w:tcW w:w="5103" w:type="dxa"/>
            <w:tcBorders>
              <w:top w:val="single" w:sz="4" w:space="0" w:color="auto"/>
              <w:bottom w:val="nil"/>
            </w:tcBorders>
            <w:vAlign w:val="center"/>
          </w:tcPr>
          <w:p w14:paraId="733C625E" w14:textId="77777777" w:rsidR="0082207D" w:rsidRDefault="008D42B9" w:rsidP="0064483B">
            <w:pPr>
              <w:rPr>
                <w:rFonts w:ascii="Arial" w:hAnsi="Arial" w:cs="Arial"/>
                <w:sz w:val="22"/>
                <w:szCs w:val="22"/>
              </w:rPr>
            </w:pPr>
            <w:r w:rsidRPr="00BE53AE">
              <w:rPr>
                <w:rFonts w:ascii="Arial" w:hAnsi="Arial" w:cs="Arial"/>
                <w:sz w:val="22"/>
                <w:szCs w:val="22"/>
              </w:rPr>
              <w:t>e</w:t>
            </w:r>
            <w:r w:rsidR="0082207D" w:rsidRPr="00BE53AE">
              <w:rPr>
                <w:rFonts w:ascii="Arial" w:hAnsi="Arial" w:cs="Arial"/>
                <w:sz w:val="22"/>
                <w:szCs w:val="22"/>
              </w:rPr>
              <w:t>nsured that ACAS Unconscious Bias awareness principles and promotion of Flexible Working principles are featured within our standard Recruitment and Selection Training</w:t>
            </w:r>
          </w:p>
          <w:p w14:paraId="6E96A52F" w14:textId="77777777" w:rsidR="00A558A7" w:rsidRPr="00BE53AE" w:rsidRDefault="00A558A7" w:rsidP="0064483B">
            <w:pPr>
              <w:rPr>
                <w:rFonts w:ascii="Arial" w:hAnsi="Arial" w:cs="Arial"/>
                <w:sz w:val="22"/>
                <w:szCs w:val="22"/>
              </w:rPr>
            </w:pPr>
          </w:p>
          <w:p w14:paraId="013743B9" w14:textId="77777777" w:rsidR="001C1618" w:rsidRDefault="008D42B9" w:rsidP="00A27B60">
            <w:pPr>
              <w:rPr>
                <w:rFonts w:ascii="Arial" w:hAnsi="Arial" w:cs="Arial"/>
                <w:sz w:val="22"/>
                <w:szCs w:val="22"/>
              </w:rPr>
            </w:pPr>
            <w:r w:rsidRPr="00BE53AE">
              <w:rPr>
                <w:rFonts w:ascii="Arial" w:hAnsi="Arial" w:cs="Arial"/>
                <w:sz w:val="22"/>
                <w:szCs w:val="22"/>
              </w:rPr>
              <w:t>e</w:t>
            </w:r>
            <w:r w:rsidR="0082207D" w:rsidRPr="00BE53AE">
              <w:rPr>
                <w:rFonts w:ascii="Arial" w:hAnsi="Arial" w:cs="Arial"/>
                <w:sz w:val="22"/>
                <w:szCs w:val="22"/>
              </w:rPr>
              <w:t>xplored unconscious bias training more with external consultant and neighbouring authority, together with our own Equalities team and Staff Working Groups</w:t>
            </w:r>
          </w:p>
          <w:p w14:paraId="3676C539" w14:textId="77777777" w:rsidR="00D00267" w:rsidRDefault="00D00267" w:rsidP="00A27B60">
            <w:pPr>
              <w:rPr>
                <w:rFonts w:ascii="Arial" w:hAnsi="Arial" w:cs="Arial"/>
                <w:sz w:val="22"/>
                <w:szCs w:val="22"/>
              </w:rPr>
            </w:pPr>
          </w:p>
          <w:p w14:paraId="108793A6" w14:textId="4DC6DC4A" w:rsidR="00D00267" w:rsidRPr="00BE53AE" w:rsidRDefault="00D00267" w:rsidP="00A27B60">
            <w:pPr>
              <w:rPr>
                <w:rFonts w:ascii="Arial" w:hAnsi="Arial" w:cs="Arial"/>
                <w:sz w:val="22"/>
                <w:szCs w:val="22"/>
              </w:rPr>
            </w:pPr>
            <w:r>
              <w:rPr>
                <w:rFonts w:ascii="Arial" w:hAnsi="Arial" w:cs="Arial"/>
                <w:sz w:val="22"/>
                <w:szCs w:val="22"/>
              </w:rPr>
              <w:t>identified a suite of reports that will feed into the HR dashboard</w:t>
            </w:r>
            <w:r w:rsidR="00E052CA">
              <w:rPr>
                <w:rFonts w:ascii="Arial" w:hAnsi="Arial" w:cs="Arial"/>
                <w:sz w:val="22"/>
                <w:szCs w:val="22"/>
              </w:rPr>
              <w:t xml:space="preserve"> and improve management reporting capability</w:t>
            </w:r>
          </w:p>
        </w:tc>
        <w:tc>
          <w:tcPr>
            <w:tcW w:w="5244" w:type="dxa"/>
            <w:tcBorders>
              <w:top w:val="single" w:sz="4" w:space="0" w:color="auto"/>
              <w:bottom w:val="nil"/>
            </w:tcBorders>
            <w:vAlign w:val="center"/>
          </w:tcPr>
          <w:p w14:paraId="5D11014C" w14:textId="11604096" w:rsidR="001F7AE0" w:rsidRDefault="001F7AE0" w:rsidP="0064483B">
            <w:pPr>
              <w:rPr>
                <w:rFonts w:ascii="Arial" w:hAnsi="Arial" w:cs="Arial"/>
                <w:sz w:val="22"/>
                <w:szCs w:val="22"/>
              </w:rPr>
            </w:pPr>
            <w:r>
              <w:rPr>
                <w:rFonts w:ascii="Arial" w:hAnsi="Arial" w:cs="Arial"/>
                <w:sz w:val="22"/>
                <w:szCs w:val="22"/>
              </w:rPr>
              <w:t xml:space="preserve">Continue with the piece of work to </w:t>
            </w:r>
            <w:r w:rsidR="00401138">
              <w:rPr>
                <w:rFonts w:ascii="Arial" w:hAnsi="Arial" w:cs="Arial"/>
                <w:sz w:val="22"/>
                <w:szCs w:val="22"/>
              </w:rPr>
              <w:t>i</w:t>
            </w:r>
            <w:r>
              <w:rPr>
                <w:rFonts w:ascii="Arial" w:hAnsi="Arial" w:cs="Arial"/>
                <w:sz w:val="22"/>
                <w:szCs w:val="22"/>
              </w:rPr>
              <w:t xml:space="preserve">dentify gaps </w:t>
            </w:r>
            <w:proofErr w:type="gramStart"/>
            <w:r>
              <w:rPr>
                <w:rFonts w:ascii="Arial" w:hAnsi="Arial" w:cs="Arial"/>
                <w:sz w:val="22"/>
                <w:szCs w:val="22"/>
              </w:rPr>
              <w:t>in</w:t>
            </w:r>
            <w:r w:rsidR="0028443E">
              <w:rPr>
                <w:rFonts w:ascii="Arial" w:hAnsi="Arial" w:cs="Arial"/>
                <w:sz w:val="22"/>
                <w:szCs w:val="22"/>
              </w:rPr>
              <w:t xml:space="preserve"> </w:t>
            </w:r>
            <w:r>
              <w:rPr>
                <w:rFonts w:ascii="Arial" w:hAnsi="Arial" w:cs="Arial"/>
                <w:sz w:val="22"/>
                <w:szCs w:val="22"/>
              </w:rPr>
              <w:t xml:space="preserve"> data</w:t>
            </w:r>
            <w:proofErr w:type="gramEnd"/>
            <w:r w:rsidR="00A27B60">
              <w:rPr>
                <w:rFonts w:ascii="Arial" w:hAnsi="Arial" w:cs="Arial"/>
                <w:sz w:val="22"/>
                <w:szCs w:val="22"/>
              </w:rPr>
              <w:t>.</w:t>
            </w:r>
          </w:p>
          <w:p w14:paraId="42B78031" w14:textId="77777777" w:rsidR="001F7AE0" w:rsidRDefault="001F7AE0" w:rsidP="0064483B">
            <w:pPr>
              <w:rPr>
                <w:rFonts w:ascii="Arial" w:hAnsi="Arial" w:cs="Arial"/>
                <w:sz w:val="22"/>
                <w:szCs w:val="22"/>
              </w:rPr>
            </w:pPr>
          </w:p>
          <w:p w14:paraId="3C3802CC" w14:textId="359BC492" w:rsidR="003732E3" w:rsidRDefault="00D36ED1" w:rsidP="0064483B">
            <w:pPr>
              <w:rPr>
                <w:rFonts w:ascii="Arial" w:hAnsi="Arial" w:cs="Arial"/>
                <w:sz w:val="22"/>
                <w:szCs w:val="22"/>
              </w:rPr>
            </w:pPr>
            <w:r>
              <w:rPr>
                <w:rFonts w:ascii="Arial" w:hAnsi="Arial" w:cs="Arial"/>
                <w:sz w:val="22"/>
                <w:szCs w:val="22"/>
              </w:rPr>
              <w:t xml:space="preserve">Finalise reports and publish – to </w:t>
            </w:r>
            <w:r w:rsidR="003407DF" w:rsidRPr="00BE53AE">
              <w:rPr>
                <w:rFonts w:ascii="Arial" w:hAnsi="Arial" w:cs="Arial"/>
                <w:sz w:val="22"/>
                <w:szCs w:val="22"/>
              </w:rPr>
              <w:t xml:space="preserve">enable some detailed analysis on </w:t>
            </w:r>
            <w:r w:rsidR="007A6663" w:rsidRPr="00BE53AE">
              <w:rPr>
                <w:rFonts w:ascii="Arial" w:hAnsi="Arial" w:cs="Arial"/>
                <w:sz w:val="22"/>
                <w:szCs w:val="22"/>
              </w:rPr>
              <w:t xml:space="preserve">the gender balance </w:t>
            </w:r>
            <w:r w:rsidR="008C60BE" w:rsidRPr="00BE53AE">
              <w:rPr>
                <w:rFonts w:ascii="Arial" w:hAnsi="Arial" w:cs="Arial"/>
                <w:sz w:val="22"/>
                <w:szCs w:val="22"/>
              </w:rPr>
              <w:t>within the employee lifecy</w:t>
            </w:r>
            <w:r w:rsidR="00313B70">
              <w:rPr>
                <w:rFonts w:ascii="Arial" w:hAnsi="Arial" w:cs="Arial"/>
                <w:sz w:val="22"/>
                <w:szCs w:val="22"/>
              </w:rPr>
              <w:t>c</w:t>
            </w:r>
            <w:r w:rsidR="008C60BE" w:rsidRPr="00BE53AE">
              <w:rPr>
                <w:rFonts w:ascii="Arial" w:hAnsi="Arial" w:cs="Arial"/>
                <w:sz w:val="22"/>
                <w:szCs w:val="22"/>
              </w:rPr>
              <w:t xml:space="preserve">le </w:t>
            </w:r>
            <w:proofErr w:type="spellStart"/>
            <w:proofErr w:type="gramStart"/>
            <w:r w:rsidR="008C60BE" w:rsidRPr="00BE53AE">
              <w:rPr>
                <w:rFonts w:ascii="Arial" w:hAnsi="Arial" w:cs="Arial"/>
                <w:sz w:val="22"/>
                <w:szCs w:val="22"/>
              </w:rPr>
              <w:t>eg</w:t>
            </w:r>
            <w:proofErr w:type="spellEnd"/>
            <w:proofErr w:type="gramEnd"/>
            <w:r w:rsidR="008C60BE" w:rsidRPr="00BE53AE">
              <w:rPr>
                <w:rFonts w:ascii="Arial" w:hAnsi="Arial" w:cs="Arial"/>
                <w:sz w:val="22"/>
                <w:szCs w:val="22"/>
              </w:rPr>
              <w:t xml:space="preserve"> </w:t>
            </w:r>
            <w:r w:rsidR="007A6663" w:rsidRPr="00BE53AE">
              <w:rPr>
                <w:rFonts w:ascii="Arial" w:hAnsi="Arial" w:cs="Arial"/>
                <w:sz w:val="22"/>
                <w:szCs w:val="22"/>
              </w:rPr>
              <w:t xml:space="preserve">re. </w:t>
            </w:r>
            <w:r w:rsidR="003407DF" w:rsidRPr="00BE53AE">
              <w:rPr>
                <w:rFonts w:ascii="Arial" w:hAnsi="Arial" w:cs="Arial"/>
                <w:sz w:val="22"/>
                <w:szCs w:val="22"/>
              </w:rPr>
              <w:t xml:space="preserve">interest in posts, shortlisted candidates, successful </w:t>
            </w:r>
            <w:r w:rsidR="007A6663" w:rsidRPr="00BE53AE">
              <w:rPr>
                <w:rFonts w:ascii="Arial" w:hAnsi="Arial" w:cs="Arial"/>
                <w:sz w:val="22"/>
                <w:szCs w:val="22"/>
              </w:rPr>
              <w:t xml:space="preserve">appointed </w:t>
            </w:r>
            <w:r w:rsidR="000D5B60">
              <w:rPr>
                <w:rFonts w:ascii="Arial" w:hAnsi="Arial" w:cs="Arial"/>
                <w:sz w:val="22"/>
                <w:szCs w:val="22"/>
              </w:rPr>
              <w:t>candidates</w:t>
            </w:r>
          </w:p>
          <w:p w14:paraId="4BD02E7D" w14:textId="77777777" w:rsidR="00A558A7" w:rsidRPr="00BE53AE" w:rsidRDefault="00A558A7" w:rsidP="0064483B">
            <w:pPr>
              <w:rPr>
                <w:rFonts w:ascii="Arial" w:hAnsi="Arial" w:cs="Arial"/>
                <w:sz w:val="22"/>
                <w:szCs w:val="22"/>
              </w:rPr>
            </w:pPr>
          </w:p>
          <w:p w14:paraId="0C945E36" w14:textId="370FBDBB" w:rsidR="003657BF" w:rsidRDefault="003407DF" w:rsidP="0064483B">
            <w:pPr>
              <w:rPr>
                <w:rFonts w:ascii="Arial" w:hAnsi="Arial" w:cs="Arial"/>
                <w:sz w:val="22"/>
                <w:szCs w:val="22"/>
              </w:rPr>
            </w:pPr>
            <w:r w:rsidRPr="00BE53AE">
              <w:rPr>
                <w:rFonts w:ascii="Arial" w:hAnsi="Arial" w:cs="Arial"/>
                <w:sz w:val="22"/>
                <w:szCs w:val="22"/>
              </w:rPr>
              <w:t>Identify key areas of underrepresentation and further action</w:t>
            </w:r>
            <w:r w:rsidR="001649A7">
              <w:rPr>
                <w:rFonts w:ascii="Arial" w:hAnsi="Arial" w:cs="Arial"/>
                <w:sz w:val="22"/>
                <w:szCs w:val="22"/>
              </w:rPr>
              <w:t xml:space="preserve"> </w:t>
            </w:r>
          </w:p>
          <w:p w14:paraId="32EEE734" w14:textId="77777777" w:rsidR="00A558A7" w:rsidRPr="00BE53AE" w:rsidRDefault="00A558A7" w:rsidP="0064483B">
            <w:pPr>
              <w:rPr>
                <w:rFonts w:ascii="Arial" w:hAnsi="Arial" w:cs="Arial"/>
                <w:sz w:val="22"/>
                <w:szCs w:val="22"/>
              </w:rPr>
            </w:pPr>
          </w:p>
          <w:p w14:paraId="12288877" w14:textId="55355D14" w:rsidR="003407DF" w:rsidRPr="00BE53AE" w:rsidRDefault="001649A7" w:rsidP="0064483B">
            <w:pPr>
              <w:rPr>
                <w:rFonts w:ascii="Arial" w:hAnsi="Arial" w:cs="Arial"/>
                <w:sz w:val="22"/>
                <w:szCs w:val="22"/>
              </w:rPr>
            </w:pPr>
            <w:r>
              <w:rPr>
                <w:rFonts w:ascii="Arial" w:hAnsi="Arial" w:cs="Arial"/>
                <w:sz w:val="22"/>
                <w:szCs w:val="22"/>
              </w:rPr>
              <w:t xml:space="preserve">Continue to embed </w:t>
            </w:r>
            <w:r w:rsidR="0082207D" w:rsidRPr="00BE53AE">
              <w:rPr>
                <w:rFonts w:ascii="Arial" w:hAnsi="Arial" w:cs="Arial"/>
                <w:sz w:val="22"/>
                <w:szCs w:val="22"/>
              </w:rPr>
              <w:t>unconscious bias training</w:t>
            </w:r>
            <w:r w:rsidR="001F7AE0">
              <w:rPr>
                <w:rFonts w:ascii="Arial" w:hAnsi="Arial" w:cs="Arial"/>
                <w:sz w:val="22"/>
                <w:szCs w:val="22"/>
              </w:rPr>
              <w:t xml:space="preserve"> in our own practice and corporate training</w:t>
            </w:r>
            <w:r w:rsidR="00F5208E">
              <w:rPr>
                <w:rFonts w:ascii="Arial" w:hAnsi="Arial" w:cs="Arial"/>
                <w:sz w:val="22"/>
                <w:szCs w:val="22"/>
              </w:rPr>
              <w:t xml:space="preserve"> recruitment</w:t>
            </w:r>
            <w:r w:rsidR="001F7AE0">
              <w:rPr>
                <w:rFonts w:ascii="Arial" w:hAnsi="Arial" w:cs="Arial"/>
                <w:sz w:val="22"/>
                <w:szCs w:val="22"/>
              </w:rPr>
              <w:t xml:space="preserve"> programmes</w:t>
            </w:r>
            <w:r>
              <w:rPr>
                <w:rFonts w:ascii="Arial" w:hAnsi="Arial" w:cs="Arial"/>
                <w:sz w:val="22"/>
                <w:szCs w:val="22"/>
              </w:rPr>
              <w:t xml:space="preserve">  </w:t>
            </w:r>
          </w:p>
        </w:tc>
      </w:tr>
      <w:tr w:rsidR="001C1618" w:rsidRPr="001D39F4" w14:paraId="3B2E2735" w14:textId="77777777" w:rsidTr="00693FA0">
        <w:trPr>
          <w:trHeight w:val="510"/>
        </w:trPr>
        <w:tc>
          <w:tcPr>
            <w:tcW w:w="1702" w:type="dxa"/>
            <w:tcBorders>
              <w:top w:val="nil"/>
              <w:bottom w:val="nil"/>
            </w:tcBorders>
            <w:shd w:val="clear" w:color="auto" w:fill="D4ECFF"/>
            <w:vAlign w:val="center"/>
          </w:tcPr>
          <w:p w14:paraId="5C78BE95" w14:textId="16BCBC66" w:rsidR="001C1618" w:rsidRPr="001D39F4" w:rsidRDefault="001C1618" w:rsidP="005F2686">
            <w:pPr>
              <w:rPr>
                <w:rFonts w:ascii="Arial" w:hAnsi="Arial" w:cs="Arial"/>
                <w:b/>
                <w:sz w:val="22"/>
                <w:szCs w:val="21"/>
              </w:rPr>
            </w:pPr>
            <w:r>
              <w:lastRenderedPageBreak/>
              <w:br w:type="page"/>
            </w:r>
            <w:bookmarkStart w:id="1" w:name="_Hlk31773233"/>
            <w:r w:rsidRPr="001D39F4">
              <w:rPr>
                <w:rFonts w:ascii="Arial" w:hAnsi="Arial" w:cs="Arial"/>
                <w:b/>
                <w:sz w:val="22"/>
                <w:szCs w:val="21"/>
              </w:rPr>
              <w:t>Area of…</w:t>
            </w:r>
          </w:p>
        </w:tc>
        <w:tc>
          <w:tcPr>
            <w:tcW w:w="3969" w:type="dxa"/>
            <w:tcBorders>
              <w:top w:val="nil"/>
              <w:bottom w:val="nil"/>
            </w:tcBorders>
            <w:shd w:val="clear" w:color="auto" w:fill="8DCDE1"/>
            <w:vAlign w:val="center"/>
          </w:tcPr>
          <w:p w14:paraId="1F344893" w14:textId="01C1D980" w:rsidR="001C1618" w:rsidRPr="001D39F4" w:rsidRDefault="000D703A" w:rsidP="005F2686">
            <w:pPr>
              <w:rPr>
                <w:rFonts w:ascii="Arial" w:hAnsi="Arial" w:cs="Arial"/>
                <w:b/>
                <w:sz w:val="22"/>
                <w:szCs w:val="21"/>
              </w:rPr>
            </w:pPr>
            <w:r>
              <w:rPr>
                <w:rFonts w:ascii="Arial" w:hAnsi="Arial" w:cs="Arial"/>
                <w:b/>
                <w:sz w:val="22"/>
                <w:szCs w:val="21"/>
              </w:rPr>
              <w:t>Previously</w:t>
            </w:r>
            <w:r w:rsidR="001649A7">
              <w:rPr>
                <w:rFonts w:ascii="Arial" w:hAnsi="Arial" w:cs="Arial"/>
                <w:b/>
                <w:sz w:val="22"/>
                <w:szCs w:val="21"/>
              </w:rPr>
              <w:t xml:space="preserve"> </w:t>
            </w:r>
            <w:r w:rsidR="001C1618" w:rsidRPr="001D39F4">
              <w:rPr>
                <w:rFonts w:ascii="Arial" w:hAnsi="Arial" w:cs="Arial"/>
                <w:b/>
                <w:sz w:val="22"/>
                <w:szCs w:val="21"/>
              </w:rPr>
              <w:t>we said we would…</w:t>
            </w:r>
          </w:p>
        </w:tc>
        <w:tc>
          <w:tcPr>
            <w:tcW w:w="5103" w:type="dxa"/>
            <w:tcBorders>
              <w:top w:val="nil"/>
              <w:bottom w:val="nil"/>
            </w:tcBorders>
            <w:shd w:val="clear" w:color="auto" w:fill="8DCDE1"/>
            <w:vAlign w:val="center"/>
          </w:tcPr>
          <w:p w14:paraId="33D0FF34" w14:textId="77777777" w:rsidR="001C1618" w:rsidRPr="001D39F4" w:rsidRDefault="001C1618" w:rsidP="005F2686">
            <w:pPr>
              <w:rPr>
                <w:rFonts w:ascii="Arial" w:hAnsi="Arial" w:cs="Arial"/>
                <w:b/>
                <w:sz w:val="22"/>
                <w:szCs w:val="21"/>
              </w:rPr>
            </w:pPr>
            <w:r w:rsidRPr="001D39F4">
              <w:rPr>
                <w:rFonts w:ascii="Arial" w:hAnsi="Arial" w:cs="Arial"/>
                <w:b/>
                <w:sz w:val="22"/>
                <w:szCs w:val="21"/>
              </w:rPr>
              <w:t xml:space="preserve">So </w:t>
            </w:r>
            <w:proofErr w:type="gramStart"/>
            <w:r w:rsidRPr="001D39F4">
              <w:rPr>
                <w:rFonts w:ascii="Arial" w:hAnsi="Arial" w:cs="Arial"/>
                <w:b/>
                <w:sz w:val="22"/>
                <w:szCs w:val="21"/>
              </w:rPr>
              <w:t>far</w:t>
            </w:r>
            <w:proofErr w:type="gramEnd"/>
            <w:r w:rsidRPr="001D39F4">
              <w:rPr>
                <w:rFonts w:ascii="Arial" w:hAnsi="Arial" w:cs="Arial"/>
                <w:b/>
                <w:sz w:val="22"/>
                <w:szCs w:val="21"/>
              </w:rPr>
              <w:t xml:space="preserve"> we have…</w:t>
            </w:r>
          </w:p>
        </w:tc>
        <w:tc>
          <w:tcPr>
            <w:tcW w:w="5244" w:type="dxa"/>
            <w:tcBorders>
              <w:top w:val="nil"/>
              <w:bottom w:val="nil"/>
            </w:tcBorders>
            <w:shd w:val="clear" w:color="auto" w:fill="8DCDE1"/>
            <w:vAlign w:val="center"/>
          </w:tcPr>
          <w:p w14:paraId="73DB3286" w14:textId="6F079AD3" w:rsidR="001C1618" w:rsidRPr="001D39F4" w:rsidRDefault="001C1618" w:rsidP="005F2686">
            <w:pPr>
              <w:rPr>
                <w:rFonts w:ascii="Arial" w:hAnsi="Arial" w:cs="Arial"/>
                <w:b/>
                <w:sz w:val="22"/>
                <w:szCs w:val="21"/>
              </w:rPr>
            </w:pPr>
            <w:r w:rsidRPr="001D39F4">
              <w:rPr>
                <w:rFonts w:ascii="Arial" w:hAnsi="Arial" w:cs="Arial"/>
                <w:b/>
                <w:sz w:val="22"/>
                <w:szCs w:val="21"/>
              </w:rPr>
              <w:t>During 20</w:t>
            </w:r>
            <w:r w:rsidR="001649A7">
              <w:rPr>
                <w:rFonts w:ascii="Arial" w:hAnsi="Arial" w:cs="Arial"/>
                <w:b/>
                <w:sz w:val="22"/>
                <w:szCs w:val="21"/>
              </w:rPr>
              <w:t>2</w:t>
            </w:r>
            <w:r w:rsidR="004778C4">
              <w:rPr>
                <w:rFonts w:ascii="Arial" w:hAnsi="Arial" w:cs="Arial"/>
                <w:b/>
                <w:sz w:val="22"/>
                <w:szCs w:val="21"/>
              </w:rPr>
              <w:t>2</w:t>
            </w:r>
            <w:r w:rsidRPr="001D39F4">
              <w:rPr>
                <w:rFonts w:ascii="Arial" w:hAnsi="Arial" w:cs="Arial"/>
                <w:b/>
                <w:sz w:val="22"/>
                <w:szCs w:val="21"/>
              </w:rPr>
              <w:t xml:space="preserve"> we will…</w:t>
            </w:r>
          </w:p>
        </w:tc>
      </w:tr>
      <w:tr w:rsidR="003732E3" w:rsidRPr="001D39F4" w14:paraId="413CCFAC" w14:textId="77777777" w:rsidTr="0097092B">
        <w:trPr>
          <w:trHeight w:val="2382"/>
        </w:trPr>
        <w:tc>
          <w:tcPr>
            <w:tcW w:w="1702" w:type="dxa"/>
            <w:tcBorders>
              <w:top w:val="nil"/>
              <w:bottom w:val="nil"/>
            </w:tcBorders>
            <w:shd w:val="clear" w:color="auto" w:fill="D4ECFF"/>
            <w:vAlign w:val="center"/>
          </w:tcPr>
          <w:p w14:paraId="3CF17B3C" w14:textId="77777777" w:rsidR="00840B9C" w:rsidRDefault="00840B9C" w:rsidP="0064483B">
            <w:pPr>
              <w:rPr>
                <w:rFonts w:ascii="Arial" w:hAnsi="Arial" w:cs="Arial"/>
                <w:b/>
                <w:sz w:val="22"/>
                <w:szCs w:val="21"/>
              </w:rPr>
            </w:pPr>
          </w:p>
          <w:p w14:paraId="16081128" w14:textId="77777777" w:rsidR="00840B9C" w:rsidRDefault="00840B9C" w:rsidP="0064483B">
            <w:pPr>
              <w:rPr>
                <w:rFonts w:ascii="Arial" w:hAnsi="Arial" w:cs="Arial"/>
                <w:b/>
                <w:sz w:val="22"/>
                <w:szCs w:val="21"/>
              </w:rPr>
            </w:pPr>
          </w:p>
          <w:p w14:paraId="2A36DE18" w14:textId="77777777" w:rsidR="00840B9C" w:rsidRDefault="00840B9C" w:rsidP="0064483B">
            <w:pPr>
              <w:rPr>
                <w:rFonts w:ascii="Arial" w:hAnsi="Arial" w:cs="Arial"/>
                <w:b/>
                <w:sz w:val="22"/>
                <w:szCs w:val="21"/>
              </w:rPr>
            </w:pPr>
          </w:p>
          <w:p w14:paraId="2810ADFF" w14:textId="77777777" w:rsidR="00840B9C" w:rsidRDefault="00840B9C" w:rsidP="0064483B">
            <w:pPr>
              <w:rPr>
                <w:rFonts w:ascii="Arial" w:hAnsi="Arial" w:cs="Arial"/>
                <w:b/>
                <w:sz w:val="22"/>
                <w:szCs w:val="21"/>
              </w:rPr>
            </w:pPr>
          </w:p>
          <w:p w14:paraId="66673B50" w14:textId="77777777" w:rsidR="00840B9C" w:rsidRDefault="00840B9C" w:rsidP="0064483B">
            <w:pPr>
              <w:rPr>
                <w:rFonts w:ascii="Arial" w:hAnsi="Arial" w:cs="Arial"/>
                <w:b/>
                <w:sz w:val="22"/>
                <w:szCs w:val="21"/>
              </w:rPr>
            </w:pPr>
          </w:p>
          <w:p w14:paraId="48897E94" w14:textId="77777777" w:rsidR="00840B9C" w:rsidRDefault="00840B9C" w:rsidP="0064483B">
            <w:pPr>
              <w:rPr>
                <w:rFonts w:ascii="Arial" w:hAnsi="Arial" w:cs="Arial"/>
                <w:b/>
                <w:sz w:val="22"/>
                <w:szCs w:val="21"/>
              </w:rPr>
            </w:pPr>
          </w:p>
          <w:p w14:paraId="205D7671" w14:textId="77777777" w:rsidR="00840B9C" w:rsidRDefault="00840B9C" w:rsidP="0064483B">
            <w:pPr>
              <w:rPr>
                <w:rFonts w:ascii="Arial" w:hAnsi="Arial" w:cs="Arial"/>
                <w:b/>
                <w:sz w:val="22"/>
                <w:szCs w:val="21"/>
              </w:rPr>
            </w:pPr>
          </w:p>
          <w:p w14:paraId="51420C41" w14:textId="77777777" w:rsidR="00840B9C" w:rsidRDefault="00840B9C" w:rsidP="0064483B">
            <w:pPr>
              <w:rPr>
                <w:rFonts w:ascii="Arial" w:hAnsi="Arial" w:cs="Arial"/>
                <w:b/>
                <w:sz w:val="22"/>
                <w:szCs w:val="21"/>
              </w:rPr>
            </w:pPr>
          </w:p>
          <w:p w14:paraId="5099D921" w14:textId="77777777" w:rsidR="00840B9C" w:rsidRDefault="00840B9C" w:rsidP="0064483B">
            <w:pPr>
              <w:rPr>
                <w:rFonts w:ascii="Arial" w:hAnsi="Arial" w:cs="Arial"/>
                <w:b/>
                <w:sz w:val="22"/>
                <w:szCs w:val="21"/>
              </w:rPr>
            </w:pPr>
          </w:p>
          <w:p w14:paraId="5D2F8F5F" w14:textId="77777777" w:rsidR="00840B9C" w:rsidRDefault="00840B9C" w:rsidP="0064483B">
            <w:pPr>
              <w:rPr>
                <w:rFonts w:ascii="Arial" w:hAnsi="Arial" w:cs="Arial"/>
                <w:b/>
                <w:sz w:val="22"/>
                <w:szCs w:val="21"/>
              </w:rPr>
            </w:pPr>
          </w:p>
          <w:p w14:paraId="73083D61" w14:textId="77777777" w:rsidR="00840B9C" w:rsidRDefault="00840B9C" w:rsidP="0064483B">
            <w:pPr>
              <w:rPr>
                <w:rFonts w:ascii="Arial" w:hAnsi="Arial" w:cs="Arial"/>
                <w:b/>
                <w:sz w:val="22"/>
                <w:szCs w:val="21"/>
              </w:rPr>
            </w:pPr>
          </w:p>
          <w:p w14:paraId="7262FCE7" w14:textId="77777777" w:rsidR="00840B9C" w:rsidRDefault="00840B9C" w:rsidP="0064483B">
            <w:pPr>
              <w:rPr>
                <w:rFonts w:ascii="Arial" w:hAnsi="Arial" w:cs="Arial"/>
                <w:b/>
                <w:sz w:val="22"/>
                <w:szCs w:val="21"/>
              </w:rPr>
            </w:pPr>
          </w:p>
          <w:p w14:paraId="70098D75" w14:textId="77777777" w:rsidR="00840B9C" w:rsidRDefault="00840B9C" w:rsidP="0064483B">
            <w:pPr>
              <w:rPr>
                <w:rFonts w:ascii="Arial" w:hAnsi="Arial" w:cs="Arial"/>
                <w:b/>
                <w:sz w:val="22"/>
                <w:szCs w:val="21"/>
              </w:rPr>
            </w:pPr>
          </w:p>
          <w:p w14:paraId="34363804" w14:textId="77777777" w:rsidR="00840B9C" w:rsidRDefault="00840B9C" w:rsidP="0064483B">
            <w:pPr>
              <w:rPr>
                <w:rFonts w:ascii="Arial" w:hAnsi="Arial" w:cs="Arial"/>
                <w:b/>
                <w:sz w:val="22"/>
                <w:szCs w:val="21"/>
              </w:rPr>
            </w:pPr>
          </w:p>
          <w:p w14:paraId="693B8EEC" w14:textId="77777777" w:rsidR="00C03656" w:rsidRDefault="00C03656" w:rsidP="0064483B">
            <w:pPr>
              <w:rPr>
                <w:rFonts w:ascii="Arial" w:hAnsi="Arial" w:cs="Arial"/>
                <w:b/>
                <w:sz w:val="22"/>
                <w:szCs w:val="21"/>
              </w:rPr>
            </w:pPr>
          </w:p>
          <w:p w14:paraId="33656D25" w14:textId="77777777" w:rsidR="00C03656" w:rsidRDefault="00C03656" w:rsidP="0064483B">
            <w:pPr>
              <w:rPr>
                <w:rFonts w:ascii="Arial" w:hAnsi="Arial" w:cs="Arial"/>
                <w:b/>
                <w:sz w:val="22"/>
                <w:szCs w:val="21"/>
              </w:rPr>
            </w:pPr>
          </w:p>
          <w:p w14:paraId="3956138C" w14:textId="77777777" w:rsidR="00C03656" w:rsidRDefault="00C03656" w:rsidP="0064483B">
            <w:pPr>
              <w:rPr>
                <w:rFonts w:ascii="Arial" w:hAnsi="Arial" w:cs="Arial"/>
                <w:b/>
                <w:sz w:val="22"/>
                <w:szCs w:val="21"/>
              </w:rPr>
            </w:pPr>
          </w:p>
          <w:p w14:paraId="4CD9A763" w14:textId="5518F404" w:rsidR="003732E3" w:rsidRDefault="003732E3" w:rsidP="0064483B">
            <w:pPr>
              <w:rPr>
                <w:rFonts w:ascii="Arial" w:hAnsi="Arial" w:cs="Arial"/>
                <w:b/>
                <w:sz w:val="22"/>
                <w:szCs w:val="21"/>
              </w:rPr>
            </w:pPr>
            <w:r w:rsidRPr="001D39F4">
              <w:rPr>
                <w:rFonts w:ascii="Arial" w:hAnsi="Arial" w:cs="Arial"/>
                <w:b/>
                <w:sz w:val="22"/>
                <w:szCs w:val="21"/>
              </w:rPr>
              <w:t>Development</w:t>
            </w:r>
          </w:p>
          <w:p w14:paraId="19BBB627" w14:textId="77777777" w:rsidR="00840B9C" w:rsidRDefault="00840B9C" w:rsidP="0064483B">
            <w:pPr>
              <w:rPr>
                <w:rFonts w:ascii="Arial" w:hAnsi="Arial" w:cs="Arial"/>
                <w:b/>
                <w:sz w:val="22"/>
                <w:szCs w:val="21"/>
              </w:rPr>
            </w:pPr>
          </w:p>
          <w:p w14:paraId="4977003F" w14:textId="77777777" w:rsidR="00840B9C" w:rsidRDefault="00840B9C" w:rsidP="0064483B">
            <w:pPr>
              <w:rPr>
                <w:rFonts w:ascii="Arial" w:hAnsi="Arial" w:cs="Arial"/>
                <w:b/>
                <w:sz w:val="22"/>
                <w:szCs w:val="21"/>
              </w:rPr>
            </w:pPr>
          </w:p>
          <w:p w14:paraId="49989FA8" w14:textId="77777777" w:rsidR="00840B9C" w:rsidRDefault="00840B9C" w:rsidP="0064483B">
            <w:pPr>
              <w:rPr>
                <w:rFonts w:ascii="Arial" w:hAnsi="Arial" w:cs="Arial"/>
                <w:b/>
                <w:sz w:val="22"/>
                <w:szCs w:val="21"/>
              </w:rPr>
            </w:pPr>
          </w:p>
          <w:p w14:paraId="35DAAD82" w14:textId="77777777" w:rsidR="00840B9C" w:rsidRDefault="00840B9C" w:rsidP="0064483B">
            <w:pPr>
              <w:rPr>
                <w:rFonts w:ascii="Arial" w:hAnsi="Arial" w:cs="Arial"/>
                <w:b/>
                <w:sz w:val="22"/>
                <w:szCs w:val="21"/>
              </w:rPr>
            </w:pPr>
          </w:p>
          <w:p w14:paraId="11300455" w14:textId="77777777" w:rsidR="00840B9C" w:rsidRDefault="00840B9C" w:rsidP="0064483B">
            <w:pPr>
              <w:rPr>
                <w:rFonts w:ascii="Arial" w:hAnsi="Arial" w:cs="Arial"/>
                <w:b/>
                <w:sz w:val="22"/>
                <w:szCs w:val="21"/>
              </w:rPr>
            </w:pPr>
          </w:p>
          <w:p w14:paraId="282F0244" w14:textId="77777777" w:rsidR="00840B9C" w:rsidRDefault="00840B9C" w:rsidP="0064483B">
            <w:pPr>
              <w:rPr>
                <w:rFonts w:ascii="Arial" w:hAnsi="Arial" w:cs="Arial"/>
                <w:b/>
                <w:sz w:val="22"/>
                <w:szCs w:val="21"/>
              </w:rPr>
            </w:pPr>
          </w:p>
          <w:p w14:paraId="1B2B7385" w14:textId="77777777" w:rsidR="00840B9C" w:rsidRDefault="00840B9C" w:rsidP="0064483B">
            <w:pPr>
              <w:rPr>
                <w:rFonts w:ascii="Arial" w:hAnsi="Arial" w:cs="Arial"/>
                <w:b/>
                <w:sz w:val="22"/>
                <w:szCs w:val="21"/>
              </w:rPr>
            </w:pPr>
          </w:p>
          <w:p w14:paraId="042F4294" w14:textId="77777777" w:rsidR="00840B9C" w:rsidRDefault="00840B9C" w:rsidP="0064483B">
            <w:pPr>
              <w:rPr>
                <w:rFonts w:ascii="Arial" w:hAnsi="Arial" w:cs="Arial"/>
                <w:b/>
                <w:sz w:val="22"/>
                <w:szCs w:val="21"/>
              </w:rPr>
            </w:pPr>
          </w:p>
          <w:p w14:paraId="0CD4C407" w14:textId="77777777" w:rsidR="00840B9C" w:rsidRDefault="00840B9C" w:rsidP="0064483B">
            <w:pPr>
              <w:rPr>
                <w:rFonts w:ascii="Arial" w:hAnsi="Arial" w:cs="Arial"/>
                <w:b/>
                <w:sz w:val="22"/>
                <w:szCs w:val="21"/>
              </w:rPr>
            </w:pPr>
          </w:p>
          <w:p w14:paraId="60D4CCE1" w14:textId="77777777" w:rsidR="00840B9C" w:rsidRDefault="00840B9C" w:rsidP="0064483B">
            <w:pPr>
              <w:rPr>
                <w:rFonts w:ascii="Arial" w:hAnsi="Arial" w:cs="Arial"/>
                <w:b/>
                <w:sz w:val="22"/>
                <w:szCs w:val="21"/>
              </w:rPr>
            </w:pPr>
          </w:p>
          <w:p w14:paraId="3BBF475E" w14:textId="77777777" w:rsidR="00840B9C" w:rsidRDefault="00840B9C" w:rsidP="0064483B">
            <w:pPr>
              <w:rPr>
                <w:rFonts w:ascii="Arial" w:hAnsi="Arial" w:cs="Arial"/>
                <w:b/>
                <w:sz w:val="22"/>
                <w:szCs w:val="21"/>
              </w:rPr>
            </w:pPr>
          </w:p>
          <w:p w14:paraId="0BF59A42" w14:textId="77777777" w:rsidR="00840B9C" w:rsidRDefault="00840B9C" w:rsidP="0064483B">
            <w:pPr>
              <w:rPr>
                <w:rFonts w:ascii="Arial" w:hAnsi="Arial" w:cs="Arial"/>
                <w:b/>
                <w:sz w:val="22"/>
                <w:szCs w:val="21"/>
              </w:rPr>
            </w:pPr>
          </w:p>
          <w:p w14:paraId="6C3BD6AB" w14:textId="77777777" w:rsidR="00840B9C" w:rsidRDefault="00840B9C" w:rsidP="0064483B">
            <w:pPr>
              <w:rPr>
                <w:rFonts w:ascii="Arial" w:hAnsi="Arial" w:cs="Arial"/>
                <w:b/>
                <w:sz w:val="22"/>
                <w:szCs w:val="21"/>
              </w:rPr>
            </w:pPr>
          </w:p>
          <w:p w14:paraId="03B8407A" w14:textId="77777777" w:rsidR="00840B9C" w:rsidRDefault="00840B9C" w:rsidP="0064483B">
            <w:pPr>
              <w:rPr>
                <w:rFonts w:ascii="Arial" w:hAnsi="Arial" w:cs="Arial"/>
                <w:b/>
                <w:sz w:val="22"/>
                <w:szCs w:val="21"/>
              </w:rPr>
            </w:pPr>
          </w:p>
          <w:p w14:paraId="3F2ECE96" w14:textId="77777777" w:rsidR="00840B9C" w:rsidRDefault="00840B9C" w:rsidP="0064483B">
            <w:pPr>
              <w:rPr>
                <w:rFonts w:ascii="Arial" w:hAnsi="Arial" w:cs="Arial"/>
                <w:b/>
                <w:sz w:val="22"/>
                <w:szCs w:val="21"/>
              </w:rPr>
            </w:pPr>
          </w:p>
          <w:p w14:paraId="11B86AFE" w14:textId="77777777" w:rsidR="00840B9C" w:rsidRDefault="00840B9C" w:rsidP="0064483B">
            <w:pPr>
              <w:rPr>
                <w:rFonts w:ascii="Arial" w:hAnsi="Arial" w:cs="Arial"/>
                <w:b/>
                <w:sz w:val="22"/>
                <w:szCs w:val="21"/>
              </w:rPr>
            </w:pPr>
          </w:p>
          <w:p w14:paraId="2DB906FC" w14:textId="77777777" w:rsidR="00840B9C" w:rsidRDefault="00840B9C" w:rsidP="0064483B">
            <w:pPr>
              <w:rPr>
                <w:rFonts w:ascii="Arial" w:hAnsi="Arial" w:cs="Arial"/>
                <w:b/>
                <w:sz w:val="22"/>
                <w:szCs w:val="21"/>
              </w:rPr>
            </w:pPr>
          </w:p>
          <w:p w14:paraId="765B8AD8" w14:textId="77777777" w:rsidR="00840B9C" w:rsidRDefault="00840B9C" w:rsidP="0064483B">
            <w:pPr>
              <w:rPr>
                <w:rFonts w:ascii="Arial" w:hAnsi="Arial" w:cs="Arial"/>
                <w:b/>
                <w:sz w:val="22"/>
                <w:szCs w:val="21"/>
              </w:rPr>
            </w:pPr>
          </w:p>
          <w:p w14:paraId="2FB8D3D6" w14:textId="77777777" w:rsidR="00840B9C" w:rsidRDefault="00840B9C" w:rsidP="0064483B">
            <w:pPr>
              <w:rPr>
                <w:rFonts w:ascii="Arial" w:hAnsi="Arial" w:cs="Arial"/>
                <w:b/>
                <w:sz w:val="22"/>
                <w:szCs w:val="21"/>
              </w:rPr>
            </w:pPr>
          </w:p>
          <w:p w14:paraId="7B752FBE" w14:textId="77777777" w:rsidR="00840B9C" w:rsidRDefault="00840B9C" w:rsidP="0064483B">
            <w:pPr>
              <w:rPr>
                <w:rFonts w:ascii="Arial" w:hAnsi="Arial" w:cs="Arial"/>
                <w:b/>
                <w:sz w:val="22"/>
                <w:szCs w:val="21"/>
              </w:rPr>
            </w:pPr>
          </w:p>
          <w:p w14:paraId="22111E94" w14:textId="77777777" w:rsidR="00840B9C" w:rsidRDefault="00840B9C" w:rsidP="0064483B">
            <w:pPr>
              <w:rPr>
                <w:rFonts w:ascii="Arial" w:hAnsi="Arial" w:cs="Arial"/>
                <w:b/>
                <w:sz w:val="22"/>
                <w:szCs w:val="21"/>
              </w:rPr>
            </w:pPr>
          </w:p>
          <w:p w14:paraId="6C985AD6" w14:textId="77777777" w:rsidR="00840B9C" w:rsidRDefault="00840B9C" w:rsidP="0064483B">
            <w:pPr>
              <w:rPr>
                <w:rFonts w:ascii="Arial" w:hAnsi="Arial" w:cs="Arial"/>
                <w:b/>
                <w:sz w:val="22"/>
                <w:szCs w:val="21"/>
              </w:rPr>
            </w:pPr>
          </w:p>
          <w:p w14:paraId="0A39055D" w14:textId="77777777" w:rsidR="00840B9C" w:rsidRDefault="00840B9C" w:rsidP="0064483B">
            <w:pPr>
              <w:rPr>
                <w:rFonts w:ascii="Arial" w:hAnsi="Arial" w:cs="Arial"/>
                <w:b/>
                <w:sz w:val="22"/>
                <w:szCs w:val="21"/>
              </w:rPr>
            </w:pPr>
          </w:p>
          <w:p w14:paraId="43439650" w14:textId="77777777" w:rsidR="00840B9C" w:rsidRDefault="00840B9C" w:rsidP="0064483B">
            <w:pPr>
              <w:rPr>
                <w:rFonts w:ascii="Arial" w:hAnsi="Arial" w:cs="Arial"/>
                <w:b/>
                <w:sz w:val="22"/>
                <w:szCs w:val="21"/>
              </w:rPr>
            </w:pPr>
          </w:p>
          <w:p w14:paraId="4263581E" w14:textId="77777777" w:rsidR="00840B9C" w:rsidRDefault="00840B9C" w:rsidP="0064483B">
            <w:pPr>
              <w:rPr>
                <w:rFonts w:ascii="Arial" w:hAnsi="Arial" w:cs="Arial"/>
                <w:b/>
                <w:sz w:val="22"/>
                <w:szCs w:val="21"/>
              </w:rPr>
            </w:pPr>
          </w:p>
          <w:p w14:paraId="5E497723" w14:textId="77777777" w:rsidR="00840B9C" w:rsidRDefault="00840B9C" w:rsidP="0064483B">
            <w:pPr>
              <w:rPr>
                <w:rFonts w:ascii="Arial" w:hAnsi="Arial" w:cs="Arial"/>
                <w:b/>
                <w:sz w:val="22"/>
                <w:szCs w:val="21"/>
              </w:rPr>
            </w:pPr>
          </w:p>
          <w:p w14:paraId="327A0A76" w14:textId="77777777" w:rsidR="00840B9C" w:rsidRDefault="00840B9C" w:rsidP="0064483B">
            <w:pPr>
              <w:rPr>
                <w:rFonts w:ascii="Arial" w:hAnsi="Arial" w:cs="Arial"/>
                <w:b/>
                <w:sz w:val="22"/>
                <w:szCs w:val="21"/>
              </w:rPr>
            </w:pPr>
          </w:p>
          <w:p w14:paraId="2A9E21BA" w14:textId="77777777" w:rsidR="00840B9C" w:rsidRDefault="00840B9C" w:rsidP="0064483B">
            <w:pPr>
              <w:rPr>
                <w:rFonts w:ascii="Arial" w:hAnsi="Arial" w:cs="Arial"/>
                <w:b/>
                <w:sz w:val="22"/>
                <w:szCs w:val="21"/>
              </w:rPr>
            </w:pPr>
          </w:p>
          <w:p w14:paraId="6DB8081A" w14:textId="77777777" w:rsidR="00840B9C" w:rsidRDefault="00840B9C" w:rsidP="0064483B">
            <w:pPr>
              <w:rPr>
                <w:rFonts w:ascii="Arial" w:hAnsi="Arial" w:cs="Arial"/>
                <w:b/>
                <w:sz w:val="22"/>
                <w:szCs w:val="21"/>
              </w:rPr>
            </w:pPr>
          </w:p>
          <w:p w14:paraId="6AF58A59" w14:textId="77777777" w:rsidR="00840B9C" w:rsidRDefault="00840B9C" w:rsidP="0064483B">
            <w:pPr>
              <w:rPr>
                <w:rFonts w:ascii="Arial" w:hAnsi="Arial" w:cs="Arial"/>
                <w:b/>
                <w:sz w:val="22"/>
                <w:szCs w:val="21"/>
              </w:rPr>
            </w:pPr>
          </w:p>
          <w:p w14:paraId="74A2DEB6" w14:textId="01D03F0B" w:rsidR="00840B9C" w:rsidRPr="001D39F4" w:rsidRDefault="00840B9C" w:rsidP="0064483B">
            <w:pPr>
              <w:rPr>
                <w:rFonts w:ascii="Arial" w:hAnsi="Arial" w:cs="Arial"/>
                <w:b/>
                <w:sz w:val="22"/>
                <w:szCs w:val="21"/>
              </w:rPr>
            </w:pPr>
            <w:r>
              <w:rPr>
                <w:rFonts w:ascii="Arial" w:hAnsi="Arial" w:cs="Arial"/>
                <w:b/>
                <w:sz w:val="22"/>
                <w:szCs w:val="21"/>
              </w:rPr>
              <w:t>Development (</w:t>
            </w:r>
            <w:proofErr w:type="spellStart"/>
            <w:r>
              <w:rPr>
                <w:rFonts w:ascii="Arial" w:hAnsi="Arial" w:cs="Arial"/>
                <w:b/>
                <w:sz w:val="22"/>
                <w:szCs w:val="21"/>
              </w:rPr>
              <w:t>cntd</w:t>
            </w:r>
            <w:proofErr w:type="spellEnd"/>
            <w:r>
              <w:rPr>
                <w:rFonts w:ascii="Arial" w:hAnsi="Arial" w:cs="Arial"/>
                <w:b/>
                <w:sz w:val="22"/>
                <w:szCs w:val="21"/>
              </w:rPr>
              <w:t>)</w:t>
            </w:r>
          </w:p>
        </w:tc>
        <w:tc>
          <w:tcPr>
            <w:tcW w:w="3969" w:type="dxa"/>
            <w:tcBorders>
              <w:top w:val="nil"/>
              <w:bottom w:val="single" w:sz="4" w:space="0" w:color="auto"/>
            </w:tcBorders>
            <w:vAlign w:val="center"/>
          </w:tcPr>
          <w:p w14:paraId="2746F0BE" w14:textId="77777777" w:rsidR="003732E3" w:rsidRPr="001D39F4" w:rsidRDefault="008D42B9" w:rsidP="0064483B">
            <w:pPr>
              <w:rPr>
                <w:rFonts w:ascii="Arial" w:hAnsi="Arial" w:cs="Arial"/>
                <w:sz w:val="22"/>
                <w:szCs w:val="21"/>
              </w:rPr>
            </w:pPr>
            <w:r w:rsidRPr="001D39F4">
              <w:rPr>
                <w:rFonts w:ascii="Arial" w:hAnsi="Arial" w:cs="Arial"/>
                <w:sz w:val="22"/>
                <w:szCs w:val="21"/>
              </w:rPr>
              <w:lastRenderedPageBreak/>
              <w:t>analyse</w:t>
            </w:r>
            <w:r w:rsidR="003732E3" w:rsidRPr="001D39F4">
              <w:rPr>
                <w:rFonts w:ascii="Arial" w:hAnsi="Arial" w:cs="Arial"/>
                <w:sz w:val="22"/>
                <w:szCs w:val="21"/>
              </w:rPr>
              <w:t xml:space="preserve"> the upper and upper middle quartiles to identify any barriers indicated by the differential to enable targeted action</w:t>
            </w:r>
          </w:p>
        </w:tc>
        <w:tc>
          <w:tcPr>
            <w:tcW w:w="5103" w:type="dxa"/>
            <w:tcBorders>
              <w:top w:val="nil"/>
              <w:bottom w:val="single" w:sz="4" w:space="0" w:color="auto"/>
            </w:tcBorders>
            <w:vAlign w:val="center"/>
          </w:tcPr>
          <w:p w14:paraId="678E6FFA" w14:textId="6F89A3F4" w:rsidR="008D42B9" w:rsidRPr="00840B9C" w:rsidRDefault="008D42B9" w:rsidP="0064483B">
            <w:pPr>
              <w:rPr>
                <w:rFonts w:ascii="Arial" w:hAnsi="Arial" w:cs="Arial"/>
                <w:sz w:val="22"/>
                <w:szCs w:val="22"/>
              </w:rPr>
            </w:pPr>
            <w:r w:rsidRPr="00840B9C">
              <w:rPr>
                <w:rFonts w:ascii="Arial" w:hAnsi="Arial" w:cs="Arial"/>
                <w:sz w:val="22"/>
                <w:szCs w:val="22"/>
              </w:rPr>
              <w:t>p</w:t>
            </w:r>
            <w:r w:rsidR="00A61540" w:rsidRPr="00840B9C">
              <w:rPr>
                <w:rFonts w:ascii="Arial" w:hAnsi="Arial" w:cs="Arial"/>
                <w:sz w:val="22"/>
                <w:szCs w:val="22"/>
              </w:rPr>
              <w:t>romote</w:t>
            </w:r>
            <w:r w:rsidRPr="00840B9C">
              <w:rPr>
                <w:rFonts w:ascii="Arial" w:hAnsi="Arial" w:cs="Arial"/>
                <w:sz w:val="22"/>
                <w:szCs w:val="22"/>
              </w:rPr>
              <w:t>d</w:t>
            </w:r>
            <w:r w:rsidR="00A61540" w:rsidRPr="00840B9C">
              <w:rPr>
                <w:rFonts w:ascii="Arial" w:hAnsi="Arial" w:cs="Arial"/>
                <w:sz w:val="22"/>
                <w:szCs w:val="22"/>
              </w:rPr>
              <w:t xml:space="preserve"> career development within the workforce</w:t>
            </w:r>
            <w:r w:rsidRPr="00840B9C">
              <w:rPr>
                <w:rFonts w:ascii="Arial" w:hAnsi="Arial" w:cs="Arial"/>
                <w:sz w:val="22"/>
                <w:szCs w:val="22"/>
              </w:rPr>
              <w:t xml:space="preserve"> </w:t>
            </w:r>
            <w:proofErr w:type="gramStart"/>
            <w:r w:rsidR="00313B70" w:rsidRPr="00840B9C">
              <w:rPr>
                <w:rFonts w:ascii="Arial" w:hAnsi="Arial" w:cs="Arial"/>
                <w:sz w:val="22"/>
                <w:szCs w:val="22"/>
              </w:rPr>
              <w:t>through;</w:t>
            </w:r>
            <w:r w:rsidRPr="00840B9C">
              <w:rPr>
                <w:rFonts w:ascii="Arial" w:hAnsi="Arial" w:cs="Arial"/>
                <w:sz w:val="22"/>
                <w:szCs w:val="22"/>
              </w:rPr>
              <w:t>-</w:t>
            </w:r>
            <w:proofErr w:type="gramEnd"/>
          </w:p>
          <w:p w14:paraId="5E6ACA8C" w14:textId="77777777" w:rsidR="00A558A7" w:rsidRPr="00840B9C" w:rsidRDefault="00A558A7" w:rsidP="0064483B">
            <w:pPr>
              <w:rPr>
                <w:rFonts w:ascii="Arial" w:hAnsi="Arial" w:cs="Arial"/>
                <w:sz w:val="22"/>
                <w:szCs w:val="22"/>
              </w:rPr>
            </w:pPr>
          </w:p>
          <w:p w14:paraId="5F37EE9F" w14:textId="11CB87B7" w:rsidR="000D4A5F" w:rsidRPr="00840B9C" w:rsidRDefault="00057C48" w:rsidP="0064483B">
            <w:pPr>
              <w:rPr>
                <w:rFonts w:ascii="Arial" w:hAnsi="Arial" w:cs="Arial"/>
                <w:sz w:val="22"/>
                <w:szCs w:val="22"/>
              </w:rPr>
            </w:pPr>
            <w:r w:rsidRPr="00840B9C">
              <w:rPr>
                <w:rFonts w:ascii="Arial" w:hAnsi="Arial" w:cs="Arial"/>
                <w:sz w:val="22"/>
                <w:szCs w:val="22"/>
              </w:rPr>
              <w:t>in total</w:t>
            </w:r>
            <w:r w:rsidR="00313B70" w:rsidRPr="00840B9C">
              <w:rPr>
                <w:rFonts w:ascii="Arial" w:hAnsi="Arial" w:cs="Arial"/>
                <w:sz w:val="22"/>
                <w:szCs w:val="22"/>
              </w:rPr>
              <w:t>,</w:t>
            </w:r>
            <w:r w:rsidRPr="00840B9C">
              <w:rPr>
                <w:rFonts w:ascii="Arial" w:hAnsi="Arial" w:cs="Arial"/>
                <w:sz w:val="22"/>
                <w:szCs w:val="22"/>
              </w:rPr>
              <w:t xml:space="preserve"> </w:t>
            </w:r>
            <w:r w:rsidR="005E34DD" w:rsidRPr="00840B9C">
              <w:rPr>
                <w:rFonts w:ascii="Arial" w:hAnsi="Arial" w:cs="Arial"/>
                <w:sz w:val="22"/>
                <w:szCs w:val="22"/>
              </w:rPr>
              <w:t xml:space="preserve">supported </w:t>
            </w:r>
            <w:r w:rsidR="004E0EA1" w:rsidRPr="00840B9C">
              <w:rPr>
                <w:rFonts w:ascii="Arial" w:hAnsi="Arial" w:cs="Arial"/>
                <w:sz w:val="22"/>
                <w:szCs w:val="22"/>
              </w:rPr>
              <w:t>16</w:t>
            </w:r>
            <w:r w:rsidR="00B76C0E" w:rsidRPr="00840B9C">
              <w:rPr>
                <w:rFonts w:ascii="Arial" w:hAnsi="Arial" w:cs="Arial"/>
                <w:sz w:val="22"/>
                <w:szCs w:val="22"/>
              </w:rPr>
              <w:t xml:space="preserve"> </w:t>
            </w:r>
            <w:r w:rsidR="005E34DD" w:rsidRPr="00840B9C">
              <w:rPr>
                <w:rFonts w:ascii="Arial" w:hAnsi="Arial" w:cs="Arial"/>
                <w:sz w:val="22"/>
                <w:szCs w:val="22"/>
              </w:rPr>
              <w:t>s</w:t>
            </w:r>
            <w:r w:rsidR="003732E3" w:rsidRPr="00840B9C">
              <w:rPr>
                <w:rFonts w:ascii="Arial" w:hAnsi="Arial" w:cs="Arial"/>
                <w:sz w:val="22"/>
                <w:szCs w:val="22"/>
              </w:rPr>
              <w:t>enior female employees through the Springboard Development Plus - Senior Women’s Development Programme</w:t>
            </w:r>
            <w:r w:rsidR="005E34DD" w:rsidRPr="00840B9C">
              <w:rPr>
                <w:rFonts w:ascii="Arial" w:hAnsi="Arial" w:cs="Arial"/>
                <w:sz w:val="22"/>
                <w:szCs w:val="22"/>
              </w:rPr>
              <w:t xml:space="preserve"> (in partnership with local public sector organisations)</w:t>
            </w:r>
            <w:r w:rsidR="003732E3" w:rsidRPr="00840B9C">
              <w:rPr>
                <w:rFonts w:ascii="Arial" w:hAnsi="Arial" w:cs="Arial"/>
                <w:sz w:val="22"/>
                <w:szCs w:val="22"/>
              </w:rPr>
              <w:t>.  This programme is aimed at women managers in middle management posts and above and who are seeking the opportunity to consider and explore career aspirations in more senior posts and there has been high positive feedback</w:t>
            </w:r>
          </w:p>
          <w:p w14:paraId="36E9EBE6" w14:textId="470BAE25" w:rsidR="00D725D3" w:rsidRPr="00840B9C" w:rsidRDefault="00D725D3" w:rsidP="0064483B">
            <w:pPr>
              <w:rPr>
                <w:rFonts w:ascii="Arial" w:hAnsi="Arial" w:cs="Arial"/>
                <w:sz w:val="22"/>
                <w:szCs w:val="22"/>
              </w:rPr>
            </w:pPr>
          </w:p>
          <w:p w14:paraId="1B61033E" w14:textId="77777777" w:rsidR="00D6369D" w:rsidRPr="00840B9C" w:rsidRDefault="009A080D" w:rsidP="00D725D3">
            <w:pPr>
              <w:rPr>
                <w:rFonts w:ascii="Arial" w:hAnsi="Arial" w:cs="Arial"/>
                <w:sz w:val="22"/>
                <w:szCs w:val="22"/>
              </w:rPr>
            </w:pPr>
            <w:r w:rsidRPr="00840B9C">
              <w:rPr>
                <w:rFonts w:ascii="Arial" w:hAnsi="Arial" w:cs="Arial"/>
                <w:sz w:val="22"/>
                <w:szCs w:val="22"/>
              </w:rPr>
              <w:t xml:space="preserve">Since Feb 2019 we have supported </w:t>
            </w:r>
          </w:p>
          <w:p w14:paraId="6BDA162C" w14:textId="50B35CBC" w:rsidR="00155EC8" w:rsidRPr="00840B9C" w:rsidRDefault="009A080D" w:rsidP="00D725D3">
            <w:pPr>
              <w:rPr>
                <w:rFonts w:ascii="Arial" w:hAnsi="Arial" w:cs="Arial"/>
                <w:sz w:val="22"/>
                <w:szCs w:val="22"/>
              </w:rPr>
            </w:pPr>
            <w:r w:rsidRPr="00840B9C">
              <w:rPr>
                <w:rFonts w:ascii="Arial" w:hAnsi="Arial" w:cs="Arial"/>
                <w:sz w:val="22"/>
                <w:szCs w:val="22"/>
              </w:rPr>
              <w:t>1</w:t>
            </w:r>
            <w:r w:rsidR="00155EC8" w:rsidRPr="00840B9C">
              <w:rPr>
                <w:rFonts w:ascii="Arial" w:hAnsi="Arial" w:cs="Arial"/>
                <w:sz w:val="22"/>
                <w:szCs w:val="22"/>
              </w:rPr>
              <w:t>4</w:t>
            </w:r>
            <w:r w:rsidRPr="00840B9C">
              <w:rPr>
                <w:rFonts w:ascii="Arial" w:hAnsi="Arial" w:cs="Arial"/>
                <w:sz w:val="22"/>
                <w:szCs w:val="22"/>
              </w:rPr>
              <w:t xml:space="preserve"> senior managers on the Level 7 MBA programmes across </w:t>
            </w:r>
            <w:r w:rsidR="00155EC8" w:rsidRPr="00840B9C">
              <w:rPr>
                <w:rFonts w:ascii="Arial" w:hAnsi="Arial" w:cs="Arial"/>
                <w:sz w:val="22"/>
                <w:szCs w:val="22"/>
              </w:rPr>
              <w:t>4</w:t>
            </w:r>
            <w:r w:rsidRPr="00840B9C">
              <w:rPr>
                <w:rFonts w:ascii="Arial" w:hAnsi="Arial" w:cs="Arial"/>
                <w:sz w:val="22"/>
                <w:szCs w:val="22"/>
              </w:rPr>
              <w:t xml:space="preserve"> cohorts, 6 were female.  Of those females, 2 left the Council on promotion to other organisations and are continuing with their MBA. 1 left the programme early. We also support</w:t>
            </w:r>
            <w:r w:rsidR="00155EC8" w:rsidRPr="00840B9C">
              <w:rPr>
                <w:rFonts w:ascii="Arial" w:hAnsi="Arial" w:cs="Arial"/>
                <w:sz w:val="22"/>
                <w:szCs w:val="22"/>
              </w:rPr>
              <w:t>ed</w:t>
            </w:r>
            <w:r w:rsidRPr="00840B9C">
              <w:rPr>
                <w:rFonts w:ascii="Arial" w:hAnsi="Arial" w:cs="Arial"/>
                <w:sz w:val="22"/>
                <w:szCs w:val="22"/>
              </w:rPr>
              <w:t xml:space="preserve"> another female from a Primary School on this level programme who </w:t>
            </w:r>
            <w:r w:rsidR="00155EC8" w:rsidRPr="00840B9C">
              <w:rPr>
                <w:rFonts w:ascii="Arial" w:hAnsi="Arial" w:cs="Arial"/>
                <w:sz w:val="22"/>
                <w:szCs w:val="22"/>
              </w:rPr>
              <w:t>has since</w:t>
            </w:r>
            <w:r w:rsidRPr="00840B9C">
              <w:rPr>
                <w:rFonts w:ascii="Arial" w:hAnsi="Arial" w:cs="Arial"/>
                <w:sz w:val="22"/>
                <w:szCs w:val="22"/>
              </w:rPr>
              <w:t xml:space="preserve"> transferr</w:t>
            </w:r>
            <w:r w:rsidR="00155EC8" w:rsidRPr="00840B9C">
              <w:rPr>
                <w:rFonts w:ascii="Arial" w:hAnsi="Arial" w:cs="Arial"/>
                <w:sz w:val="22"/>
                <w:szCs w:val="22"/>
              </w:rPr>
              <w:t>ed</w:t>
            </w:r>
            <w:r w:rsidRPr="00840B9C">
              <w:rPr>
                <w:rFonts w:ascii="Arial" w:hAnsi="Arial" w:cs="Arial"/>
                <w:sz w:val="22"/>
                <w:szCs w:val="22"/>
              </w:rPr>
              <w:t xml:space="preserve"> to an Academy.</w:t>
            </w:r>
            <w:r w:rsidR="00155EC8" w:rsidRPr="00840B9C">
              <w:rPr>
                <w:rFonts w:ascii="Arial" w:hAnsi="Arial" w:cs="Arial"/>
                <w:sz w:val="22"/>
                <w:szCs w:val="22"/>
              </w:rPr>
              <w:t xml:space="preserve">  </w:t>
            </w:r>
          </w:p>
          <w:p w14:paraId="747D9E48" w14:textId="77777777" w:rsidR="00155EC8" w:rsidRPr="00840B9C" w:rsidRDefault="00155EC8" w:rsidP="00D725D3">
            <w:pPr>
              <w:rPr>
                <w:rFonts w:ascii="Arial" w:hAnsi="Arial" w:cs="Arial"/>
                <w:sz w:val="22"/>
                <w:szCs w:val="22"/>
              </w:rPr>
            </w:pPr>
          </w:p>
          <w:p w14:paraId="083AD9FC" w14:textId="51DEB106" w:rsidR="00D725D3" w:rsidRPr="00840B9C" w:rsidRDefault="00155EC8" w:rsidP="00D725D3">
            <w:pPr>
              <w:rPr>
                <w:rFonts w:ascii="Arial" w:hAnsi="Arial" w:cs="Arial"/>
                <w:sz w:val="22"/>
                <w:szCs w:val="22"/>
              </w:rPr>
            </w:pPr>
            <w:r w:rsidRPr="00840B9C">
              <w:rPr>
                <w:rFonts w:ascii="Arial" w:hAnsi="Arial" w:cs="Arial"/>
                <w:sz w:val="22"/>
                <w:szCs w:val="22"/>
              </w:rPr>
              <w:t>Since June 2018 we have supported 16 managers to complete their Diploma 5 in Management, 4 male and 12 female.</w:t>
            </w:r>
            <w:r w:rsidR="0097092B" w:rsidRPr="00840B9C">
              <w:rPr>
                <w:rFonts w:ascii="Arial" w:hAnsi="Arial" w:cs="Arial"/>
                <w:sz w:val="22"/>
                <w:szCs w:val="22"/>
              </w:rPr>
              <w:t xml:space="preserve"> (</w:t>
            </w:r>
            <w:r w:rsidRPr="00840B9C">
              <w:rPr>
                <w:rFonts w:ascii="Arial" w:hAnsi="Arial" w:cs="Arial"/>
                <w:sz w:val="22"/>
                <w:szCs w:val="22"/>
              </w:rPr>
              <w:t>Of those, 5 females did not complete</w:t>
            </w:r>
            <w:r w:rsidR="0097092B" w:rsidRPr="00840B9C">
              <w:rPr>
                <w:rFonts w:ascii="Arial" w:hAnsi="Arial" w:cs="Arial"/>
                <w:sz w:val="22"/>
                <w:szCs w:val="22"/>
              </w:rPr>
              <w:t>.</w:t>
            </w:r>
            <w:r w:rsidRPr="00840B9C">
              <w:rPr>
                <w:rFonts w:ascii="Arial" w:hAnsi="Arial" w:cs="Arial"/>
                <w:sz w:val="22"/>
                <w:szCs w:val="22"/>
              </w:rPr>
              <w:t xml:space="preserve"> All others have either completed or are mid studies.</w:t>
            </w:r>
            <w:r w:rsidR="0097092B" w:rsidRPr="00840B9C">
              <w:rPr>
                <w:rFonts w:ascii="Arial" w:hAnsi="Arial" w:cs="Arial"/>
                <w:sz w:val="22"/>
                <w:szCs w:val="22"/>
              </w:rPr>
              <w:t>)</w:t>
            </w:r>
            <w:r w:rsidRPr="00840B9C">
              <w:rPr>
                <w:rFonts w:ascii="Arial" w:hAnsi="Arial" w:cs="Arial"/>
                <w:sz w:val="22"/>
                <w:szCs w:val="22"/>
              </w:rPr>
              <w:t xml:space="preserve">  We have one female manager on a level 6 Chartered </w:t>
            </w:r>
            <w:r w:rsidR="00B71EC7" w:rsidRPr="00840B9C">
              <w:rPr>
                <w:rFonts w:ascii="Arial" w:hAnsi="Arial" w:cs="Arial"/>
                <w:sz w:val="22"/>
                <w:szCs w:val="22"/>
              </w:rPr>
              <w:t xml:space="preserve">Management </w:t>
            </w:r>
            <w:r w:rsidRPr="00840B9C">
              <w:rPr>
                <w:rFonts w:ascii="Arial" w:hAnsi="Arial" w:cs="Arial"/>
                <w:sz w:val="22"/>
                <w:szCs w:val="22"/>
              </w:rPr>
              <w:t>Diploma, one female started a level 7 Town planning apprenticeship with UWE (no male comparison)</w:t>
            </w:r>
          </w:p>
          <w:p w14:paraId="504E7592" w14:textId="77777777" w:rsidR="00155EC8" w:rsidRPr="00840B9C" w:rsidRDefault="00155EC8" w:rsidP="00D725D3">
            <w:pPr>
              <w:rPr>
                <w:rFonts w:ascii="Arial" w:hAnsi="Arial" w:cs="Arial"/>
                <w:sz w:val="22"/>
                <w:szCs w:val="22"/>
              </w:rPr>
            </w:pPr>
          </w:p>
          <w:p w14:paraId="21667D82" w14:textId="11055793" w:rsidR="00155EC8" w:rsidRPr="00840B9C" w:rsidRDefault="00155EC8" w:rsidP="00D725D3">
            <w:pPr>
              <w:rPr>
                <w:rFonts w:ascii="Arial" w:hAnsi="Arial" w:cs="Arial"/>
                <w:sz w:val="22"/>
                <w:szCs w:val="22"/>
              </w:rPr>
            </w:pPr>
            <w:r w:rsidRPr="00840B9C">
              <w:rPr>
                <w:rFonts w:ascii="Arial" w:hAnsi="Arial" w:cs="Arial"/>
                <w:sz w:val="22"/>
                <w:szCs w:val="22"/>
              </w:rPr>
              <w:t>3 candidates in April 2021 for the 1 year Stepping Up programme (a diversity leadership development programme) 2 female, 1 male</w:t>
            </w:r>
          </w:p>
          <w:p w14:paraId="3FFC67AD" w14:textId="77777777" w:rsidR="009A080D" w:rsidRPr="00840B9C" w:rsidRDefault="009A080D" w:rsidP="00D725D3">
            <w:pPr>
              <w:rPr>
                <w:rFonts w:ascii="Arial" w:hAnsi="Arial" w:cs="Arial"/>
                <w:sz w:val="22"/>
                <w:szCs w:val="22"/>
              </w:rPr>
            </w:pPr>
          </w:p>
          <w:p w14:paraId="489EBD8D" w14:textId="77777777" w:rsidR="00D725D3" w:rsidRPr="00840B9C" w:rsidRDefault="00D725D3" w:rsidP="00D725D3">
            <w:pPr>
              <w:rPr>
                <w:rFonts w:ascii="Arial" w:hAnsi="Arial" w:cs="Arial"/>
                <w:sz w:val="22"/>
                <w:szCs w:val="22"/>
              </w:rPr>
            </w:pPr>
          </w:p>
          <w:p w14:paraId="4F8D4396" w14:textId="101C0DC7" w:rsidR="00EE63F9" w:rsidRPr="00840B9C" w:rsidRDefault="00155EC8" w:rsidP="00A27B60">
            <w:pPr>
              <w:rPr>
                <w:rFonts w:ascii="Arial" w:hAnsi="Arial" w:cs="Arial"/>
                <w:sz w:val="22"/>
                <w:szCs w:val="22"/>
              </w:rPr>
            </w:pPr>
            <w:r w:rsidRPr="00840B9C">
              <w:rPr>
                <w:rFonts w:ascii="Arial" w:hAnsi="Arial" w:cs="Arial"/>
                <w:sz w:val="22"/>
                <w:szCs w:val="22"/>
              </w:rPr>
              <w:t xml:space="preserve">1 female started a level 6 Chartered Legal Executive </w:t>
            </w:r>
            <w:proofErr w:type="gramStart"/>
            <w:r w:rsidRPr="00840B9C">
              <w:rPr>
                <w:rFonts w:ascii="Arial" w:hAnsi="Arial" w:cs="Arial"/>
                <w:sz w:val="22"/>
                <w:szCs w:val="22"/>
              </w:rPr>
              <w:t>( no</w:t>
            </w:r>
            <w:proofErr w:type="gramEnd"/>
            <w:r w:rsidRPr="00840B9C">
              <w:rPr>
                <w:rFonts w:ascii="Arial" w:hAnsi="Arial" w:cs="Arial"/>
                <w:sz w:val="22"/>
                <w:szCs w:val="22"/>
              </w:rPr>
              <w:t xml:space="preserve"> male comparison)</w:t>
            </w:r>
          </w:p>
          <w:p w14:paraId="1F493CBF" w14:textId="4AF7E7F9" w:rsidR="00155EC8" w:rsidRPr="00840B9C" w:rsidRDefault="00155EC8" w:rsidP="00A27B60">
            <w:pPr>
              <w:rPr>
                <w:rFonts w:ascii="Arial" w:hAnsi="Arial" w:cs="Arial"/>
                <w:sz w:val="22"/>
                <w:szCs w:val="22"/>
              </w:rPr>
            </w:pPr>
          </w:p>
          <w:p w14:paraId="238B1992" w14:textId="0CA8EC60" w:rsidR="00155EC8" w:rsidRPr="00840B9C" w:rsidRDefault="00155EC8" w:rsidP="00A27B60">
            <w:pPr>
              <w:rPr>
                <w:rFonts w:ascii="Arial" w:hAnsi="Arial" w:cs="Arial"/>
                <w:sz w:val="22"/>
                <w:szCs w:val="22"/>
              </w:rPr>
            </w:pPr>
            <w:r w:rsidRPr="00840B9C">
              <w:rPr>
                <w:rFonts w:ascii="Arial" w:hAnsi="Arial" w:cs="Arial"/>
                <w:sz w:val="22"/>
                <w:szCs w:val="22"/>
              </w:rPr>
              <w:t>Since Jan 2019 we have supported 19 managers for Level 4 Project Management Apprenticeship (6 male, 13 female)</w:t>
            </w:r>
          </w:p>
          <w:p w14:paraId="6A88B8A8" w14:textId="0AA54D56" w:rsidR="00840B9C" w:rsidRPr="00840B9C" w:rsidRDefault="00840B9C" w:rsidP="00840B9C">
            <w:pPr>
              <w:shd w:val="clear" w:color="auto" w:fill="FFFFFF"/>
              <w:spacing w:before="100" w:beforeAutospacing="1" w:after="100" w:afterAutospacing="1"/>
              <w:rPr>
                <w:rFonts w:ascii="Arial" w:hAnsi="Arial" w:cs="Arial"/>
                <w:sz w:val="22"/>
                <w:szCs w:val="22"/>
              </w:rPr>
            </w:pPr>
            <w:bookmarkStart w:id="2" w:name="_Hlk97103303"/>
            <w:r w:rsidRPr="00840B9C">
              <w:rPr>
                <w:rFonts w:ascii="Arial" w:hAnsi="Arial" w:cs="Arial"/>
                <w:color w:val="041C2C"/>
                <w:sz w:val="22"/>
                <w:szCs w:val="22"/>
              </w:rPr>
              <w:t>Increased support for ‘Menopause at Work’</w:t>
            </w:r>
            <w:bookmarkEnd w:id="2"/>
            <w:r w:rsidRPr="00840B9C">
              <w:rPr>
                <w:rFonts w:ascii="Arial" w:hAnsi="Arial" w:cs="Arial"/>
                <w:color w:val="041C2C"/>
                <w:sz w:val="22"/>
                <w:szCs w:val="22"/>
              </w:rPr>
              <w:t xml:space="preserve"> – Since 2021 d</w:t>
            </w:r>
            <w:r w:rsidRPr="00840B9C">
              <w:rPr>
                <w:rFonts w:ascii="Arial" w:hAnsi="Arial" w:cs="Arial"/>
                <w:sz w:val="22"/>
                <w:szCs w:val="22"/>
              </w:rPr>
              <w:t>elivered three all colleague Menopause in the Workplace awareness sessions and a specialist HRT information session (90 attendees across all sessions).</w:t>
            </w:r>
          </w:p>
          <w:p w14:paraId="1A20FCEB" w14:textId="77777777" w:rsidR="00840B9C" w:rsidRPr="00840B9C" w:rsidRDefault="00840B9C" w:rsidP="00840B9C">
            <w:pPr>
              <w:shd w:val="clear" w:color="auto" w:fill="FFFFFF"/>
              <w:spacing w:before="100" w:beforeAutospacing="1" w:after="100" w:afterAutospacing="1"/>
              <w:rPr>
                <w:rFonts w:ascii="Arial" w:hAnsi="Arial" w:cs="Arial"/>
                <w:sz w:val="22"/>
                <w:szCs w:val="22"/>
              </w:rPr>
            </w:pPr>
            <w:r w:rsidRPr="00840B9C">
              <w:rPr>
                <w:rFonts w:ascii="Arial" w:hAnsi="Arial" w:cs="Arial"/>
                <w:sz w:val="22"/>
                <w:szCs w:val="22"/>
              </w:rPr>
              <w:t>Offered a Menopause Awareness session for male colleagues (17 attended).</w:t>
            </w:r>
          </w:p>
          <w:p w14:paraId="41E938F2" w14:textId="7E938ED2" w:rsidR="00840B9C" w:rsidRPr="00840B9C" w:rsidRDefault="00840B9C" w:rsidP="00840B9C">
            <w:pPr>
              <w:shd w:val="clear" w:color="auto" w:fill="FFFFFF"/>
              <w:spacing w:before="100" w:beforeAutospacing="1" w:after="100" w:afterAutospacing="1"/>
              <w:rPr>
                <w:rFonts w:ascii="Arial" w:hAnsi="Arial" w:cs="Arial"/>
                <w:sz w:val="22"/>
                <w:szCs w:val="22"/>
              </w:rPr>
            </w:pPr>
            <w:r w:rsidRPr="00840B9C">
              <w:rPr>
                <w:rFonts w:ascii="Arial" w:hAnsi="Arial" w:cs="Arial"/>
                <w:sz w:val="22"/>
                <w:szCs w:val="22"/>
              </w:rPr>
              <w:t>Trained three lead Menopause Champions (one of which is male) and twelve of our health champions are now ‘menopause aware’</w:t>
            </w:r>
          </w:p>
        </w:tc>
        <w:tc>
          <w:tcPr>
            <w:tcW w:w="5244" w:type="dxa"/>
            <w:tcBorders>
              <w:top w:val="nil"/>
              <w:bottom w:val="single" w:sz="4" w:space="0" w:color="auto"/>
            </w:tcBorders>
            <w:vAlign w:val="center"/>
          </w:tcPr>
          <w:p w14:paraId="051F3E41" w14:textId="77777777" w:rsidR="0097092B" w:rsidRPr="00840B9C" w:rsidRDefault="0097092B" w:rsidP="0064483B">
            <w:pPr>
              <w:rPr>
                <w:rFonts w:ascii="Arial" w:hAnsi="Arial" w:cs="Arial"/>
                <w:sz w:val="22"/>
                <w:szCs w:val="22"/>
              </w:rPr>
            </w:pPr>
          </w:p>
          <w:p w14:paraId="1FDD986F" w14:textId="77777777" w:rsidR="0097092B" w:rsidRPr="00840B9C" w:rsidRDefault="0097092B" w:rsidP="0064483B">
            <w:pPr>
              <w:rPr>
                <w:rFonts w:ascii="Arial" w:hAnsi="Arial" w:cs="Arial"/>
                <w:sz w:val="22"/>
                <w:szCs w:val="22"/>
              </w:rPr>
            </w:pPr>
          </w:p>
          <w:p w14:paraId="58940164" w14:textId="77777777" w:rsidR="0097092B" w:rsidRPr="00840B9C" w:rsidRDefault="0097092B" w:rsidP="0064483B">
            <w:pPr>
              <w:rPr>
                <w:rFonts w:ascii="Arial" w:hAnsi="Arial" w:cs="Arial"/>
                <w:sz w:val="22"/>
                <w:szCs w:val="22"/>
              </w:rPr>
            </w:pPr>
          </w:p>
          <w:p w14:paraId="259DED87" w14:textId="77777777" w:rsidR="0097092B" w:rsidRPr="00840B9C" w:rsidRDefault="0097092B" w:rsidP="0064483B">
            <w:pPr>
              <w:rPr>
                <w:rFonts w:ascii="Arial" w:hAnsi="Arial" w:cs="Arial"/>
                <w:sz w:val="22"/>
                <w:szCs w:val="22"/>
              </w:rPr>
            </w:pPr>
          </w:p>
          <w:p w14:paraId="5142FE5F" w14:textId="77777777" w:rsidR="0097092B" w:rsidRPr="00840B9C" w:rsidRDefault="0097092B" w:rsidP="0064483B">
            <w:pPr>
              <w:rPr>
                <w:rFonts w:ascii="Arial" w:hAnsi="Arial" w:cs="Arial"/>
                <w:sz w:val="22"/>
                <w:szCs w:val="22"/>
              </w:rPr>
            </w:pPr>
          </w:p>
          <w:p w14:paraId="3DEA5F27" w14:textId="77777777" w:rsidR="0097092B" w:rsidRPr="00840B9C" w:rsidRDefault="0097092B" w:rsidP="0064483B">
            <w:pPr>
              <w:rPr>
                <w:rFonts w:ascii="Arial" w:hAnsi="Arial" w:cs="Arial"/>
                <w:sz w:val="22"/>
                <w:szCs w:val="22"/>
              </w:rPr>
            </w:pPr>
          </w:p>
          <w:p w14:paraId="2B3A7ED2" w14:textId="12255995" w:rsidR="003732E3" w:rsidRPr="00840B9C" w:rsidRDefault="00155EC8" w:rsidP="0064483B">
            <w:pPr>
              <w:rPr>
                <w:rFonts w:ascii="Arial" w:hAnsi="Arial" w:cs="Arial"/>
                <w:sz w:val="22"/>
                <w:szCs w:val="22"/>
              </w:rPr>
            </w:pPr>
            <w:r w:rsidRPr="00840B9C">
              <w:rPr>
                <w:rFonts w:ascii="Arial" w:hAnsi="Arial" w:cs="Arial"/>
                <w:sz w:val="22"/>
                <w:szCs w:val="22"/>
              </w:rPr>
              <w:t xml:space="preserve">Support a further </w:t>
            </w:r>
            <w:r w:rsidR="00D6369D" w:rsidRPr="00840B9C">
              <w:rPr>
                <w:rFonts w:ascii="Arial" w:hAnsi="Arial" w:cs="Arial"/>
                <w:sz w:val="22"/>
                <w:szCs w:val="22"/>
              </w:rPr>
              <w:t xml:space="preserve">2 delegates </w:t>
            </w:r>
            <w:r w:rsidRPr="00840B9C">
              <w:rPr>
                <w:rFonts w:ascii="Arial" w:hAnsi="Arial" w:cs="Arial"/>
                <w:sz w:val="22"/>
                <w:szCs w:val="22"/>
              </w:rPr>
              <w:t>on the</w:t>
            </w:r>
            <w:r w:rsidR="00D6369D" w:rsidRPr="00840B9C">
              <w:rPr>
                <w:rFonts w:ascii="Arial" w:hAnsi="Arial" w:cs="Arial"/>
                <w:sz w:val="22"/>
                <w:szCs w:val="22"/>
              </w:rPr>
              <w:t xml:space="preserve"> Springboard Development Plus programme in April 2022</w:t>
            </w:r>
            <w:r w:rsidR="00EF76AA" w:rsidRPr="00840B9C">
              <w:rPr>
                <w:rFonts w:ascii="Arial" w:hAnsi="Arial" w:cs="Arial"/>
                <w:sz w:val="22"/>
                <w:szCs w:val="22"/>
              </w:rPr>
              <w:t xml:space="preserve">. </w:t>
            </w:r>
          </w:p>
          <w:p w14:paraId="6671676F" w14:textId="2799F181" w:rsidR="00EF76AA" w:rsidRPr="00840B9C" w:rsidRDefault="00EF76AA" w:rsidP="0064483B">
            <w:pPr>
              <w:rPr>
                <w:rFonts w:ascii="Arial" w:hAnsi="Arial" w:cs="Arial"/>
                <w:sz w:val="22"/>
                <w:szCs w:val="22"/>
              </w:rPr>
            </w:pPr>
          </w:p>
          <w:p w14:paraId="57D2B615" w14:textId="49A023C3" w:rsidR="00EF76AA" w:rsidRPr="00840B9C" w:rsidRDefault="00EF76AA" w:rsidP="0064483B">
            <w:pPr>
              <w:rPr>
                <w:rFonts w:ascii="Arial" w:hAnsi="Arial" w:cs="Arial"/>
                <w:sz w:val="22"/>
                <w:szCs w:val="22"/>
              </w:rPr>
            </w:pPr>
          </w:p>
          <w:p w14:paraId="5C45DFFA" w14:textId="7FAE50A9" w:rsidR="00EF76AA" w:rsidRPr="00840B9C" w:rsidRDefault="00EF76AA" w:rsidP="0064483B">
            <w:pPr>
              <w:rPr>
                <w:rFonts w:ascii="Arial" w:hAnsi="Arial" w:cs="Arial"/>
                <w:sz w:val="22"/>
                <w:szCs w:val="22"/>
              </w:rPr>
            </w:pPr>
          </w:p>
          <w:p w14:paraId="5D59513D" w14:textId="452220A7" w:rsidR="00EF76AA" w:rsidRPr="00840B9C" w:rsidRDefault="00EF76AA" w:rsidP="0064483B">
            <w:pPr>
              <w:rPr>
                <w:rFonts w:ascii="Arial" w:hAnsi="Arial" w:cs="Arial"/>
                <w:sz w:val="22"/>
                <w:szCs w:val="22"/>
              </w:rPr>
            </w:pPr>
          </w:p>
          <w:p w14:paraId="73629628" w14:textId="202E629D" w:rsidR="00EF76AA" w:rsidRPr="00840B9C" w:rsidRDefault="00714182" w:rsidP="009A713C">
            <w:pPr>
              <w:rPr>
                <w:rFonts w:ascii="Arial" w:hAnsi="Arial" w:cs="Arial"/>
                <w:sz w:val="22"/>
                <w:szCs w:val="22"/>
              </w:rPr>
            </w:pPr>
            <w:r w:rsidRPr="00840B9C">
              <w:rPr>
                <w:rFonts w:ascii="Arial" w:hAnsi="Arial" w:cs="Arial"/>
                <w:sz w:val="22"/>
                <w:szCs w:val="22"/>
              </w:rPr>
              <w:t xml:space="preserve">Continue to support </w:t>
            </w:r>
            <w:r w:rsidR="00B71EC7" w:rsidRPr="00840B9C">
              <w:rPr>
                <w:rFonts w:ascii="Arial" w:hAnsi="Arial" w:cs="Arial"/>
                <w:sz w:val="22"/>
                <w:szCs w:val="22"/>
              </w:rPr>
              <w:t>4</w:t>
            </w:r>
            <w:r w:rsidRPr="00840B9C">
              <w:rPr>
                <w:rFonts w:ascii="Arial" w:hAnsi="Arial" w:cs="Arial"/>
                <w:sz w:val="22"/>
                <w:szCs w:val="22"/>
              </w:rPr>
              <w:t xml:space="preserve"> managers on Level 7 MBA programme</w:t>
            </w:r>
          </w:p>
          <w:p w14:paraId="3D34C1DB" w14:textId="77777777" w:rsidR="0097092B" w:rsidRPr="00840B9C" w:rsidRDefault="0097092B" w:rsidP="00EE63F9">
            <w:pPr>
              <w:shd w:val="clear" w:color="auto" w:fill="FFFFFF"/>
              <w:spacing w:before="100" w:beforeAutospacing="1" w:after="100" w:afterAutospacing="1"/>
              <w:rPr>
                <w:rFonts w:ascii="Arial" w:hAnsi="Arial" w:cs="Arial"/>
                <w:color w:val="041C2C"/>
                <w:sz w:val="22"/>
                <w:szCs w:val="22"/>
              </w:rPr>
            </w:pPr>
          </w:p>
          <w:p w14:paraId="4C393732" w14:textId="77777777" w:rsidR="0097092B" w:rsidRPr="00840B9C" w:rsidRDefault="0097092B" w:rsidP="0097092B">
            <w:pPr>
              <w:rPr>
                <w:rFonts w:ascii="Arial" w:hAnsi="Arial" w:cs="Arial"/>
                <w:sz w:val="22"/>
                <w:szCs w:val="22"/>
              </w:rPr>
            </w:pPr>
          </w:p>
          <w:p w14:paraId="15924457" w14:textId="77777777" w:rsidR="0097092B" w:rsidRPr="00840B9C" w:rsidRDefault="0097092B" w:rsidP="0097092B">
            <w:pPr>
              <w:rPr>
                <w:rFonts w:ascii="Arial" w:hAnsi="Arial" w:cs="Arial"/>
                <w:sz w:val="22"/>
                <w:szCs w:val="22"/>
              </w:rPr>
            </w:pPr>
          </w:p>
          <w:p w14:paraId="6FC4CA4E" w14:textId="77777777" w:rsidR="0097092B" w:rsidRPr="00840B9C" w:rsidRDefault="0097092B" w:rsidP="0097092B">
            <w:pPr>
              <w:rPr>
                <w:rFonts w:ascii="Arial" w:hAnsi="Arial" w:cs="Arial"/>
                <w:sz w:val="22"/>
                <w:szCs w:val="22"/>
              </w:rPr>
            </w:pPr>
          </w:p>
          <w:p w14:paraId="79AE2B84" w14:textId="27548025" w:rsidR="0097092B" w:rsidRPr="00840B9C" w:rsidRDefault="0097092B" w:rsidP="0097092B">
            <w:pPr>
              <w:rPr>
                <w:rFonts w:ascii="Arial" w:hAnsi="Arial" w:cs="Arial"/>
                <w:sz w:val="22"/>
                <w:szCs w:val="22"/>
              </w:rPr>
            </w:pPr>
            <w:r w:rsidRPr="00840B9C">
              <w:rPr>
                <w:rFonts w:ascii="Arial" w:hAnsi="Arial" w:cs="Arial"/>
                <w:sz w:val="22"/>
                <w:szCs w:val="22"/>
              </w:rPr>
              <w:t>Support 4 females on Level 7 Town Planning Apprenticeship (commenced in 2021)</w:t>
            </w:r>
          </w:p>
          <w:p w14:paraId="7E200F22" w14:textId="77777777" w:rsidR="00A558A7" w:rsidRPr="00840B9C" w:rsidRDefault="00A558A7" w:rsidP="0064483B">
            <w:pPr>
              <w:rPr>
                <w:rFonts w:ascii="Arial" w:hAnsi="Arial" w:cs="Arial"/>
                <w:sz w:val="22"/>
                <w:szCs w:val="22"/>
              </w:rPr>
            </w:pPr>
          </w:p>
          <w:p w14:paraId="5F9C9B9A" w14:textId="77777777" w:rsidR="0097092B" w:rsidRPr="00840B9C" w:rsidRDefault="0097092B" w:rsidP="0097092B">
            <w:pPr>
              <w:shd w:val="clear" w:color="auto" w:fill="FFFFFF"/>
              <w:spacing w:before="100" w:beforeAutospacing="1" w:after="100" w:afterAutospacing="1"/>
              <w:rPr>
                <w:rFonts w:ascii="Arial" w:hAnsi="Arial" w:cs="Arial"/>
                <w:sz w:val="22"/>
                <w:szCs w:val="22"/>
              </w:rPr>
            </w:pPr>
          </w:p>
          <w:p w14:paraId="43185761" w14:textId="77777777" w:rsidR="00840B9C" w:rsidRDefault="00840B9C" w:rsidP="0097092B">
            <w:pPr>
              <w:shd w:val="clear" w:color="auto" w:fill="FFFFFF"/>
              <w:spacing w:before="100" w:beforeAutospacing="1" w:after="100" w:afterAutospacing="1"/>
              <w:rPr>
                <w:rFonts w:ascii="Arial" w:hAnsi="Arial" w:cs="Arial"/>
                <w:sz w:val="22"/>
                <w:szCs w:val="22"/>
              </w:rPr>
            </w:pPr>
          </w:p>
          <w:p w14:paraId="13797D89" w14:textId="77777777" w:rsidR="00840B9C" w:rsidRDefault="00840B9C" w:rsidP="0097092B">
            <w:pPr>
              <w:shd w:val="clear" w:color="auto" w:fill="FFFFFF"/>
              <w:spacing w:before="100" w:beforeAutospacing="1" w:after="100" w:afterAutospacing="1"/>
              <w:rPr>
                <w:rFonts w:ascii="Arial" w:hAnsi="Arial" w:cs="Arial"/>
                <w:sz w:val="22"/>
                <w:szCs w:val="22"/>
              </w:rPr>
            </w:pPr>
          </w:p>
          <w:p w14:paraId="2645D7A7" w14:textId="77777777" w:rsidR="00840B9C" w:rsidRDefault="00840B9C" w:rsidP="0097092B">
            <w:pPr>
              <w:shd w:val="clear" w:color="auto" w:fill="FFFFFF"/>
              <w:spacing w:before="100" w:beforeAutospacing="1" w:after="100" w:afterAutospacing="1"/>
              <w:rPr>
                <w:rFonts w:ascii="Arial" w:hAnsi="Arial" w:cs="Arial"/>
                <w:sz w:val="22"/>
                <w:szCs w:val="22"/>
              </w:rPr>
            </w:pPr>
          </w:p>
          <w:p w14:paraId="04E25422" w14:textId="36D1B627" w:rsidR="0097092B" w:rsidRPr="00840B9C" w:rsidRDefault="00155EC8" w:rsidP="0097092B">
            <w:pPr>
              <w:shd w:val="clear" w:color="auto" w:fill="FFFFFF"/>
              <w:spacing w:before="100" w:beforeAutospacing="1" w:after="100" w:afterAutospacing="1"/>
              <w:rPr>
                <w:rFonts w:ascii="Arial" w:hAnsi="Arial" w:cs="Arial"/>
                <w:color w:val="041C2C"/>
                <w:sz w:val="22"/>
                <w:szCs w:val="22"/>
              </w:rPr>
            </w:pPr>
            <w:r w:rsidRPr="00840B9C">
              <w:rPr>
                <w:rFonts w:ascii="Arial" w:hAnsi="Arial" w:cs="Arial"/>
                <w:sz w:val="22"/>
                <w:szCs w:val="22"/>
              </w:rPr>
              <w:t>No candidates for the Stepping Up programme came forward</w:t>
            </w:r>
            <w:r w:rsidR="0097092B" w:rsidRPr="00840B9C">
              <w:rPr>
                <w:rFonts w:ascii="Arial" w:hAnsi="Arial" w:cs="Arial"/>
                <w:color w:val="041C2C"/>
                <w:sz w:val="22"/>
                <w:szCs w:val="22"/>
              </w:rPr>
              <w:t xml:space="preserve"> </w:t>
            </w:r>
          </w:p>
          <w:p w14:paraId="7BBC18F6" w14:textId="77777777" w:rsidR="00CE2D17" w:rsidRPr="00840B9C" w:rsidRDefault="00CE2D17" w:rsidP="0097092B">
            <w:pPr>
              <w:shd w:val="clear" w:color="auto" w:fill="FFFFFF"/>
              <w:spacing w:before="100" w:beforeAutospacing="1" w:after="100" w:afterAutospacing="1"/>
              <w:rPr>
                <w:rFonts w:ascii="Arial" w:hAnsi="Arial" w:cs="Arial"/>
                <w:color w:val="041C2C"/>
                <w:sz w:val="22"/>
                <w:szCs w:val="22"/>
              </w:rPr>
            </w:pPr>
          </w:p>
          <w:p w14:paraId="7F8585C3" w14:textId="02948442" w:rsidR="0097092B" w:rsidRPr="00840B9C" w:rsidRDefault="0097092B" w:rsidP="0097092B">
            <w:pPr>
              <w:shd w:val="clear" w:color="auto" w:fill="FFFFFF"/>
              <w:spacing w:before="100" w:beforeAutospacing="1" w:after="100" w:afterAutospacing="1"/>
              <w:rPr>
                <w:rFonts w:ascii="Arial" w:hAnsi="Arial" w:cs="Arial"/>
                <w:color w:val="041C2C"/>
                <w:sz w:val="22"/>
                <w:szCs w:val="22"/>
              </w:rPr>
            </w:pPr>
            <w:r w:rsidRPr="00840B9C">
              <w:rPr>
                <w:rFonts w:ascii="Arial" w:hAnsi="Arial" w:cs="Arial"/>
                <w:color w:val="041C2C"/>
                <w:sz w:val="22"/>
                <w:szCs w:val="22"/>
              </w:rPr>
              <w:t>Promote International Women’s Day – engage Bath Uni to run ‘being a game changer’ – breaking the bias of sexism/sex discrimination in the workplace</w:t>
            </w:r>
          </w:p>
          <w:p w14:paraId="16A28B4E" w14:textId="74C6F312" w:rsidR="00840B9C" w:rsidRPr="00840B9C" w:rsidRDefault="00840B9C" w:rsidP="0097092B">
            <w:pPr>
              <w:shd w:val="clear" w:color="auto" w:fill="FFFFFF"/>
              <w:spacing w:before="100" w:beforeAutospacing="1" w:after="100" w:afterAutospacing="1"/>
              <w:rPr>
                <w:rFonts w:ascii="Arial" w:hAnsi="Arial" w:cs="Arial"/>
                <w:color w:val="041C2C"/>
                <w:sz w:val="22"/>
                <w:szCs w:val="22"/>
              </w:rPr>
            </w:pPr>
          </w:p>
          <w:p w14:paraId="54382907" w14:textId="77777777" w:rsidR="00840B9C" w:rsidRPr="00840B9C" w:rsidRDefault="00840B9C" w:rsidP="00840B9C">
            <w:pPr>
              <w:shd w:val="clear" w:color="auto" w:fill="FFFFFF"/>
              <w:spacing w:before="100" w:beforeAutospacing="1" w:after="100" w:afterAutospacing="1"/>
              <w:rPr>
                <w:rFonts w:ascii="Arial" w:hAnsi="Arial" w:cs="Arial"/>
                <w:color w:val="041C2C"/>
                <w:sz w:val="22"/>
                <w:szCs w:val="22"/>
              </w:rPr>
            </w:pPr>
            <w:r w:rsidRPr="00840B9C">
              <w:rPr>
                <w:rFonts w:ascii="Arial" w:hAnsi="Arial" w:cs="Arial"/>
                <w:color w:val="041C2C"/>
                <w:sz w:val="22"/>
                <w:szCs w:val="22"/>
              </w:rPr>
              <w:t xml:space="preserve">Offer menopause café sessions for women to talk about symptoms and share stories. </w:t>
            </w:r>
          </w:p>
          <w:p w14:paraId="098ACD1C" w14:textId="77777777" w:rsidR="00840B9C" w:rsidRPr="00840B9C" w:rsidRDefault="00840B9C" w:rsidP="00840B9C">
            <w:pPr>
              <w:shd w:val="clear" w:color="auto" w:fill="FFFFFF"/>
              <w:spacing w:before="100" w:beforeAutospacing="1" w:after="100" w:afterAutospacing="1"/>
              <w:rPr>
                <w:rFonts w:ascii="Arial" w:hAnsi="Arial" w:cs="Arial"/>
                <w:color w:val="041C2C"/>
                <w:sz w:val="22"/>
                <w:szCs w:val="22"/>
              </w:rPr>
            </w:pPr>
            <w:r w:rsidRPr="00840B9C">
              <w:rPr>
                <w:rFonts w:ascii="Arial" w:hAnsi="Arial" w:cs="Arial"/>
                <w:color w:val="041C2C"/>
                <w:sz w:val="22"/>
                <w:szCs w:val="22"/>
              </w:rPr>
              <w:t>Offer drop-in virtual cuppa sessions for all colleagues to find out more about the menopause and how to support colleagues in the workplace or at home.</w:t>
            </w:r>
          </w:p>
          <w:p w14:paraId="2CEB5D4D" w14:textId="77777777" w:rsidR="00840B9C" w:rsidRPr="00840B9C" w:rsidRDefault="00840B9C" w:rsidP="00840B9C">
            <w:pPr>
              <w:shd w:val="clear" w:color="auto" w:fill="FFFFFF"/>
              <w:spacing w:before="100" w:beforeAutospacing="1" w:after="100" w:afterAutospacing="1"/>
              <w:rPr>
                <w:rFonts w:ascii="Arial" w:hAnsi="Arial" w:cs="Arial"/>
                <w:color w:val="041C2C"/>
                <w:sz w:val="22"/>
                <w:szCs w:val="22"/>
              </w:rPr>
            </w:pPr>
            <w:r w:rsidRPr="00840B9C">
              <w:rPr>
                <w:rFonts w:ascii="Arial" w:hAnsi="Arial" w:cs="Arial"/>
                <w:color w:val="041C2C"/>
                <w:sz w:val="22"/>
                <w:szCs w:val="22"/>
              </w:rPr>
              <w:t>Offer ‘Blush Boxes’ in our staff bathrooms so free sanitaryware is available to colleagues.</w:t>
            </w:r>
          </w:p>
          <w:p w14:paraId="51378203" w14:textId="18C2894B" w:rsidR="00840B9C" w:rsidRPr="00840B9C" w:rsidRDefault="00840B9C" w:rsidP="0097092B">
            <w:pPr>
              <w:shd w:val="clear" w:color="auto" w:fill="FFFFFF"/>
              <w:spacing w:before="100" w:beforeAutospacing="1" w:after="100" w:afterAutospacing="1"/>
              <w:rPr>
                <w:rFonts w:ascii="Arial" w:hAnsi="Arial" w:cs="Arial"/>
                <w:color w:val="041C2C"/>
                <w:sz w:val="22"/>
                <w:szCs w:val="22"/>
              </w:rPr>
            </w:pPr>
            <w:r w:rsidRPr="00840B9C">
              <w:rPr>
                <w:rFonts w:ascii="Arial" w:hAnsi="Arial" w:cs="Arial"/>
                <w:color w:val="041C2C"/>
                <w:sz w:val="22"/>
                <w:szCs w:val="22"/>
              </w:rPr>
              <w:t>Deliver targeted menopause awareness sessions to teams through our menopause champions.</w:t>
            </w:r>
          </w:p>
          <w:p w14:paraId="10E1CB31" w14:textId="40697FDA" w:rsidR="003732E3" w:rsidRPr="00840B9C" w:rsidRDefault="003732E3" w:rsidP="005E34DD">
            <w:pPr>
              <w:rPr>
                <w:rFonts w:ascii="Arial" w:hAnsi="Arial" w:cs="Arial"/>
                <w:sz w:val="22"/>
                <w:szCs w:val="22"/>
              </w:rPr>
            </w:pPr>
          </w:p>
        </w:tc>
      </w:tr>
      <w:bookmarkEnd w:id="1"/>
      <w:tr w:rsidR="003732E3" w:rsidRPr="001D39F4" w14:paraId="47342E00" w14:textId="77777777" w:rsidTr="00693FA0">
        <w:tc>
          <w:tcPr>
            <w:tcW w:w="1702" w:type="dxa"/>
            <w:tcBorders>
              <w:top w:val="nil"/>
              <w:bottom w:val="nil"/>
            </w:tcBorders>
            <w:shd w:val="clear" w:color="auto" w:fill="D4ECFF"/>
            <w:vAlign w:val="center"/>
          </w:tcPr>
          <w:p w14:paraId="33225B69" w14:textId="77777777" w:rsidR="00840B9C" w:rsidRDefault="00840B9C" w:rsidP="0064483B">
            <w:pPr>
              <w:rPr>
                <w:rFonts w:ascii="Arial" w:hAnsi="Arial" w:cs="Arial"/>
                <w:b/>
                <w:sz w:val="22"/>
                <w:szCs w:val="21"/>
              </w:rPr>
            </w:pPr>
          </w:p>
          <w:p w14:paraId="37D3873A" w14:textId="77777777" w:rsidR="003732E3" w:rsidRDefault="003732E3" w:rsidP="0064483B">
            <w:pPr>
              <w:rPr>
                <w:rFonts w:ascii="Arial" w:hAnsi="Arial" w:cs="Arial"/>
                <w:b/>
                <w:sz w:val="22"/>
                <w:szCs w:val="21"/>
              </w:rPr>
            </w:pPr>
            <w:r w:rsidRPr="001D39F4">
              <w:rPr>
                <w:rFonts w:ascii="Arial" w:hAnsi="Arial" w:cs="Arial"/>
                <w:b/>
                <w:sz w:val="22"/>
                <w:szCs w:val="21"/>
              </w:rPr>
              <w:t>Managing Change</w:t>
            </w:r>
          </w:p>
          <w:p w14:paraId="5E726F7A" w14:textId="77777777" w:rsidR="00C03656" w:rsidRDefault="00C03656" w:rsidP="0064483B">
            <w:pPr>
              <w:rPr>
                <w:rFonts w:ascii="Arial" w:hAnsi="Arial" w:cs="Arial"/>
                <w:b/>
                <w:sz w:val="22"/>
                <w:szCs w:val="21"/>
              </w:rPr>
            </w:pPr>
          </w:p>
          <w:p w14:paraId="0C11B6DA" w14:textId="77777777" w:rsidR="00C03656" w:rsidRDefault="00C03656" w:rsidP="0064483B">
            <w:pPr>
              <w:rPr>
                <w:rFonts w:ascii="Arial" w:hAnsi="Arial" w:cs="Arial"/>
                <w:b/>
                <w:sz w:val="22"/>
                <w:szCs w:val="21"/>
              </w:rPr>
            </w:pPr>
          </w:p>
          <w:p w14:paraId="0CC4D0B4" w14:textId="77777777" w:rsidR="00C03656" w:rsidRDefault="00C03656" w:rsidP="0064483B">
            <w:pPr>
              <w:rPr>
                <w:rFonts w:ascii="Arial" w:hAnsi="Arial" w:cs="Arial"/>
                <w:b/>
                <w:sz w:val="22"/>
                <w:szCs w:val="21"/>
              </w:rPr>
            </w:pPr>
          </w:p>
          <w:p w14:paraId="628FA74A" w14:textId="77777777" w:rsidR="00C03656" w:rsidRDefault="00C03656" w:rsidP="0064483B">
            <w:pPr>
              <w:rPr>
                <w:rFonts w:ascii="Arial" w:hAnsi="Arial" w:cs="Arial"/>
                <w:b/>
                <w:sz w:val="22"/>
                <w:szCs w:val="21"/>
              </w:rPr>
            </w:pPr>
          </w:p>
          <w:p w14:paraId="0DA93630" w14:textId="77777777" w:rsidR="00C03656" w:rsidRDefault="00C03656" w:rsidP="0064483B">
            <w:pPr>
              <w:rPr>
                <w:rFonts w:ascii="Arial" w:hAnsi="Arial" w:cs="Arial"/>
                <w:b/>
                <w:sz w:val="22"/>
                <w:szCs w:val="21"/>
              </w:rPr>
            </w:pPr>
          </w:p>
          <w:p w14:paraId="57EF462D" w14:textId="77777777" w:rsidR="00C03656" w:rsidRDefault="00C03656" w:rsidP="0064483B">
            <w:pPr>
              <w:rPr>
                <w:rFonts w:ascii="Arial" w:hAnsi="Arial" w:cs="Arial"/>
                <w:b/>
                <w:sz w:val="22"/>
                <w:szCs w:val="21"/>
              </w:rPr>
            </w:pPr>
          </w:p>
          <w:p w14:paraId="47031D74" w14:textId="77777777" w:rsidR="00C03656" w:rsidRDefault="00C03656" w:rsidP="0064483B">
            <w:pPr>
              <w:rPr>
                <w:rFonts w:ascii="Arial" w:hAnsi="Arial" w:cs="Arial"/>
                <w:b/>
                <w:sz w:val="22"/>
                <w:szCs w:val="21"/>
              </w:rPr>
            </w:pPr>
          </w:p>
          <w:p w14:paraId="20D6795C" w14:textId="77777777" w:rsidR="00C03656" w:rsidRDefault="00C03656" w:rsidP="0064483B">
            <w:pPr>
              <w:rPr>
                <w:rFonts w:ascii="Arial" w:hAnsi="Arial" w:cs="Arial"/>
                <w:b/>
                <w:sz w:val="22"/>
                <w:szCs w:val="21"/>
              </w:rPr>
            </w:pPr>
          </w:p>
          <w:p w14:paraId="4CD8A938" w14:textId="77777777" w:rsidR="00C03656" w:rsidRDefault="00C03656" w:rsidP="0064483B">
            <w:pPr>
              <w:rPr>
                <w:rFonts w:ascii="Arial" w:hAnsi="Arial" w:cs="Arial"/>
                <w:b/>
                <w:sz w:val="22"/>
                <w:szCs w:val="21"/>
              </w:rPr>
            </w:pPr>
          </w:p>
          <w:p w14:paraId="54F7CE27" w14:textId="5EFA8BF9" w:rsidR="00C03656" w:rsidRPr="001D39F4" w:rsidRDefault="00C03656" w:rsidP="0064483B">
            <w:pPr>
              <w:rPr>
                <w:rFonts w:ascii="Arial" w:hAnsi="Arial" w:cs="Arial"/>
                <w:b/>
                <w:sz w:val="22"/>
                <w:szCs w:val="21"/>
              </w:rPr>
            </w:pPr>
          </w:p>
        </w:tc>
        <w:tc>
          <w:tcPr>
            <w:tcW w:w="3969" w:type="dxa"/>
            <w:tcBorders>
              <w:top w:val="single" w:sz="4" w:space="0" w:color="auto"/>
              <w:bottom w:val="single" w:sz="4" w:space="0" w:color="auto"/>
            </w:tcBorders>
            <w:vAlign w:val="center"/>
          </w:tcPr>
          <w:p w14:paraId="41AC91BF" w14:textId="77777777" w:rsidR="003732E3" w:rsidRPr="001D39F4" w:rsidRDefault="008D42B9" w:rsidP="0064483B">
            <w:pPr>
              <w:rPr>
                <w:rFonts w:ascii="Arial" w:hAnsi="Arial" w:cs="Arial"/>
                <w:sz w:val="22"/>
                <w:szCs w:val="21"/>
              </w:rPr>
            </w:pPr>
            <w:r w:rsidRPr="001D39F4">
              <w:rPr>
                <w:rFonts w:ascii="Arial" w:hAnsi="Arial" w:cs="Arial"/>
                <w:sz w:val="22"/>
                <w:szCs w:val="21"/>
              </w:rPr>
              <w:t>m</w:t>
            </w:r>
            <w:r w:rsidR="003732E3" w:rsidRPr="001D39F4">
              <w:rPr>
                <w:rFonts w:ascii="Arial" w:hAnsi="Arial" w:cs="Arial"/>
                <w:sz w:val="22"/>
                <w:szCs w:val="21"/>
              </w:rPr>
              <w:t>onitor the effects and any associated risks on gender equality of the Council’s planned change programme</w:t>
            </w:r>
          </w:p>
        </w:tc>
        <w:tc>
          <w:tcPr>
            <w:tcW w:w="5103" w:type="dxa"/>
            <w:tcBorders>
              <w:top w:val="single" w:sz="4" w:space="0" w:color="auto"/>
              <w:bottom w:val="single" w:sz="4" w:space="0" w:color="auto"/>
            </w:tcBorders>
            <w:vAlign w:val="center"/>
          </w:tcPr>
          <w:p w14:paraId="7E5C2BA7" w14:textId="77777777" w:rsidR="00510BA2" w:rsidRDefault="005E34DD" w:rsidP="0064483B">
            <w:pPr>
              <w:rPr>
                <w:rFonts w:ascii="Arial" w:hAnsi="Arial" w:cs="Arial"/>
                <w:sz w:val="22"/>
                <w:szCs w:val="21"/>
              </w:rPr>
            </w:pPr>
            <w:r>
              <w:rPr>
                <w:rFonts w:ascii="Arial" w:hAnsi="Arial" w:cs="Arial"/>
                <w:sz w:val="22"/>
                <w:szCs w:val="21"/>
              </w:rPr>
              <w:t>a</w:t>
            </w:r>
            <w:r w:rsidR="00510BA2" w:rsidRPr="001D39F4">
              <w:rPr>
                <w:rFonts w:ascii="Arial" w:hAnsi="Arial" w:cs="Arial"/>
                <w:sz w:val="22"/>
                <w:szCs w:val="21"/>
              </w:rPr>
              <w:t>ssessed the impact of the 2018 VR programme where 54 volunteers accepted for redundancy, 35 female and 19 male (65% female and 35% male) which closely matched our gender workforce ratio</w:t>
            </w:r>
          </w:p>
          <w:p w14:paraId="14603597" w14:textId="2EE0BA69" w:rsidR="00C03656" w:rsidRPr="001D39F4" w:rsidRDefault="00C03656" w:rsidP="0064483B">
            <w:pPr>
              <w:rPr>
                <w:rFonts w:ascii="Arial" w:hAnsi="Arial" w:cs="Arial"/>
                <w:sz w:val="22"/>
                <w:szCs w:val="21"/>
              </w:rPr>
            </w:pPr>
          </w:p>
        </w:tc>
        <w:tc>
          <w:tcPr>
            <w:tcW w:w="5244" w:type="dxa"/>
            <w:tcBorders>
              <w:top w:val="single" w:sz="4" w:space="0" w:color="auto"/>
              <w:bottom w:val="single" w:sz="4" w:space="0" w:color="auto"/>
            </w:tcBorders>
            <w:vAlign w:val="center"/>
          </w:tcPr>
          <w:p w14:paraId="49F4963B" w14:textId="77777777" w:rsidR="003732E3" w:rsidRPr="001D39F4" w:rsidRDefault="00510BA2" w:rsidP="0064483B">
            <w:pPr>
              <w:rPr>
                <w:rFonts w:ascii="Arial" w:hAnsi="Arial" w:cs="Arial"/>
                <w:sz w:val="22"/>
                <w:szCs w:val="21"/>
              </w:rPr>
            </w:pPr>
            <w:r w:rsidRPr="001D39F4">
              <w:rPr>
                <w:rFonts w:ascii="Arial" w:hAnsi="Arial" w:cs="Arial"/>
                <w:sz w:val="22"/>
                <w:szCs w:val="21"/>
              </w:rPr>
              <w:t>continue with workforce monitoring</w:t>
            </w:r>
            <w:r w:rsidR="00F05716" w:rsidRPr="001D39F4">
              <w:rPr>
                <w:rFonts w:ascii="Arial" w:hAnsi="Arial" w:cs="Arial"/>
                <w:sz w:val="22"/>
                <w:szCs w:val="21"/>
              </w:rPr>
              <w:t xml:space="preserve"> analysis in relation to</w:t>
            </w:r>
            <w:r w:rsidR="009311E0" w:rsidRPr="001D39F4">
              <w:rPr>
                <w:rFonts w:ascii="Arial" w:hAnsi="Arial" w:cs="Arial"/>
                <w:sz w:val="22"/>
                <w:szCs w:val="21"/>
              </w:rPr>
              <w:t xml:space="preserve"> change programme</w:t>
            </w:r>
            <w:r w:rsidRPr="001D39F4">
              <w:rPr>
                <w:rFonts w:ascii="Arial" w:hAnsi="Arial" w:cs="Arial"/>
                <w:sz w:val="22"/>
                <w:szCs w:val="21"/>
              </w:rPr>
              <w:t>s</w:t>
            </w:r>
          </w:p>
        </w:tc>
      </w:tr>
      <w:tr w:rsidR="003732E3" w:rsidRPr="001D39F4" w14:paraId="684A7609" w14:textId="77777777" w:rsidTr="00693FA0">
        <w:trPr>
          <w:trHeight w:val="3340"/>
        </w:trPr>
        <w:tc>
          <w:tcPr>
            <w:tcW w:w="1702" w:type="dxa"/>
            <w:tcBorders>
              <w:top w:val="nil"/>
              <w:bottom w:val="single" w:sz="4" w:space="0" w:color="auto"/>
            </w:tcBorders>
            <w:shd w:val="clear" w:color="auto" w:fill="D4ECFF"/>
            <w:vAlign w:val="center"/>
          </w:tcPr>
          <w:p w14:paraId="37D5844D" w14:textId="77777777" w:rsidR="003732E3" w:rsidRPr="001D39F4" w:rsidRDefault="003732E3" w:rsidP="0064483B">
            <w:pPr>
              <w:rPr>
                <w:rFonts w:ascii="Arial" w:hAnsi="Arial" w:cs="Arial"/>
                <w:b/>
                <w:sz w:val="22"/>
                <w:szCs w:val="21"/>
              </w:rPr>
            </w:pPr>
            <w:r w:rsidRPr="001D39F4">
              <w:rPr>
                <w:rFonts w:ascii="Arial" w:hAnsi="Arial" w:cs="Arial"/>
                <w:b/>
                <w:sz w:val="22"/>
                <w:szCs w:val="21"/>
              </w:rPr>
              <w:lastRenderedPageBreak/>
              <w:t>Flexible Working</w:t>
            </w:r>
          </w:p>
        </w:tc>
        <w:tc>
          <w:tcPr>
            <w:tcW w:w="3969" w:type="dxa"/>
            <w:tcBorders>
              <w:top w:val="single" w:sz="4" w:space="0" w:color="auto"/>
              <w:bottom w:val="single" w:sz="4" w:space="0" w:color="auto"/>
            </w:tcBorders>
            <w:vAlign w:val="center"/>
          </w:tcPr>
          <w:p w14:paraId="154150B2" w14:textId="77777777" w:rsidR="003732E3" w:rsidRPr="001D39F4" w:rsidRDefault="008D42B9" w:rsidP="0064483B">
            <w:pPr>
              <w:rPr>
                <w:rFonts w:ascii="Arial" w:hAnsi="Arial" w:cs="Arial"/>
                <w:sz w:val="22"/>
                <w:szCs w:val="21"/>
              </w:rPr>
            </w:pPr>
            <w:r w:rsidRPr="001D39F4">
              <w:rPr>
                <w:rFonts w:ascii="Arial" w:hAnsi="Arial" w:cs="Arial"/>
                <w:sz w:val="22"/>
                <w:szCs w:val="21"/>
              </w:rPr>
              <w:t>analyse</w:t>
            </w:r>
            <w:r w:rsidR="003732E3" w:rsidRPr="001D39F4">
              <w:rPr>
                <w:rFonts w:ascii="Arial" w:hAnsi="Arial" w:cs="Arial"/>
                <w:sz w:val="22"/>
                <w:szCs w:val="21"/>
              </w:rPr>
              <w:t xml:space="preserve"> the impact of the gender prevalence of part time working associated with lower rates of pay and the pay gap between the average hourly rate of men who work full time and the average hourly rate of women who work part time</w:t>
            </w:r>
          </w:p>
          <w:p w14:paraId="05C18486" w14:textId="77777777" w:rsidR="00A558A7" w:rsidRPr="001D39F4" w:rsidRDefault="00A558A7" w:rsidP="0064483B">
            <w:pPr>
              <w:rPr>
                <w:rFonts w:ascii="Arial" w:hAnsi="Arial" w:cs="Arial"/>
                <w:sz w:val="22"/>
                <w:szCs w:val="21"/>
              </w:rPr>
            </w:pPr>
          </w:p>
          <w:p w14:paraId="6C05C392" w14:textId="77777777" w:rsidR="00C3006E" w:rsidRPr="001D39F4" w:rsidRDefault="005E34DD" w:rsidP="005E34DD">
            <w:pPr>
              <w:rPr>
                <w:rFonts w:ascii="Arial" w:hAnsi="Arial" w:cs="Arial"/>
                <w:sz w:val="22"/>
                <w:szCs w:val="21"/>
              </w:rPr>
            </w:pPr>
            <w:r>
              <w:rPr>
                <w:rFonts w:ascii="Arial" w:hAnsi="Arial" w:cs="Arial"/>
                <w:sz w:val="22"/>
                <w:szCs w:val="21"/>
              </w:rPr>
              <w:t>analyse</w:t>
            </w:r>
            <w:r w:rsidR="00C3006E" w:rsidRPr="001D39F4">
              <w:rPr>
                <w:rFonts w:ascii="Arial" w:hAnsi="Arial" w:cs="Arial"/>
                <w:sz w:val="22"/>
                <w:szCs w:val="21"/>
              </w:rPr>
              <w:t xml:space="preserve"> the breakdown </w:t>
            </w:r>
            <w:r>
              <w:rPr>
                <w:rFonts w:ascii="Arial" w:hAnsi="Arial" w:cs="Arial"/>
                <w:sz w:val="22"/>
                <w:szCs w:val="21"/>
              </w:rPr>
              <w:t>by</w:t>
            </w:r>
            <w:r w:rsidR="00C3006E" w:rsidRPr="001D39F4">
              <w:rPr>
                <w:rFonts w:ascii="Arial" w:hAnsi="Arial" w:cs="Arial"/>
                <w:sz w:val="22"/>
                <w:szCs w:val="21"/>
              </w:rPr>
              <w:t xml:space="preserve"> gender of take-up of part-time and flexible working, at senior levels in B&amp;NES Council</w:t>
            </w:r>
          </w:p>
        </w:tc>
        <w:tc>
          <w:tcPr>
            <w:tcW w:w="5103" w:type="dxa"/>
            <w:tcBorders>
              <w:top w:val="single" w:sz="4" w:space="0" w:color="auto"/>
              <w:bottom w:val="single" w:sz="4" w:space="0" w:color="auto"/>
            </w:tcBorders>
            <w:vAlign w:val="center"/>
          </w:tcPr>
          <w:p w14:paraId="342CAF67" w14:textId="574CE7D9" w:rsidR="003732E3" w:rsidRDefault="005E34DD" w:rsidP="0064483B">
            <w:pPr>
              <w:rPr>
                <w:rFonts w:ascii="Arial" w:hAnsi="Arial" w:cs="Arial"/>
                <w:sz w:val="22"/>
                <w:szCs w:val="21"/>
              </w:rPr>
            </w:pPr>
            <w:r>
              <w:rPr>
                <w:rFonts w:ascii="Arial" w:hAnsi="Arial" w:cs="Arial"/>
                <w:sz w:val="22"/>
                <w:szCs w:val="21"/>
              </w:rPr>
              <w:t>undertaken</w:t>
            </w:r>
            <w:r w:rsidR="00A408C9" w:rsidRPr="001D39F4">
              <w:rPr>
                <w:rFonts w:ascii="Arial" w:hAnsi="Arial" w:cs="Arial"/>
                <w:sz w:val="22"/>
                <w:szCs w:val="21"/>
              </w:rPr>
              <w:t xml:space="preserve"> a project</w:t>
            </w:r>
            <w:r w:rsidR="000D5B60">
              <w:rPr>
                <w:rFonts w:ascii="Arial" w:hAnsi="Arial" w:cs="Arial"/>
                <w:sz w:val="22"/>
                <w:szCs w:val="21"/>
              </w:rPr>
              <w:t xml:space="preserve"> (within HR&amp;OD)</w:t>
            </w:r>
            <w:r w:rsidR="00A408C9" w:rsidRPr="001D39F4">
              <w:rPr>
                <w:rFonts w:ascii="Arial" w:hAnsi="Arial" w:cs="Arial"/>
                <w:sz w:val="22"/>
                <w:szCs w:val="21"/>
              </w:rPr>
              <w:t xml:space="preserve"> which produced some useful findings re. attitudes within the organisation to </w:t>
            </w:r>
            <w:r w:rsidR="000D5B60">
              <w:rPr>
                <w:rFonts w:ascii="Arial" w:hAnsi="Arial" w:cs="Arial"/>
                <w:sz w:val="22"/>
                <w:szCs w:val="21"/>
              </w:rPr>
              <w:t>working remotely</w:t>
            </w:r>
          </w:p>
          <w:p w14:paraId="3C6759DB" w14:textId="63EF0138" w:rsidR="007D665C" w:rsidRDefault="007D665C" w:rsidP="0064483B">
            <w:pPr>
              <w:rPr>
                <w:rFonts w:ascii="Arial" w:hAnsi="Arial" w:cs="Arial"/>
                <w:sz w:val="22"/>
                <w:szCs w:val="21"/>
              </w:rPr>
            </w:pPr>
          </w:p>
          <w:p w14:paraId="630EB94D" w14:textId="2EB603ED" w:rsidR="007D665C" w:rsidRPr="001D39F4" w:rsidRDefault="007D665C" w:rsidP="0064483B">
            <w:pPr>
              <w:rPr>
                <w:rFonts w:ascii="Arial" w:hAnsi="Arial" w:cs="Arial"/>
                <w:sz w:val="22"/>
                <w:szCs w:val="21"/>
              </w:rPr>
            </w:pPr>
            <w:r>
              <w:rPr>
                <w:rFonts w:ascii="Arial" w:hAnsi="Arial" w:cs="Arial"/>
                <w:sz w:val="22"/>
                <w:szCs w:val="21"/>
              </w:rPr>
              <w:t>publicised a welcome for flexible working request on adverts</w:t>
            </w:r>
          </w:p>
          <w:p w14:paraId="3151C388" w14:textId="77777777" w:rsidR="00A558A7" w:rsidRPr="001D39F4" w:rsidRDefault="00A558A7" w:rsidP="0064483B">
            <w:pPr>
              <w:rPr>
                <w:rFonts w:ascii="Arial" w:hAnsi="Arial" w:cs="Arial"/>
                <w:sz w:val="22"/>
                <w:szCs w:val="21"/>
              </w:rPr>
            </w:pPr>
          </w:p>
          <w:p w14:paraId="22E0B5FA" w14:textId="26470411" w:rsidR="00A558A7" w:rsidRDefault="005E34DD" w:rsidP="0064483B">
            <w:pPr>
              <w:rPr>
                <w:rFonts w:ascii="Arial" w:hAnsi="Arial" w:cs="Arial"/>
                <w:sz w:val="22"/>
                <w:szCs w:val="21"/>
              </w:rPr>
            </w:pPr>
            <w:r>
              <w:rPr>
                <w:rFonts w:ascii="Arial" w:hAnsi="Arial" w:cs="Arial"/>
                <w:sz w:val="22"/>
                <w:szCs w:val="21"/>
              </w:rPr>
              <w:t>p</w:t>
            </w:r>
            <w:r w:rsidR="00A61540" w:rsidRPr="001D39F4">
              <w:rPr>
                <w:rFonts w:ascii="Arial" w:hAnsi="Arial" w:cs="Arial"/>
                <w:sz w:val="22"/>
                <w:szCs w:val="21"/>
              </w:rPr>
              <w:t>romote</w:t>
            </w:r>
            <w:r w:rsidR="003657BF" w:rsidRPr="001D39F4">
              <w:rPr>
                <w:rFonts w:ascii="Arial" w:hAnsi="Arial" w:cs="Arial"/>
                <w:sz w:val="22"/>
                <w:szCs w:val="21"/>
              </w:rPr>
              <w:t>d</w:t>
            </w:r>
            <w:r w:rsidR="00A61540" w:rsidRPr="001D39F4">
              <w:rPr>
                <w:rFonts w:ascii="Arial" w:hAnsi="Arial" w:cs="Arial"/>
                <w:sz w:val="22"/>
                <w:szCs w:val="21"/>
              </w:rPr>
              <w:t xml:space="preserve"> flexible working ethos specifically within recruitment and selection tr</w:t>
            </w:r>
            <w:r w:rsidR="000D5B60">
              <w:rPr>
                <w:rFonts w:ascii="Arial" w:hAnsi="Arial" w:cs="Arial"/>
                <w:sz w:val="22"/>
                <w:szCs w:val="21"/>
              </w:rPr>
              <w:t>aining and at Council induction</w:t>
            </w:r>
          </w:p>
          <w:p w14:paraId="21B20EF7" w14:textId="77777777" w:rsidR="000D5B60" w:rsidRPr="001D39F4" w:rsidRDefault="000D5B60" w:rsidP="0064483B">
            <w:pPr>
              <w:rPr>
                <w:rFonts w:ascii="Arial" w:hAnsi="Arial" w:cs="Arial"/>
                <w:sz w:val="22"/>
                <w:szCs w:val="21"/>
              </w:rPr>
            </w:pPr>
          </w:p>
          <w:p w14:paraId="305AFAB2" w14:textId="54506CCC" w:rsidR="00A61540" w:rsidRDefault="005E34DD" w:rsidP="0064483B">
            <w:pPr>
              <w:rPr>
                <w:rFonts w:ascii="Arial" w:hAnsi="Arial" w:cs="Arial"/>
                <w:sz w:val="22"/>
                <w:szCs w:val="21"/>
              </w:rPr>
            </w:pPr>
            <w:r>
              <w:rPr>
                <w:rFonts w:ascii="Arial" w:hAnsi="Arial" w:cs="Arial"/>
                <w:sz w:val="22"/>
                <w:szCs w:val="21"/>
              </w:rPr>
              <w:t>u</w:t>
            </w:r>
            <w:r w:rsidR="003657BF" w:rsidRPr="001D39F4">
              <w:rPr>
                <w:rFonts w:ascii="Arial" w:hAnsi="Arial" w:cs="Arial"/>
                <w:sz w:val="22"/>
                <w:szCs w:val="21"/>
              </w:rPr>
              <w:t>ndertaken some a</w:t>
            </w:r>
            <w:r w:rsidR="00C3006E" w:rsidRPr="001D39F4">
              <w:rPr>
                <w:rFonts w:ascii="Arial" w:hAnsi="Arial" w:cs="Arial"/>
                <w:sz w:val="22"/>
                <w:szCs w:val="21"/>
              </w:rPr>
              <w:t>nalysis on part time/full time ratios within the quartiles</w:t>
            </w:r>
          </w:p>
          <w:p w14:paraId="2C6AAC5F" w14:textId="13637F52" w:rsidR="009A0586" w:rsidRDefault="009A0586" w:rsidP="0064483B">
            <w:pPr>
              <w:rPr>
                <w:rFonts w:ascii="Arial" w:hAnsi="Arial" w:cs="Arial"/>
                <w:sz w:val="22"/>
                <w:szCs w:val="21"/>
              </w:rPr>
            </w:pPr>
          </w:p>
          <w:p w14:paraId="6B183937" w14:textId="15D6498F" w:rsidR="009A0586" w:rsidRDefault="009A0586" w:rsidP="0064483B">
            <w:pPr>
              <w:rPr>
                <w:rFonts w:ascii="Arial" w:hAnsi="Arial" w:cs="Arial"/>
                <w:sz w:val="22"/>
                <w:szCs w:val="21"/>
              </w:rPr>
            </w:pPr>
            <w:r>
              <w:rPr>
                <w:rFonts w:ascii="Arial" w:hAnsi="Arial" w:cs="Arial"/>
                <w:sz w:val="22"/>
                <w:szCs w:val="21"/>
              </w:rPr>
              <w:t>undertaken a staff engagement survey which includes the topic of flexible working</w:t>
            </w:r>
          </w:p>
          <w:p w14:paraId="7EB09AE9" w14:textId="12DB12BB" w:rsidR="001649A7" w:rsidRDefault="001649A7" w:rsidP="0064483B">
            <w:pPr>
              <w:rPr>
                <w:rFonts w:ascii="Arial" w:hAnsi="Arial" w:cs="Arial"/>
                <w:sz w:val="22"/>
                <w:szCs w:val="21"/>
              </w:rPr>
            </w:pPr>
          </w:p>
          <w:p w14:paraId="796A56AA" w14:textId="7EF13812" w:rsidR="00A27B60" w:rsidRDefault="00A27B60" w:rsidP="0064483B">
            <w:pPr>
              <w:rPr>
                <w:rFonts w:ascii="Arial" w:hAnsi="Arial" w:cs="Arial"/>
                <w:sz w:val="22"/>
                <w:szCs w:val="21"/>
              </w:rPr>
            </w:pPr>
            <w:r>
              <w:rPr>
                <w:rFonts w:ascii="Arial" w:hAnsi="Arial" w:cs="Arial"/>
                <w:sz w:val="22"/>
                <w:szCs w:val="21"/>
              </w:rPr>
              <w:t>Linked with Bath Spa University to support their students in a research project in strategies being adopted to reduce the gender pay gap</w:t>
            </w:r>
          </w:p>
          <w:p w14:paraId="46F4D6B9" w14:textId="2D505A9A" w:rsidR="001649A7" w:rsidRPr="001D39F4" w:rsidRDefault="001649A7" w:rsidP="0064483B">
            <w:pPr>
              <w:rPr>
                <w:rFonts w:ascii="Arial" w:hAnsi="Arial" w:cs="Arial"/>
                <w:sz w:val="22"/>
                <w:szCs w:val="21"/>
              </w:rPr>
            </w:pPr>
          </w:p>
        </w:tc>
        <w:tc>
          <w:tcPr>
            <w:tcW w:w="5244" w:type="dxa"/>
            <w:tcBorders>
              <w:top w:val="single" w:sz="4" w:space="0" w:color="auto"/>
              <w:bottom w:val="single" w:sz="4" w:space="0" w:color="auto"/>
            </w:tcBorders>
            <w:vAlign w:val="center"/>
          </w:tcPr>
          <w:p w14:paraId="7EEB1854" w14:textId="5E178643" w:rsidR="007D665C" w:rsidRPr="001D39F4" w:rsidRDefault="00F05716" w:rsidP="0064483B">
            <w:pPr>
              <w:rPr>
                <w:rFonts w:ascii="Arial" w:hAnsi="Arial" w:cs="Arial"/>
                <w:sz w:val="22"/>
                <w:szCs w:val="21"/>
              </w:rPr>
            </w:pPr>
            <w:r w:rsidRPr="001D39F4">
              <w:rPr>
                <w:rFonts w:ascii="Arial" w:hAnsi="Arial" w:cs="Arial"/>
                <w:sz w:val="22"/>
                <w:szCs w:val="21"/>
              </w:rPr>
              <w:t>continue to promote flexible working – particularly within Managers @My</w:t>
            </w:r>
            <w:r w:rsidR="000D5B60">
              <w:rPr>
                <w:rFonts w:ascii="Arial" w:hAnsi="Arial" w:cs="Arial"/>
                <w:sz w:val="22"/>
                <w:szCs w:val="21"/>
              </w:rPr>
              <w:t>Best essential managers package</w:t>
            </w:r>
            <w:r w:rsidR="00AB50AF">
              <w:rPr>
                <w:rFonts w:ascii="Arial" w:hAnsi="Arial" w:cs="Arial"/>
                <w:sz w:val="22"/>
                <w:szCs w:val="21"/>
              </w:rPr>
              <w:t xml:space="preserve"> and as part of the wider Preparing for the Future programme</w:t>
            </w:r>
            <w:r w:rsidR="00BC6BF8">
              <w:rPr>
                <w:rFonts w:ascii="Arial" w:hAnsi="Arial" w:cs="Arial"/>
                <w:sz w:val="22"/>
                <w:szCs w:val="21"/>
              </w:rPr>
              <w:t xml:space="preserve">.  The </w:t>
            </w:r>
            <w:r w:rsidR="001A3B36">
              <w:rPr>
                <w:rFonts w:ascii="Arial" w:hAnsi="Arial" w:cs="Arial"/>
                <w:sz w:val="22"/>
                <w:szCs w:val="21"/>
              </w:rPr>
              <w:t>focus</w:t>
            </w:r>
            <w:r w:rsidR="00BC6BF8">
              <w:rPr>
                <w:rFonts w:ascii="Arial" w:hAnsi="Arial" w:cs="Arial"/>
                <w:sz w:val="22"/>
                <w:szCs w:val="21"/>
              </w:rPr>
              <w:t xml:space="preserve"> has so far been on location flexibility</w:t>
            </w:r>
            <w:r w:rsidR="001A3B36">
              <w:rPr>
                <w:rFonts w:ascii="Arial" w:hAnsi="Arial" w:cs="Arial"/>
                <w:sz w:val="22"/>
                <w:szCs w:val="21"/>
              </w:rPr>
              <w:t>/</w:t>
            </w:r>
            <w:r w:rsidR="00BC6BF8">
              <w:rPr>
                <w:rFonts w:ascii="Arial" w:hAnsi="Arial" w:cs="Arial"/>
                <w:sz w:val="22"/>
                <w:szCs w:val="21"/>
              </w:rPr>
              <w:t xml:space="preserve">home working during </w:t>
            </w:r>
            <w:r w:rsidR="00942ED1">
              <w:rPr>
                <w:rFonts w:ascii="Arial" w:hAnsi="Arial" w:cs="Arial"/>
                <w:sz w:val="22"/>
                <w:szCs w:val="21"/>
              </w:rPr>
              <w:t xml:space="preserve">the Covid Pandemic.  We will continue to promote other forms of flexibility </w:t>
            </w:r>
            <w:proofErr w:type="spellStart"/>
            <w:proofErr w:type="gramStart"/>
            <w:r w:rsidR="00942ED1">
              <w:rPr>
                <w:rFonts w:ascii="Arial" w:hAnsi="Arial" w:cs="Arial"/>
                <w:sz w:val="22"/>
                <w:szCs w:val="21"/>
              </w:rPr>
              <w:t>ie</w:t>
            </w:r>
            <w:proofErr w:type="spellEnd"/>
            <w:proofErr w:type="gramEnd"/>
            <w:r w:rsidR="00942ED1">
              <w:rPr>
                <w:rFonts w:ascii="Arial" w:hAnsi="Arial" w:cs="Arial"/>
                <w:sz w:val="22"/>
                <w:szCs w:val="21"/>
              </w:rPr>
              <w:t xml:space="preserve"> job share and part time working, particularly to leadership roles.</w:t>
            </w:r>
            <w:r w:rsidR="007D665C">
              <w:rPr>
                <w:rFonts w:ascii="Arial" w:hAnsi="Arial" w:cs="Arial"/>
                <w:sz w:val="22"/>
                <w:szCs w:val="21"/>
              </w:rPr>
              <w:t xml:space="preserve"> (</w:t>
            </w:r>
            <w:proofErr w:type="spellStart"/>
            <w:proofErr w:type="gramStart"/>
            <w:r w:rsidR="007D665C">
              <w:rPr>
                <w:rFonts w:ascii="Arial" w:hAnsi="Arial" w:cs="Arial"/>
                <w:sz w:val="22"/>
                <w:szCs w:val="21"/>
              </w:rPr>
              <w:t>eg</w:t>
            </w:r>
            <w:proofErr w:type="spellEnd"/>
            <w:proofErr w:type="gramEnd"/>
            <w:r w:rsidR="007D665C">
              <w:rPr>
                <w:rFonts w:ascii="Arial" w:hAnsi="Arial" w:cs="Arial"/>
                <w:sz w:val="22"/>
                <w:szCs w:val="21"/>
              </w:rPr>
              <w:t xml:space="preserve"> publicise senior manager job share/flexible working arrangements via video on our website)</w:t>
            </w:r>
          </w:p>
          <w:p w14:paraId="2003549B" w14:textId="77777777" w:rsidR="00A558A7" w:rsidRPr="001D39F4" w:rsidRDefault="00A558A7" w:rsidP="0064483B">
            <w:pPr>
              <w:rPr>
                <w:rFonts w:ascii="Arial" w:hAnsi="Arial" w:cs="Arial"/>
                <w:sz w:val="22"/>
                <w:szCs w:val="21"/>
              </w:rPr>
            </w:pPr>
          </w:p>
          <w:p w14:paraId="4EDAA333" w14:textId="5FC4902A" w:rsidR="002324C3" w:rsidRDefault="001649A7" w:rsidP="0064483B">
            <w:pPr>
              <w:rPr>
                <w:rFonts w:ascii="Arial" w:hAnsi="Arial" w:cs="Arial"/>
                <w:sz w:val="22"/>
                <w:szCs w:val="21"/>
              </w:rPr>
            </w:pPr>
            <w:r>
              <w:rPr>
                <w:rFonts w:ascii="Arial" w:hAnsi="Arial" w:cs="Arial"/>
                <w:sz w:val="22"/>
                <w:szCs w:val="21"/>
              </w:rPr>
              <w:t>review</w:t>
            </w:r>
            <w:r w:rsidR="003657BF" w:rsidRPr="001D39F4">
              <w:rPr>
                <w:rFonts w:ascii="Arial" w:hAnsi="Arial" w:cs="Arial"/>
                <w:sz w:val="22"/>
                <w:szCs w:val="21"/>
              </w:rPr>
              <w:t xml:space="preserve"> Staff Engagement survey</w:t>
            </w:r>
            <w:r>
              <w:rPr>
                <w:rFonts w:ascii="Arial" w:hAnsi="Arial" w:cs="Arial"/>
                <w:sz w:val="22"/>
                <w:szCs w:val="21"/>
              </w:rPr>
              <w:t xml:space="preserve"> results</w:t>
            </w:r>
            <w:r w:rsidR="003657BF" w:rsidRPr="001D39F4">
              <w:rPr>
                <w:rFonts w:ascii="Arial" w:hAnsi="Arial" w:cs="Arial"/>
                <w:sz w:val="22"/>
                <w:szCs w:val="21"/>
              </w:rPr>
              <w:t xml:space="preserve"> to understand barriers to flexible working</w:t>
            </w:r>
            <w:r w:rsidR="000B05F5">
              <w:rPr>
                <w:rFonts w:ascii="Arial" w:hAnsi="Arial" w:cs="Arial"/>
                <w:sz w:val="22"/>
                <w:szCs w:val="21"/>
              </w:rPr>
              <w:t>.  Undertake a further staff survey February 2022.</w:t>
            </w:r>
          </w:p>
          <w:p w14:paraId="4D477696" w14:textId="499D3900" w:rsidR="00E7438B" w:rsidRDefault="00E7438B" w:rsidP="0064483B">
            <w:pPr>
              <w:rPr>
                <w:rFonts w:ascii="Arial" w:hAnsi="Arial" w:cs="Arial"/>
                <w:sz w:val="22"/>
                <w:szCs w:val="21"/>
              </w:rPr>
            </w:pPr>
          </w:p>
          <w:p w14:paraId="2FA08D0B" w14:textId="17C156AB" w:rsidR="00E7438B" w:rsidRDefault="00E7438B" w:rsidP="0064483B">
            <w:pPr>
              <w:rPr>
                <w:rFonts w:ascii="Arial" w:hAnsi="Arial" w:cs="Arial"/>
                <w:sz w:val="22"/>
                <w:szCs w:val="21"/>
              </w:rPr>
            </w:pPr>
            <w:r>
              <w:rPr>
                <w:rFonts w:ascii="Arial" w:hAnsi="Arial" w:cs="Arial"/>
                <w:sz w:val="22"/>
                <w:szCs w:val="21"/>
              </w:rPr>
              <w:t>Introduce Blended Working Charter as part of Preparing for the Future and new ways of working post-Covid</w:t>
            </w:r>
            <w:r w:rsidR="000B05F5">
              <w:rPr>
                <w:rFonts w:ascii="Arial" w:hAnsi="Arial" w:cs="Arial"/>
                <w:sz w:val="22"/>
                <w:szCs w:val="21"/>
              </w:rPr>
              <w:t xml:space="preserve"> and follow up with workshops for managers</w:t>
            </w:r>
          </w:p>
          <w:p w14:paraId="6F26A11B" w14:textId="37FF717C" w:rsidR="007D665C" w:rsidRDefault="007D665C" w:rsidP="0064483B">
            <w:pPr>
              <w:rPr>
                <w:rFonts w:ascii="Arial" w:hAnsi="Arial" w:cs="Arial"/>
                <w:sz w:val="22"/>
                <w:szCs w:val="21"/>
              </w:rPr>
            </w:pPr>
          </w:p>
          <w:p w14:paraId="2E720C31" w14:textId="4786A6A2" w:rsidR="00A27B60" w:rsidRPr="001D39F4" w:rsidRDefault="007D665C" w:rsidP="001A3B36">
            <w:pPr>
              <w:rPr>
                <w:rFonts w:ascii="Arial" w:hAnsi="Arial" w:cs="Arial"/>
                <w:sz w:val="22"/>
                <w:szCs w:val="21"/>
              </w:rPr>
            </w:pPr>
            <w:r>
              <w:rPr>
                <w:rFonts w:ascii="Arial" w:hAnsi="Arial" w:cs="Arial"/>
                <w:sz w:val="22"/>
                <w:szCs w:val="21"/>
              </w:rPr>
              <w:t>Review and extend our carers leave policy</w:t>
            </w:r>
          </w:p>
        </w:tc>
      </w:tr>
    </w:tbl>
    <w:p w14:paraId="0B9F26FE" w14:textId="77777777" w:rsidR="00FF5204" w:rsidRDefault="00FF5204" w:rsidP="00ED239A">
      <w:pPr>
        <w:rPr>
          <w:rFonts w:ascii="Arial" w:hAnsi="Arial" w:cs="Arial"/>
          <w:sz w:val="24"/>
          <w:szCs w:val="24"/>
          <w:highlight w:val="yellow"/>
        </w:rPr>
      </w:pPr>
    </w:p>
    <w:sectPr w:rsidR="00FF5204" w:rsidSect="005E34DD">
      <w:pgSz w:w="16834" w:h="11909" w:orient="landscape" w:code="9"/>
      <w:pgMar w:top="425" w:right="1440" w:bottom="170" w:left="1134" w:header="709" w:footer="391"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21EF8D" w14:textId="77777777" w:rsidR="003B3B6C" w:rsidRDefault="003B3B6C" w:rsidP="00EF2D06">
      <w:r>
        <w:separator/>
      </w:r>
    </w:p>
  </w:endnote>
  <w:endnote w:type="continuationSeparator" w:id="0">
    <w:p w14:paraId="5EE314DD" w14:textId="77777777" w:rsidR="003B3B6C" w:rsidRDefault="003B3B6C" w:rsidP="00EF2D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7729066"/>
      <w:docPartObj>
        <w:docPartGallery w:val="Page Numbers (Bottom of Page)"/>
        <w:docPartUnique/>
      </w:docPartObj>
    </w:sdtPr>
    <w:sdtEndPr>
      <w:rPr>
        <w:noProof/>
      </w:rPr>
    </w:sdtEndPr>
    <w:sdtContent>
      <w:p w14:paraId="21B43368" w14:textId="77777777" w:rsidR="00E7438B" w:rsidRDefault="00E7438B">
        <w:pPr>
          <w:pStyle w:val="Footer"/>
          <w:jc w:val="center"/>
        </w:pPr>
        <w:r>
          <w:fldChar w:fldCharType="begin"/>
        </w:r>
        <w:r>
          <w:instrText xml:space="preserve"> PAGE   \* MERGEFORMAT </w:instrText>
        </w:r>
        <w:r>
          <w:fldChar w:fldCharType="separate"/>
        </w:r>
        <w:r>
          <w:rPr>
            <w:noProof/>
          </w:rPr>
          <w:t>9</w:t>
        </w:r>
        <w:r>
          <w:rPr>
            <w:noProof/>
          </w:rPr>
          <w:fldChar w:fldCharType="end"/>
        </w:r>
      </w:p>
    </w:sdtContent>
  </w:sdt>
  <w:p w14:paraId="1924E41E" w14:textId="77777777" w:rsidR="00E7438B" w:rsidRDefault="00E7438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BD35E" w14:textId="7F1B6F43" w:rsidR="00E7438B" w:rsidRDefault="00E7438B">
    <w:pPr>
      <w:pStyle w:val="Footer"/>
    </w:pPr>
    <w:r w:rsidRPr="00EA0226">
      <w:rPr>
        <w:noProof/>
      </w:rPr>
      <mc:AlternateContent>
        <mc:Choice Requires="wps">
          <w:drawing>
            <wp:anchor distT="0" distB="0" distL="114300" distR="114300" simplePos="0" relativeHeight="251658240" behindDoc="0" locked="0" layoutInCell="1" allowOverlap="1" wp14:anchorId="24227206" wp14:editId="587D1E2E">
              <wp:simplePos x="0" y="0"/>
              <wp:positionH relativeFrom="column">
                <wp:posOffset>5347335</wp:posOffset>
              </wp:positionH>
              <wp:positionV relativeFrom="paragraph">
                <wp:posOffset>594995</wp:posOffset>
              </wp:positionV>
              <wp:extent cx="1079500" cy="1079500"/>
              <wp:effectExtent l="0" t="0" r="6350" b="6350"/>
              <wp:wrapNone/>
              <wp:docPr id="5" name="Right Triangle 5"/>
              <wp:cNvGraphicFramePr/>
              <a:graphic xmlns:a="http://schemas.openxmlformats.org/drawingml/2006/main">
                <a:graphicData uri="http://schemas.microsoft.com/office/word/2010/wordprocessingShape">
                  <wps:wsp>
                    <wps:cNvSpPr/>
                    <wps:spPr>
                      <a:xfrm rot="5400000">
                        <a:off x="0" y="0"/>
                        <a:ext cx="1079500" cy="1079500"/>
                      </a:xfrm>
                      <a:prstGeom prst="rtTriangle">
                        <a:avLst/>
                      </a:prstGeom>
                      <a:solidFill>
                        <a:srgbClr val="7BAFD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2370F4" id="_x0000_t6" coordsize="21600,21600" o:spt="6" path="m,l,21600r21600,xe">
              <v:stroke joinstyle="miter"/>
              <v:path gradientshapeok="t" o:connecttype="custom" o:connectlocs="0,0;0,10800;0,21600;10800,21600;21600,21600;10800,10800" textboxrect="1800,12600,12600,19800"/>
            </v:shapetype>
            <v:shape id="Right Triangle 5" o:spid="_x0000_s1026" type="#_x0000_t6" style="position:absolute;margin-left:421.05pt;margin-top:46.85pt;width:85pt;height:85pt;rotation:9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" fillcolor="#7bafd4" stroked="f" strokeweight="2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DD8389" w14:textId="77777777" w:rsidR="003B3B6C" w:rsidRDefault="003B3B6C" w:rsidP="00EF2D06">
      <w:r>
        <w:separator/>
      </w:r>
    </w:p>
  </w:footnote>
  <w:footnote w:type="continuationSeparator" w:id="0">
    <w:p w14:paraId="798F1059" w14:textId="77777777" w:rsidR="003B3B6C" w:rsidRDefault="003B3B6C" w:rsidP="00EF2D06">
      <w:r>
        <w:continuationSeparator/>
      </w:r>
    </w:p>
  </w:footnote>
  <w:footnote w:id="1">
    <w:p w14:paraId="52FBA7EC" w14:textId="4B99A86F" w:rsidR="00E7438B" w:rsidRPr="001C647C" w:rsidRDefault="00E7438B" w:rsidP="00891B84">
      <w:pPr>
        <w:pStyle w:val="FootnoteText"/>
        <w:rPr>
          <w:rFonts w:ascii="Arial" w:hAnsi="Arial" w:cs="Arial"/>
          <w:sz w:val="16"/>
          <w:szCs w:val="16"/>
        </w:rPr>
      </w:pPr>
      <w:r w:rsidRPr="001C647C">
        <w:rPr>
          <w:rStyle w:val="FootnoteReference"/>
          <w:rFonts w:ascii="Arial" w:hAnsi="Arial" w:cs="Arial"/>
          <w:sz w:val="16"/>
          <w:szCs w:val="16"/>
        </w:rPr>
        <w:footnoteRef/>
      </w:r>
      <w:r w:rsidRPr="001C647C">
        <w:rPr>
          <w:rFonts w:ascii="Arial" w:hAnsi="Arial" w:cs="Arial"/>
          <w:sz w:val="16"/>
          <w:szCs w:val="16"/>
        </w:rPr>
        <w:t xml:space="preserve"> Full pay relevant employees are those relevant employees who, during the relevant pay period, are not </w:t>
      </w:r>
      <w:r>
        <w:rPr>
          <w:rFonts w:ascii="Arial" w:hAnsi="Arial" w:cs="Arial"/>
          <w:sz w:val="16"/>
          <w:szCs w:val="16"/>
        </w:rPr>
        <w:br/>
      </w:r>
      <w:r w:rsidRPr="001C647C">
        <w:rPr>
          <w:rFonts w:ascii="Arial" w:hAnsi="Arial" w:cs="Arial"/>
          <w:sz w:val="16"/>
          <w:szCs w:val="16"/>
        </w:rPr>
        <w:t xml:space="preserve">being paid at a reduced or nil rate as a result of being on ‘leave’. </w:t>
      </w:r>
      <w:r>
        <w:rPr>
          <w:rFonts w:ascii="Arial" w:hAnsi="Arial" w:cs="Arial"/>
          <w:sz w:val="16"/>
          <w:szCs w:val="16"/>
        </w:rPr>
        <w:t>This data includes casual workers.</w:t>
      </w:r>
    </w:p>
    <w:p w14:paraId="1B65E114" w14:textId="77777777" w:rsidR="00E7438B" w:rsidRPr="001C647C" w:rsidRDefault="00E7438B" w:rsidP="00891B84">
      <w:pPr>
        <w:pStyle w:val="FootnoteText"/>
        <w:rPr>
          <w:rFonts w:ascii="Arial" w:hAnsi="Arial" w:cs="Arial"/>
          <w:sz w:val="16"/>
          <w:szCs w:val="16"/>
        </w:rPr>
      </w:pPr>
    </w:p>
  </w:footnote>
  <w:footnote w:id="2">
    <w:p w14:paraId="6F0F88A1" w14:textId="6C4E0889" w:rsidR="00E7438B" w:rsidRPr="00A06F93" w:rsidRDefault="00E7438B" w:rsidP="00B136D6">
      <w:pPr>
        <w:shd w:val="clear" w:color="auto" w:fill="FFFFFF"/>
        <w:spacing w:before="100" w:beforeAutospacing="1" w:after="180"/>
        <w:rPr>
          <w:rFonts w:ascii="Arial" w:hAnsi="Arial" w:cs="Arial"/>
          <w:sz w:val="16"/>
          <w:szCs w:val="16"/>
        </w:rPr>
      </w:pPr>
      <w:r w:rsidRPr="00A06F93">
        <w:rPr>
          <w:rStyle w:val="FootnoteReference"/>
          <w:rFonts w:ascii="Arial" w:hAnsi="Arial" w:cs="Arial"/>
          <w:sz w:val="16"/>
          <w:szCs w:val="16"/>
        </w:rPr>
        <w:footnoteRef/>
      </w:r>
      <w:r w:rsidRPr="00A06F93">
        <w:rPr>
          <w:rFonts w:ascii="Arial" w:hAnsi="Arial" w:cs="Arial"/>
          <w:sz w:val="16"/>
          <w:szCs w:val="16"/>
        </w:rPr>
        <w:t xml:space="preserve"> </w:t>
      </w:r>
      <w:r>
        <w:rPr>
          <w:rFonts w:ascii="Arial" w:hAnsi="Arial" w:cs="Arial"/>
          <w:sz w:val="16"/>
          <w:szCs w:val="16"/>
        </w:rPr>
        <w:t xml:space="preserve">Data taken from </w:t>
      </w:r>
      <w:r w:rsidRPr="00A06F93">
        <w:rPr>
          <w:rFonts w:ascii="Arial" w:hAnsi="Arial" w:cs="Arial"/>
          <w:sz w:val="16"/>
          <w:szCs w:val="16"/>
        </w:rPr>
        <w:t>LGA Report 201</w:t>
      </w:r>
      <w:r>
        <w:rPr>
          <w:rFonts w:ascii="Arial" w:hAnsi="Arial" w:cs="Arial"/>
          <w:sz w:val="16"/>
          <w:szCs w:val="16"/>
        </w:rPr>
        <w:t>9</w:t>
      </w:r>
      <w:r w:rsidRPr="00A06F93">
        <w:rPr>
          <w:rFonts w:ascii="Arial" w:hAnsi="Arial" w:cs="Arial"/>
          <w:sz w:val="16"/>
          <w:szCs w:val="16"/>
        </w:rPr>
        <w:t xml:space="preserve"> (</w:t>
      </w:r>
      <w:r>
        <w:rPr>
          <w:rFonts w:ascii="Arial" w:hAnsi="Arial" w:cs="Arial"/>
          <w:sz w:val="16"/>
          <w:szCs w:val="16"/>
        </w:rPr>
        <w:t xml:space="preserve">based on 31 March </w:t>
      </w:r>
      <w:r w:rsidRPr="00A06F93">
        <w:rPr>
          <w:rFonts w:ascii="Arial" w:hAnsi="Arial" w:cs="Arial"/>
          <w:sz w:val="16"/>
          <w:szCs w:val="16"/>
        </w:rPr>
        <w:t>201</w:t>
      </w:r>
      <w:r>
        <w:rPr>
          <w:rFonts w:ascii="Arial" w:hAnsi="Arial" w:cs="Arial"/>
          <w:sz w:val="16"/>
          <w:szCs w:val="16"/>
        </w:rPr>
        <w:t>8</w:t>
      </w:r>
      <w:r w:rsidRPr="00A06F93">
        <w:rPr>
          <w:rFonts w:ascii="Arial" w:hAnsi="Arial" w:cs="Arial"/>
          <w:sz w:val="16"/>
          <w:szCs w:val="16"/>
        </w:rPr>
        <w:t xml:space="preserve"> data) </w:t>
      </w:r>
      <w:r>
        <w:rPr>
          <w:rFonts w:ascii="Arial" w:hAnsi="Arial" w:cs="Arial"/>
          <w:sz w:val="16"/>
          <w:szCs w:val="16"/>
        </w:rPr>
        <w:t xml:space="preserve">- </w:t>
      </w:r>
      <w:r w:rsidRPr="00A06F93">
        <w:rPr>
          <w:rFonts w:ascii="Arial" w:hAnsi="Arial" w:cs="Arial"/>
          <w:sz w:val="16"/>
          <w:szCs w:val="16"/>
        </w:rPr>
        <w:t xml:space="preserve"> </w:t>
      </w:r>
      <w:hyperlink r:id="rId1" w:history="1">
        <w:r w:rsidRPr="00A06F93">
          <w:rPr>
            <w:rStyle w:val="Hyperlink"/>
            <w:rFonts w:ascii="Arial" w:hAnsi="Arial" w:cs="Arial"/>
            <w:sz w:val="16"/>
            <w:szCs w:val="16"/>
          </w:rPr>
          <w:t>https://www.local.gov.uk/gender-pay-gap</w:t>
        </w:r>
      </w:hyperlink>
      <w:r w:rsidRPr="00A06F93">
        <w:rPr>
          <w:rFonts w:ascii="Arial" w:hAnsi="Arial" w:cs="Arial"/>
          <w:sz w:val="16"/>
          <w:szCs w:val="16"/>
        </w:rPr>
        <w:t xml:space="preserve"> </w:t>
      </w:r>
      <w:r>
        <w:rPr>
          <w:rFonts w:ascii="Arial" w:hAnsi="Arial" w:cs="Arial"/>
          <w:sz w:val="16"/>
          <w:szCs w:val="16"/>
        </w:rPr>
        <w:t xml:space="preserve"> accessed January 2020 and May 2021. </w:t>
      </w:r>
    </w:p>
    <w:p w14:paraId="41F976A2" w14:textId="77777777" w:rsidR="00E7438B" w:rsidRDefault="00E7438B" w:rsidP="00B136D6">
      <w:pPr>
        <w:pStyle w:val="FootnoteText"/>
        <w:rPr>
          <w:highlight w:val="yellow"/>
        </w:rPr>
      </w:pPr>
      <w:r w:rsidRPr="00A06F93">
        <w:rPr>
          <w:highlight w:val="yellow"/>
        </w:rPr>
        <w:t xml:space="preserve"> </w:t>
      </w:r>
    </w:p>
    <w:p w14:paraId="1A48FF4B" w14:textId="77777777" w:rsidR="00E7438B" w:rsidRDefault="00E7438B" w:rsidP="00B136D6">
      <w:pPr>
        <w:pStyle w:val="FootnoteText"/>
      </w:pPr>
    </w:p>
  </w:footnote>
  <w:footnote w:id="3">
    <w:p w14:paraId="2D72C331" w14:textId="3E3F9ACF" w:rsidR="00E7438B" w:rsidRDefault="00E7438B">
      <w:pPr>
        <w:pStyle w:val="FootnoteText"/>
      </w:pPr>
      <w:bookmarkStart w:id="0" w:name="_Hlk96938835"/>
      <w:r>
        <w:rPr>
          <w:rStyle w:val="FootnoteReference"/>
        </w:rPr>
        <w:t>3</w:t>
      </w:r>
      <w:r w:rsidRPr="00A06F93">
        <w:rPr>
          <w:rFonts w:ascii="Arial" w:hAnsi="Arial" w:cs="Arial"/>
          <w:sz w:val="16"/>
          <w:szCs w:val="16"/>
        </w:rPr>
        <w:t xml:space="preserve"> Bonus pay for B&amp;NES is defined as long service award payments, golden hellos and recruitment and retention allowances to attract and retain teaching staff,</w:t>
      </w:r>
      <w:r>
        <w:rPr>
          <w:rFonts w:ascii="Arial" w:hAnsi="Arial" w:cs="Arial"/>
          <w:sz w:val="16"/>
          <w:szCs w:val="16"/>
        </w:rPr>
        <w:t xml:space="preserve"> </w:t>
      </w:r>
      <w:r w:rsidRPr="00A06F93">
        <w:rPr>
          <w:rFonts w:ascii="Arial" w:hAnsi="Arial" w:cs="Arial"/>
          <w:sz w:val="16"/>
          <w:szCs w:val="16"/>
        </w:rPr>
        <w:t xml:space="preserve">one-off ex-gratia payments.  It does not include honorarium payments which are already included in the overall </w:t>
      </w:r>
      <w:r>
        <w:rPr>
          <w:rFonts w:ascii="Arial" w:hAnsi="Arial" w:cs="Arial"/>
          <w:sz w:val="16"/>
          <w:szCs w:val="16"/>
        </w:rPr>
        <w:t xml:space="preserve">basic </w:t>
      </w:r>
      <w:r w:rsidRPr="00A06F93">
        <w:rPr>
          <w:rFonts w:ascii="Arial" w:hAnsi="Arial" w:cs="Arial"/>
          <w:sz w:val="16"/>
          <w:szCs w:val="16"/>
        </w:rPr>
        <w:t>hourly rate pay calculation.</w:t>
      </w:r>
      <w:r>
        <w:rPr>
          <w:rFonts w:ascii="Arial" w:hAnsi="Arial" w:cs="Arial"/>
          <w:sz w:val="16"/>
          <w:szCs w:val="16"/>
        </w:rPr>
        <w:t xml:space="preserve">  </w:t>
      </w:r>
      <w:bookmarkEnd w:id="0"/>
    </w:p>
  </w:footnote>
  <w:footnote w:id="4">
    <w:p w14:paraId="37FF70F7" w14:textId="77777777" w:rsidR="00E7438B" w:rsidRPr="003407DF" w:rsidRDefault="00E7438B" w:rsidP="005F3865">
      <w:pPr>
        <w:pStyle w:val="FootnoteText"/>
      </w:pPr>
      <w:r w:rsidRPr="003407DF">
        <w:rPr>
          <w:rStyle w:val="FootnoteReference"/>
        </w:rPr>
        <w:footnoteRef/>
      </w:r>
      <w:r w:rsidRPr="003407DF">
        <w:t xml:space="preserve"> </w:t>
      </w:r>
    </w:p>
    <w:p w14:paraId="5D9D9583" w14:textId="77777777" w:rsidR="00E7438B" w:rsidRDefault="00E7438B" w:rsidP="005F3865">
      <w:pPr>
        <w:pStyle w:val="FootnoteText"/>
      </w:pPr>
      <w:r>
        <w:t xml:space="preserve">A small number of specialist roles fall under </w:t>
      </w:r>
      <w:proofErr w:type="spellStart"/>
      <w:r>
        <w:t>Soulbury</w:t>
      </w:r>
      <w:proofErr w:type="spellEnd"/>
      <w:r>
        <w:t>, JNC or School Teacher Pay terms and conditions that are not Hay evaluated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E67B9" w14:textId="1E9E3FEA" w:rsidR="00E7438B" w:rsidRDefault="002F437B">
    <w:pPr>
      <w:pStyle w:val="Header"/>
    </w:pPr>
    <w:r>
      <w:rPr>
        <w:noProof/>
      </w:rPr>
      <w:drawing>
        <wp:inline distT="0" distB="0" distL="0" distR="0" wp14:anchorId="6906F5F6" wp14:editId="45B6D29D">
          <wp:extent cx="2118002" cy="11715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28341" cy="117729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A6195"/>
    <w:multiLevelType w:val="hybridMultilevel"/>
    <w:tmpl w:val="6AFE0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550045"/>
    <w:multiLevelType w:val="multilevel"/>
    <w:tmpl w:val="FB1E7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27425D6"/>
    <w:multiLevelType w:val="multilevel"/>
    <w:tmpl w:val="9EF24A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C437736"/>
    <w:multiLevelType w:val="hybridMultilevel"/>
    <w:tmpl w:val="4D9A7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D2924E3"/>
    <w:multiLevelType w:val="hybridMultilevel"/>
    <w:tmpl w:val="9BAC8F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47C4500"/>
    <w:multiLevelType w:val="hybridMultilevel"/>
    <w:tmpl w:val="ACB635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B4746D5"/>
    <w:multiLevelType w:val="multilevel"/>
    <w:tmpl w:val="442C9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CA04F10"/>
    <w:multiLevelType w:val="multilevel"/>
    <w:tmpl w:val="B8D8A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6"/>
  </w:num>
  <w:num w:numId="4">
    <w:abstractNumId w:val="0"/>
  </w:num>
  <w:num w:numId="5">
    <w:abstractNumId w:val="5"/>
  </w:num>
  <w:num w:numId="6">
    <w:abstractNumId w:val="3"/>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E6918"/>
    <w:rsid w:val="00000443"/>
    <w:rsid w:val="00001F72"/>
    <w:rsid w:val="0000608C"/>
    <w:rsid w:val="00013CF9"/>
    <w:rsid w:val="000209B7"/>
    <w:rsid w:val="00021A48"/>
    <w:rsid w:val="00022937"/>
    <w:rsid w:val="00022FC2"/>
    <w:rsid w:val="000267F0"/>
    <w:rsid w:val="000271B0"/>
    <w:rsid w:val="00035CA1"/>
    <w:rsid w:val="00044D5A"/>
    <w:rsid w:val="00057C48"/>
    <w:rsid w:val="0006266B"/>
    <w:rsid w:val="000637F1"/>
    <w:rsid w:val="00065190"/>
    <w:rsid w:val="000721AC"/>
    <w:rsid w:val="00075D43"/>
    <w:rsid w:val="00083C95"/>
    <w:rsid w:val="00084C41"/>
    <w:rsid w:val="000854FA"/>
    <w:rsid w:val="0009400A"/>
    <w:rsid w:val="000948C9"/>
    <w:rsid w:val="000A316B"/>
    <w:rsid w:val="000B05F5"/>
    <w:rsid w:val="000B736B"/>
    <w:rsid w:val="000C2F85"/>
    <w:rsid w:val="000C4055"/>
    <w:rsid w:val="000C53A6"/>
    <w:rsid w:val="000D4A5F"/>
    <w:rsid w:val="000D5B60"/>
    <w:rsid w:val="000D638E"/>
    <w:rsid w:val="000D703A"/>
    <w:rsid w:val="000E1890"/>
    <w:rsid w:val="000E2CDE"/>
    <w:rsid w:val="000F0891"/>
    <w:rsid w:val="000F4453"/>
    <w:rsid w:val="00106A24"/>
    <w:rsid w:val="00127AAF"/>
    <w:rsid w:val="0013733A"/>
    <w:rsid w:val="0014384B"/>
    <w:rsid w:val="00150425"/>
    <w:rsid w:val="00151337"/>
    <w:rsid w:val="00155EC8"/>
    <w:rsid w:val="001649A7"/>
    <w:rsid w:val="00180057"/>
    <w:rsid w:val="00183530"/>
    <w:rsid w:val="001A2E20"/>
    <w:rsid w:val="001A3400"/>
    <w:rsid w:val="001A3B36"/>
    <w:rsid w:val="001A5BAE"/>
    <w:rsid w:val="001A6423"/>
    <w:rsid w:val="001A6625"/>
    <w:rsid w:val="001A788E"/>
    <w:rsid w:val="001B670A"/>
    <w:rsid w:val="001C1618"/>
    <w:rsid w:val="001C4976"/>
    <w:rsid w:val="001C647C"/>
    <w:rsid w:val="001D1A66"/>
    <w:rsid w:val="001D2119"/>
    <w:rsid w:val="001D39F4"/>
    <w:rsid w:val="001D755B"/>
    <w:rsid w:val="001E22E2"/>
    <w:rsid w:val="001E2D56"/>
    <w:rsid w:val="001F78AB"/>
    <w:rsid w:val="001F7AE0"/>
    <w:rsid w:val="00205A62"/>
    <w:rsid w:val="002074D9"/>
    <w:rsid w:val="00213A99"/>
    <w:rsid w:val="0021470B"/>
    <w:rsid w:val="00221C48"/>
    <w:rsid w:val="00223062"/>
    <w:rsid w:val="0022561A"/>
    <w:rsid w:val="002313B1"/>
    <w:rsid w:val="002324C3"/>
    <w:rsid w:val="00233E22"/>
    <w:rsid w:val="00240E38"/>
    <w:rsid w:val="002444F6"/>
    <w:rsid w:val="002477D7"/>
    <w:rsid w:val="002502DA"/>
    <w:rsid w:val="002579D5"/>
    <w:rsid w:val="00257D9D"/>
    <w:rsid w:val="00257EB9"/>
    <w:rsid w:val="00271C14"/>
    <w:rsid w:val="0027216B"/>
    <w:rsid w:val="00273DC7"/>
    <w:rsid w:val="00275898"/>
    <w:rsid w:val="00275DA6"/>
    <w:rsid w:val="00276E4E"/>
    <w:rsid w:val="0028048A"/>
    <w:rsid w:val="00280B40"/>
    <w:rsid w:val="0028443E"/>
    <w:rsid w:val="00291246"/>
    <w:rsid w:val="00294D8A"/>
    <w:rsid w:val="002954CF"/>
    <w:rsid w:val="002A128F"/>
    <w:rsid w:val="002B2286"/>
    <w:rsid w:val="002B2F61"/>
    <w:rsid w:val="002B58D4"/>
    <w:rsid w:val="002C783B"/>
    <w:rsid w:val="002C7845"/>
    <w:rsid w:val="002E765A"/>
    <w:rsid w:val="002F437B"/>
    <w:rsid w:val="002F5D9F"/>
    <w:rsid w:val="0030112D"/>
    <w:rsid w:val="00302E00"/>
    <w:rsid w:val="00303CD1"/>
    <w:rsid w:val="0030563D"/>
    <w:rsid w:val="00313B70"/>
    <w:rsid w:val="003171B6"/>
    <w:rsid w:val="003211B3"/>
    <w:rsid w:val="003407DF"/>
    <w:rsid w:val="003468E1"/>
    <w:rsid w:val="00353657"/>
    <w:rsid w:val="00353E31"/>
    <w:rsid w:val="003657BF"/>
    <w:rsid w:val="003732E3"/>
    <w:rsid w:val="00393D92"/>
    <w:rsid w:val="003965BA"/>
    <w:rsid w:val="003A45AD"/>
    <w:rsid w:val="003B3B6C"/>
    <w:rsid w:val="003C6BDF"/>
    <w:rsid w:val="003D190F"/>
    <w:rsid w:val="003D2978"/>
    <w:rsid w:val="003D71AC"/>
    <w:rsid w:val="003E6355"/>
    <w:rsid w:val="003F34B4"/>
    <w:rsid w:val="003F370F"/>
    <w:rsid w:val="003F3DA9"/>
    <w:rsid w:val="00401138"/>
    <w:rsid w:val="00403C41"/>
    <w:rsid w:val="004077C4"/>
    <w:rsid w:val="00411F43"/>
    <w:rsid w:val="004127CE"/>
    <w:rsid w:val="00422F2E"/>
    <w:rsid w:val="004246F7"/>
    <w:rsid w:val="00424E1D"/>
    <w:rsid w:val="004257B8"/>
    <w:rsid w:val="00431170"/>
    <w:rsid w:val="004419A6"/>
    <w:rsid w:val="00444CE9"/>
    <w:rsid w:val="004457FB"/>
    <w:rsid w:val="00446579"/>
    <w:rsid w:val="004609A3"/>
    <w:rsid w:val="00465B3E"/>
    <w:rsid w:val="00466942"/>
    <w:rsid w:val="004778C4"/>
    <w:rsid w:val="0048739F"/>
    <w:rsid w:val="00494A1B"/>
    <w:rsid w:val="00496958"/>
    <w:rsid w:val="004A0F9F"/>
    <w:rsid w:val="004A517A"/>
    <w:rsid w:val="004C3D48"/>
    <w:rsid w:val="004C7A7F"/>
    <w:rsid w:val="004D2FB6"/>
    <w:rsid w:val="004D4090"/>
    <w:rsid w:val="004E0EA1"/>
    <w:rsid w:val="004E6ABD"/>
    <w:rsid w:val="004F47F8"/>
    <w:rsid w:val="004F744B"/>
    <w:rsid w:val="00501420"/>
    <w:rsid w:val="00505A70"/>
    <w:rsid w:val="00510A2E"/>
    <w:rsid w:val="00510BA2"/>
    <w:rsid w:val="00517EEB"/>
    <w:rsid w:val="00522923"/>
    <w:rsid w:val="00522FC1"/>
    <w:rsid w:val="00527207"/>
    <w:rsid w:val="00534272"/>
    <w:rsid w:val="00543D15"/>
    <w:rsid w:val="00545352"/>
    <w:rsid w:val="00551E0A"/>
    <w:rsid w:val="00554E8F"/>
    <w:rsid w:val="00564862"/>
    <w:rsid w:val="00577BB3"/>
    <w:rsid w:val="005811E9"/>
    <w:rsid w:val="0059085E"/>
    <w:rsid w:val="0059225B"/>
    <w:rsid w:val="005B7E26"/>
    <w:rsid w:val="005C57EE"/>
    <w:rsid w:val="005C6777"/>
    <w:rsid w:val="005C7856"/>
    <w:rsid w:val="005D065A"/>
    <w:rsid w:val="005E1A8C"/>
    <w:rsid w:val="005E34DD"/>
    <w:rsid w:val="005F2686"/>
    <w:rsid w:val="005F3865"/>
    <w:rsid w:val="005F68F0"/>
    <w:rsid w:val="006023BB"/>
    <w:rsid w:val="00604DA9"/>
    <w:rsid w:val="00610E89"/>
    <w:rsid w:val="00630E3F"/>
    <w:rsid w:val="006336F0"/>
    <w:rsid w:val="00637001"/>
    <w:rsid w:val="0064483B"/>
    <w:rsid w:val="00645B7A"/>
    <w:rsid w:val="006525AE"/>
    <w:rsid w:val="00655F7A"/>
    <w:rsid w:val="0066399A"/>
    <w:rsid w:val="0067608B"/>
    <w:rsid w:val="0068689D"/>
    <w:rsid w:val="00686C14"/>
    <w:rsid w:val="00693FA0"/>
    <w:rsid w:val="00694672"/>
    <w:rsid w:val="006962F2"/>
    <w:rsid w:val="0069759B"/>
    <w:rsid w:val="006B1D32"/>
    <w:rsid w:val="006B30CF"/>
    <w:rsid w:val="006B744C"/>
    <w:rsid w:val="006C4D37"/>
    <w:rsid w:val="006F3512"/>
    <w:rsid w:val="006F5F18"/>
    <w:rsid w:val="006F7445"/>
    <w:rsid w:val="007003BE"/>
    <w:rsid w:val="0070193E"/>
    <w:rsid w:val="00703CF2"/>
    <w:rsid w:val="00704AA8"/>
    <w:rsid w:val="00710A87"/>
    <w:rsid w:val="00714182"/>
    <w:rsid w:val="00714C9B"/>
    <w:rsid w:val="0071680C"/>
    <w:rsid w:val="00716D51"/>
    <w:rsid w:val="007203FF"/>
    <w:rsid w:val="00721DCD"/>
    <w:rsid w:val="00723583"/>
    <w:rsid w:val="007240FB"/>
    <w:rsid w:val="007307C2"/>
    <w:rsid w:val="00732A9D"/>
    <w:rsid w:val="00733B4A"/>
    <w:rsid w:val="0073505F"/>
    <w:rsid w:val="00743467"/>
    <w:rsid w:val="00743FD4"/>
    <w:rsid w:val="00751803"/>
    <w:rsid w:val="00766582"/>
    <w:rsid w:val="0077461E"/>
    <w:rsid w:val="00776323"/>
    <w:rsid w:val="00783423"/>
    <w:rsid w:val="00784CBF"/>
    <w:rsid w:val="007A06AA"/>
    <w:rsid w:val="007A34B4"/>
    <w:rsid w:val="007A6663"/>
    <w:rsid w:val="007B7608"/>
    <w:rsid w:val="007B7C85"/>
    <w:rsid w:val="007C72F7"/>
    <w:rsid w:val="007C7AD6"/>
    <w:rsid w:val="007D1A26"/>
    <w:rsid w:val="007D32AD"/>
    <w:rsid w:val="007D3A7D"/>
    <w:rsid w:val="007D5E27"/>
    <w:rsid w:val="007D665C"/>
    <w:rsid w:val="007D7FA9"/>
    <w:rsid w:val="007E3FB5"/>
    <w:rsid w:val="007E4C44"/>
    <w:rsid w:val="007E4D7B"/>
    <w:rsid w:val="007E5F2C"/>
    <w:rsid w:val="00801CFB"/>
    <w:rsid w:val="00806667"/>
    <w:rsid w:val="00813CE3"/>
    <w:rsid w:val="008158D6"/>
    <w:rsid w:val="0081619E"/>
    <w:rsid w:val="0082207D"/>
    <w:rsid w:val="00823207"/>
    <w:rsid w:val="0082617B"/>
    <w:rsid w:val="00835665"/>
    <w:rsid w:val="00840B9C"/>
    <w:rsid w:val="008418FC"/>
    <w:rsid w:val="00847465"/>
    <w:rsid w:val="00847A18"/>
    <w:rsid w:val="00847BB5"/>
    <w:rsid w:val="00852386"/>
    <w:rsid w:val="00852E2C"/>
    <w:rsid w:val="008540BE"/>
    <w:rsid w:val="00854F64"/>
    <w:rsid w:val="00880072"/>
    <w:rsid w:val="0088753D"/>
    <w:rsid w:val="00891B84"/>
    <w:rsid w:val="008951B8"/>
    <w:rsid w:val="008977C3"/>
    <w:rsid w:val="008B5D46"/>
    <w:rsid w:val="008B5F14"/>
    <w:rsid w:val="008B6CDD"/>
    <w:rsid w:val="008C4810"/>
    <w:rsid w:val="008C60BE"/>
    <w:rsid w:val="008D018B"/>
    <w:rsid w:val="008D42B9"/>
    <w:rsid w:val="008D5B60"/>
    <w:rsid w:val="008E203C"/>
    <w:rsid w:val="008F13D8"/>
    <w:rsid w:val="008F1617"/>
    <w:rsid w:val="009017C6"/>
    <w:rsid w:val="009028A4"/>
    <w:rsid w:val="009046EA"/>
    <w:rsid w:val="0090525F"/>
    <w:rsid w:val="009058A0"/>
    <w:rsid w:val="00906C19"/>
    <w:rsid w:val="00915829"/>
    <w:rsid w:val="00916F59"/>
    <w:rsid w:val="009311E0"/>
    <w:rsid w:val="00931DE5"/>
    <w:rsid w:val="009375B5"/>
    <w:rsid w:val="00942ED1"/>
    <w:rsid w:val="00950CE6"/>
    <w:rsid w:val="0095392C"/>
    <w:rsid w:val="00956277"/>
    <w:rsid w:val="009608E1"/>
    <w:rsid w:val="0097092B"/>
    <w:rsid w:val="00970A42"/>
    <w:rsid w:val="0097184B"/>
    <w:rsid w:val="00975F69"/>
    <w:rsid w:val="009860BA"/>
    <w:rsid w:val="00993A3B"/>
    <w:rsid w:val="00996A5F"/>
    <w:rsid w:val="0099726B"/>
    <w:rsid w:val="00997AA0"/>
    <w:rsid w:val="009A0586"/>
    <w:rsid w:val="009A080D"/>
    <w:rsid w:val="009A2329"/>
    <w:rsid w:val="009A713C"/>
    <w:rsid w:val="009B1F3D"/>
    <w:rsid w:val="009B43A9"/>
    <w:rsid w:val="009C7119"/>
    <w:rsid w:val="009D2A55"/>
    <w:rsid w:val="009E000E"/>
    <w:rsid w:val="009E3A53"/>
    <w:rsid w:val="009E3C8D"/>
    <w:rsid w:val="009E6F73"/>
    <w:rsid w:val="009F1B83"/>
    <w:rsid w:val="009F3159"/>
    <w:rsid w:val="00A01C01"/>
    <w:rsid w:val="00A05C4E"/>
    <w:rsid w:val="00A14D13"/>
    <w:rsid w:val="00A26AB7"/>
    <w:rsid w:val="00A27B60"/>
    <w:rsid w:val="00A34C70"/>
    <w:rsid w:val="00A362CE"/>
    <w:rsid w:val="00A408C9"/>
    <w:rsid w:val="00A50106"/>
    <w:rsid w:val="00A53E3F"/>
    <w:rsid w:val="00A558A7"/>
    <w:rsid w:val="00A61540"/>
    <w:rsid w:val="00A6418A"/>
    <w:rsid w:val="00A703A7"/>
    <w:rsid w:val="00A738D8"/>
    <w:rsid w:val="00A80E44"/>
    <w:rsid w:val="00A80EA5"/>
    <w:rsid w:val="00A817CC"/>
    <w:rsid w:val="00A83109"/>
    <w:rsid w:val="00A86463"/>
    <w:rsid w:val="00A92E18"/>
    <w:rsid w:val="00A95A1C"/>
    <w:rsid w:val="00AA16B0"/>
    <w:rsid w:val="00AB50AF"/>
    <w:rsid w:val="00AC13A8"/>
    <w:rsid w:val="00AC770A"/>
    <w:rsid w:val="00AD6DB5"/>
    <w:rsid w:val="00AE2ED9"/>
    <w:rsid w:val="00AE76AD"/>
    <w:rsid w:val="00AF0893"/>
    <w:rsid w:val="00AF7B1E"/>
    <w:rsid w:val="00B052F7"/>
    <w:rsid w:val="00B12F4B"/>
    <w:rsid w:val="00B136D6"/>
    <w:rsid w:val="00B20461"/>
    <w:rsid w:val="00B31A3A"/>
    <w:rsid w:val="00B32169"/>
    <w:rsid w:val="00B35526"/>
    <w:rsid w:val="00B369F3"/>
    <w:rsid w:val="00B526B7"/>
    <w:rsid w:val="00B5304C"/>
    <w:rsid w:val="00B5633E"/>
    <w:rsid w:val="00B57977"/>
    <w:rsid w:val="00B65FA6"/>
    <w:rsid w:val="00B6656F"/>
    <w:rsid w:val="00B66D9E"/>
    <w:rsid w:val="00B718CE"/>
    <w:rsid w:val="00B71EC7"/>
    <w:rsid w:val="00B76C0E"/>
    <w:rsid w:val="00B83540"/>
    <w:rsid w:val="00B84637"/>
    <w:rsid w:val="00B906BE"/>
    <w:rsid w:val="00B93F2C"/>
    <w:rsid w:val="00B93FA8"/>
    <w:rsid w:val="00B941EA"/>
    <w:rsid w:val="00BA03FB"/>
    <w:rsid w:val="00BA1522"/>
    <w:rsid w:val="00BB24CD"/>
    <w:rsid w:val="00BC0E8A"/>
    <w:rsid w:val="00BC2014"/>
    <w:rsid w:val="00BC2146"/>
    <w:rsid w:val="00BC4532"/>
    <w:rsid w:val="00BC6BF8"/>
    <w:rsid w:val="00BD08F3"/>
    <w:rsid w:val="00BD0A60"/>
    <w:rsid w:val="00BD13A3"/>
    <w:rsid w:val="00BD2693"/>
    <w:rsid w:val="00BD3029"/>
    <w:rsid w:val="00BD480E"/>
    <w:rsid w:val="00BE53AE"/>
    <w:rsid w:val="00BF4592"/>
    <w:rsid w:val="00C03641"/>
    <w:rsid w:val="00C03656"/>
    <w:rsid w:val="00C12E2E"/>
    <w:rsid w:val="00C15591"/>
    <w:rsid w:val="00C20A04"/>
    <w:rsid w:val="00C212B8"/>
    <w:rsid w:val="00C213E3"/>
    <w:rsid w:val="00C24648"/>
    <w:rsid w:val="00C25CFA"/>
    <w:rsid w:val="00C3006E"/>
    <w:rsid w:val="00C300F6"/>
    <w:rsid w:val="00C3340F"/>
    <w:rsid w:val="00C3672D"/>
    <w:rsid w:val="00C36FB9"/>
    <w:rsid w:val="00C568E9"/>
    <w:rsid w:val="00C612DD"/>
    <w:rsid w:val="00C65396"/>
    <w:rsid w:val="00C723C0"/>
    <w:rsid w:val="00C755C2"/>
    <w:rsid w:val="00C77D0F"/>
    <w:rsid w:val="00C81C98"/>
    <w:rsid w:val="00C94AED"/>
    <w:rsid w:val="00CA0FBF"/>
    <w:rsid w:val="00CA153E"/>
    <w:rsid w:val="00CA219F"/>
    <w:rsid w:val="00CA254B"/>
    <w:rsid w:val="00CB2993"/>
    <w:rsid w:val="00CC05F8"/>
    <w:rsid w:val="00CC56EF"/>
    <w:rsid w:val="00CE109C"/>
    <w:rsid w:val="00CE156C"/>
    <w:rsid w:val="00CE2D17"/>
    <w:rsid w:val="00CE4A6C"/>
    <w:rsid w:val="00CE6476"/>
    <w:rsid w:val="00CF2A2C"/>
    <w:rsid w:val="00CF5D30"/>
    <w:rsid w:val="00D00267"/>
    <w:rsid w:val="00D032AE"/>
    <w:rsid w:val="00D05A44"/>
    <w:rsid w:val="00D13157"/>
    <w:rsid w:val="00D22F4C"/>
    <w:rsid w:val="00D2540E"/>
    <w:rsid w:val="00D27F16"/>
    <w:rsid w:val="00D36ED1"/>
    <w:rsid w:val="00D40A06"/>
    <w:rsid w:val="00D41851"/>
    <w:rsid w:val="00D4558C"/>
    <w:rsid w:val="00D51356"/>
    <w:rsid w:val="00D563D2"/>
    <w:rsid w:val="00D57A6F"/>
    <w:rsid w:val="00D6369D"/>
    <w:rsid w:val="00D65562"/>
    <w:rsid w:val="00D725D3"/>
    <w:rsid w:val="00D7289B"/>
    <w:rsid w:val="00D9496A"/>
    <w:rsid w:val="00DA199E"/>
    <w:rsid w:val="00DA1FC7"/>
    <w:rsid w:val="00DB1018"/>
    <w:rsid w:val="00DC1693"/>
    <w:rsid w:val="00DD150A"/>
    <w:rsid w:val="00DD219F"/>
    <w:rsid w:val="00DE095D"/>
    <w:rsid w:val="00DF0774"/>
    <w:rsid w:val="00DF4D52"/>
    <w:rsid w:val="00E052CA"/>
    <w:rsid w:val="00E364AC"/>
    <w:rsid w:val="00E36CB2"/>
    <w:rsid w:val="00E4354F"/>
    <w:rsid w:val="00E4683B"/>
    <w:rsid w:val="00E5081D"/>
    <w:rsid w:val="00E541C5"/>
    <w:rsid w:val="00E604AA"/>
    <w:rsid w:val="00E60784"/>
    <w:rsid w:val="00E62166"/>
    <w:rsid w:val="00E627F8"/>
    <w:rsid w:val="00E63AAA"/>
    <w:rsid w:val="00E72982"/>
    <w:rsid w:val="00E7438B"/>
    <w:rsid w:val="00E8459F"/>
    <w:rsid w:val="00E90A6F"/>
    <w:rsid w:val="00E97DF2"/>
    <w:rsid w:val="00EA0226"/>
    <w:rsid w:val="00EA51C1"/>
    <w:rsid w:val="00EB5C10"/>
    <w:rsid w:val="00EB69A8"/>
    <w:rsid w:val="00EC02FF"/>
    <w:rsid w:val="00EC038A"/>
    <w:rsid w:val="00EC319D"/>
    <w:rsid w:val="00ED239A"/>
    <w:rsid w:val="00ED6719"/>
    <w:rsid w:val="00EE63F9"/>
    <w:rsid w:val="00EE6918"/>
    <w:rsid w:val="00EF1A1F"/>
    <w:rsid w:val="00EF2D06"/>
    <w:rsid w:val="00EF38B2"/>
    <w:rsid w:val="00EF76AA"/>
    <w:rsid w:val="00F04D1F"/>
    <w:rsid w:val="00F05716"/>
    <w:rsid w:val="00F15AD0"/>
    <w:rsid w:val="00F27050"/>
    <w:rsid w:val="00F32717"/>
    <w:rsid w:val="00F34A50"/>
    <w:rsid w:val="00F36A50"/>
    <w:rsid w:val="00F40623"/>
    <w:rsid w:val="00F424AD"/>
    <w:rsid w:val="00F42B4F"/>
    <w:rsid w:val="00F446D9"/>
    <w:rsid w:val="00F45DE8"/>
    <w:rsid w:val="00F51AF8"/>
    <w:rsid w:val="00F5208E"/>
    <w:rsid w:val="00F5378B"/>
    <w:rsid w:val="00F642C0"/>
    <w:rsid w:val="00F6525A"/>
    <w:rsid w:val="00F73D13"/>
    <w:rsid w:val="00F85A1E"/>
    <w:rsid w:val="00FA283D"/>
    <w:rsid w:val="00FB035D"/>
    <w:rsid w:val="00FB1A28"/>
    <w:rsid w:val="00FB2103"/>
    <w:rsid w:val="00FB6F5D"/>
    <w:rsid w:val="00FB70B4"/>
    <w:rsid w:val="00FB77F4"/>
    <w:rsid w:val="00FC0648"/>
    <w:rsid w:val="00FD14A6"/>
    <w:rsid w:val="00FE363F"/>
    <w:rsid w:val="00FE6C06"/>
    <w:rsid w:val="00FF0EFC"/>
    <w:rsid w:val="00FF507F"/>
    <w:rsid w:val="00FF5204"/>
    <w:rsid w:val="00FF6E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5EA66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16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EF2D06"/>
  </w:style>
  <w:style w:type="character" w:customStyle="1" w:styleId="FootnoteTextChar">
    <w:name w:val="Footnote Text Char"/>
    <w:basedOn w:val="DefaultParagraphFont"/>
    <w:link w:val="FootnoteText"/>
    <w:uiPriority w:val="99"/>
    <w:semiHidden/>
    <w:rsid w:val="00EF2D06"/>
  </w:style>
  <w:style w:type="character" w:styleId="FootnoteReference">
    <w:name w:val="footnote reference"/>
    <w:basedOn w:val="DefaultParagraphFont"/>
    <w:uiPriority w:val="99"/>
    <w:semiHidden/>
    <w:unhideWhenUsed/>
    <w:rsid w:val="00EF2D06"/>
    <w:rPr>
      <w:vertAlign w:val="superscript"/>
    </w:rPr>
  </w:style>
  <w:style w:type="table" w:styleId="TableGrid">
    <w:name w:val="Table Grid"/>
    <w:basedOn w:val="TableNormal"/>
    <w:uiPriority w:val="59"/>
    <w:rsid w:val="00B906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3505F"/>
    <w:rPr>
      <w:sz w:val="16"/>
      <w:szCs w:val="16"/>
    </w:rPr>
  </w:style>
  <w:style w:type="paragraph" w:styleId="CommentText">
    <w:name w:val="annotation text"/>
    <w:basedOn w:val="Normal"/>
    <w:link w:val="CommentTextChar"/>
    <w:uiPriority w:val="99"/>
    <w:unhideWhenUsed/>
    <w:rsid w:val="0073505F"/>
  </w:style>
  <w:style w:type="character" w:customStyle="1" w:styleId="CommentTextChar">
    <w:name w:val="Comment Text Char"/>
    <w:basedOn w:val="DefaultParagraphFont"/>
    <w:link w:val="CommentText"/>
    <w:uiPriority w:val="99"/>
    <w:rsid w:val="0073505F"/>
  </w:style>
  <w:style w:type="paragraph" w:styleId="CommentSubject">
    <w:name w:val="annotation subject"/>
    <w:basedOn w:val="CommentText"/>
    <w:next w:val="CommentText"/>
    <w:link w:val="CommentSubjectChar"/>
    <w:uiPriority w:val="99"/>
    <w:semiHidden/>
    <w:unhideWhenUsed/>
    <w:rsid w:val="0073505F"/>
    <w:rPr>
      <w:b/>
      <w:bCs/>
    </w:rPr>
  </w:style>
  <w:style w:type="character" w:customStyle="1" w:styleId="CommentSubjectChar">
    <w:name w:val="Comment Subject Char"/>
    <w:basedOn w:val="CommentTextChar"/>
    <w:link w:val="CommentSubject"/>
    <w:uiPriority w:val="99"/>
    <w:semiHidden/>
    <w:rsid w:val="0073505F"/>
    <w:rPr>
      <w:b/>
      <w:bCs/>
    </w:rPr>
  </w:style>
  <w:style w:type="paragraph" w:styleId="BalloonText">
    <w:name w:val="Balloon Text"/>
    <w:basedOn w:val="Normal"/>
    <w:link w:val="BalloonTextChar"/>
    <w:uiPriority w:val="99"/>
    <w:semiHidden/>
    <w:unhideWhenUsed/>
    <w:rsid w:val="0073505F"/>
    <w:rPr>
      <w:rFonts w:ascii="Tahoma" w:hAnsi="Tahoma" w:cs="Tahoma"/>
      <w:sz w:val="16"/>
      <w:szCs w:val="16"/>
    </w:rPr>
  </w:style>
  <w:style w:type="character" w:customStyle="1" w:styleId="BalloonTextChar">
    <w:name w:val="Balloon Text Char"/>
    <w:basedOn w:val="DefaultParagraphFont"/>
    <w:link w:val="BalloonText"/>
    <w:uiPriority w:val="99"/>
    <w:semiHidden/>
    <w:rsid w:val="0073505F"/>
    <w:rPr>
      <w:rFonts w:ascii="Tahoma" w:hAnsi="Tahoma" w:cs="Tahoma"/>
      <w:sz w:val="16"/>
      <w:szCs w:val="16"/>
    </w:rPr>
  </w:style>
  <w:style w:type="paragraph" w:styleId="Header">
    <w:name w:val="header"/>
    <w:basedOn w:val="Normal"/>
    <w:link w:val="HeaderChar"/>
    <w:uiPriority w:val="99"/>
    <w:unhideWhenUsed/>
    <w:rsid w:val="00AA16B0"/>
    <w:pPr>
      <w:tabs>
        <w:tab w:val="center" w:pos="4513"/>
        <w:tab w:val="right" w:pos="9026"/>
      </w:tabs>
    </w:pPr>
  </w:style>
  <w:style w:type="character" w:customStyle="1" w:styleId="HeaderChar">
    <w:name w:val="Header Char"/>
    <w:basedOn w:val="DefaultParagraphFont"/>
    <w:link w:val="Header"/>
    <w:uiPriority w:val="99"/>
    <w:rsid w:val="00AA16B0"/>
  </w:style>
  <w:style w:type="paragraph" w:styleId="Footer">
    <w:name w:val="footer"/>
    <w:basedOn w:val="Normal"/>
    <w:link w:val="FooterChar"/>
    <w:uiPriority w:val="99"/>
    <w:unhideWhenUsed/>
    <w:rsid w:val="00AA16B0"/>
    <w:pPr>
      <w:tabs>
        <w:tab w:val="center" w:pos="4513"/>
        <w:tab w:val="right" w:pos="9026"/>
      </w:tabs>
    </w:pPr>
  </w:style>
  <w:style w:type="character" w:customStyle="1" w:styleId="FooterChar">
    <w:name w:val="Footer Char"/>
    <w:basedOn w:val="DefaultParagraphFont"/>
    <w:link w:val="Footer"/>
    <w:uiPriority w:val="99"/>
    <w:rsid w:val="00AA16B0"/>
  </w:style>
  <w:style w:type="character" w:styleId="Hyperlink">
    <w:name w:val="Hyperlink"/>
    <w:basedOn w:val="DefaultParagraphFont"/>
    <w:uiPriority w:val="99"/>
    <w:unhideWhenUsed/>
    <w:rsid w:val="00021A48"/>
    <w:rPr>
      <w:color w:val="0000FF" w:themeColor="hyperlink"/>
      <w:u w:val="single"/>
    </w:rPr>
  </w:style>
  <w:style w:type="paragraph" w:styleId="ListParagraph">
    <w:name w:val="List Paragraph"/>
    <w:basedOn w:val="Normal"/>
    <w:uiPriority w:val="34"/>
    <w:qFormat/>
    <w:rsid w:val="00F45DE8"/>
    <w:pPr>
      <w:ind w:left="720"/>
      <w:contextualSpacing/>
    </w:pPr>
  </w:style>
  <w:style w:type="character" w:styleId="FollowedHyperlink">
    <w:name w:val="FollowedHyperlink"/>
    <w:basedOn w:val="DefaultParagraphFont"/>
    <w:uiPriority w:val="99"/>
    <w:semiHidden/>
    <w:unhideWhenUsed/>
    <w:rsid w:val="00FB2103"/>
    <w:rPr>
      <w:color w:val="800080" w:themeColor="followedHyperlink"/>
      <w:u w:val="single"/>
    </w:rPr>
  </w:style>
  <w:style w:type="paragraph" w:customStyle="1" w:styleId="Default">
    <w:name w:val="Default"/>
    <w:rsid w:val="00FB2103"/>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FA28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265165">
      <w:bodyDiv w:val="1"/>
      <w:marLeft w:val="0"/>
      <w:marRight w:val="0"/>
      <w:marTop w:val="0"/>
      <w:marBottom w:val="0"/>
      <w:divBdr>
        <w:top w:val="none" w:sz="0" w:space="0" w:color="auto"/>
        <w:left w:val="none" w:sz="0" w:space="0" w:color="auto"/>
        <w:bottom w:val="none" w:sz="0" w:space="0" w:color="auto"/>
        <w:right w:val="none" w:sz="0" w:space="0" w:color="auto"/>
      </w:divBdr>
    </w:div>
    <w:div w:id="75782535">
      <w:bodyDiv w:val="1"/>
      <w:marLeft w:val="0"/>
      <w:marRight w:val="0"/>
      <w:marTop w:val="0"/>
      <w:marBottom w:val="0"/>
      <w:divBdr>
        <w:top w:val="none" w:sz="0" w:space="0" w:color="auto"/>
        <w:left w:val="none" w:sz="0" w:space="0" w:color="auto"/>
        <w:bottom w:val="none" w:sz="0" w:space="0" w:color="auto"/>
        <w:right w:val="none" w:sz="0" w:space="0" w:color="auto"/>
      </w:divBdr>
    </w:div>
    <w:div w:id="229080895">
      <w:bodyDiv w:val="1"/>
      <w:marLeft w:val="0"/>
      <w:marRight w:val="0"/>
      <w:marTop w:val="0"/>
      <w:marBottom w:val="0"/>
      <w:divBdr>
        <w:top w:val="none" w:sz="0" w:space="0" w:color="auto"/>
        <w:left w:val="none" w:sz="0" w:space="0" w:color="auto"/>
        <w:bottom w:val="none" w:sz="0" w:space="0" w:color="auto"/>
        <w:right w:val="none" w:sz="0" w:space="0" w:color="auto"/>
      </w:divBdr>
    </w:div>
    <w:div w:id="274362886">
      <w:bodyDiv w:val="1"/>
      <w:marLeft w:val="0"/>
      <w:marRight w:val="0"/>
      <w:marTop w:val="0"/>
      <w:marBottom w:val="0"/>
      <w:divBdr>
        <w:top w:val="none" w:sz="0" w:space="0" w:color="auto"/>
        <w:left w:val="none" w:sz="0" w:space="0" w:color="auto"/>
        <w:bottom w:val="none" w:sz="0" w:space="0" w:color="auto"/>
        <w:right w:val="none" w:sz="0" w:space="0" w:color="auto"/>
      </w:divBdr>
    </w:div>
    <w:div w:id="300426521">
      <w:bodyDiv w:val="1"/>
      <w:marLeft w:val="0"/>
      <w:marRight w:val="0"/>
      <w:marTop w:val="0"/>
      <w:marBottom w:val="0"/>
      <w:divBdr>
        <w:top w:val="none" w:sz="0" w:space="0" w:color="auto"/>
        <w:left w:val="none" w:sz="0" w:space="0" w:color="auto"/>
        <w:bottom w:val="none" w:sz="0" w:space="0" w:color="auto"/>
        <w:right w:val="none" w:sz="0" w:space="0" w:color="auto"/>
      </w:divBdr>
    </w:div>
    <w:div w:id="631789215">
      <w:bodyDiv w:val="1"/>
      <w:marLeft w:val="0"/>
      <w:marRight w:val="0"/>
      <w:marTop w:val="0"/>
      <w:marBottom w:val="0"/>
      <w:divBdr>
        <w:top w:val="none" w:sz="0" w:space="0" w:color="auto"/>
        <w:left w:val="none" w:sz="0" w:space="0" w:color="auto"/>
        <w:bottom w:val="none" w:sz="0" w:space="0" w:color="auto"/>
        <w:right w:val="none" w:sz="0" w:space="0" w:color="auto"/>
      </w:divBdr>
    </w:div>
    <w:div w:id="779103526">
      <w:bodyDiv w:val="1"/>
      <w:marLeft w:val="0"/>
      <w:marRight w:val="0"/>
      <w:marTop w:val="0"/>
      <w:marBottom w:val="0"/>
      <w:divBdr>
        <w:top w:val="none" w:sz="0" w:space="0" w:color="auto"/>
        <w:left w:val="none" w:sz="0" w:space="0" w:color="auto"/>
        <w:bottom w:val="none" w:sz="0" w:space="0" w:color="auto"/>
        <w:right w:val="none" w:sz="0" w:space="0" w:color="auto"/>
      </w:divBdr>
    </w:div>
    <w:div w:id="795103798">
      <w:bodyDiv w:val="1"/>
      <w:marLeft w:val="0"/>
      <w:marRight w:val="0"/>
      <w:marTop w:val="0"/>
      <w:marBottom w:val="0"/>
      <w:divBdr>
        <w:top w:val="none" w:sz="0" w:space="0" w:color="auto"/>
        <w:left w:val="none" w:sz="0" w:space="0" w:color="auto"/>
        <w:bottom w:val="none" w:sz="0" w:space="0" w:color="auto"/>
        <w:right w:val="none" w:sz="0" w:space="0" w:color="auto"/>
      </w:divBdr>
    </w:div>
    <w:div w:id="979266216">
      <w:bodyDiv w:val="1"/>
      <w:marLeft w:val="0"/>
      <w:marRight w:val="0"/>
      <w:marTop w:val="0"/>
      <w:marBottom w:val="0"/>
      <w:divBdr>
        <w:top w:val="none" w:sz="0" w:space="0" w:color="auto"/>
        <w:left w:val="none" w:sz="0" w:space="0" w:color="auto"/>
        <w:bottom w:val="none" w:sz="0" w:space="0" w:color="auto"/>
        <w:right w:val="none" w:sz="0" w:space="0" w:color="auto"/>
      </w:divBdr>
    </w:div>
    <w:div w:id="1413896030">
      <w:bodyDiv w:val="1"/>
      <w:marLeft w:val="0"/>
      <w:marRight w:val="0"/>
      <w:marTop w:val="0"/>
      <w:marBottom w:val="0"/>
      <w:divBdr>
        <w:top w:val="none" w:sz="0" w:space="0" w:color="auto"/>
        <w:left w:val="none" w:sz="0" w:space="0" w:color="auto"/>
        <w:bottom w:val="none" w:sz="0" w:space="0" w:color="auto"/>
        <w:right w:val="none" w:sz="0" w:space="0" w:color="auto"/>
      </w:divBdr>
    </w:div>
    <w:div w:id="1415204855">
      <w:bodyDiv w:val="1"/>
      <w:marLeft w:val="0"/>
      <w:marRight w:val="0"/>
      <w:marTop w:val="0"/>
      <w:marBottom w:val="0"/>
      <w:divBdr>
        <w:top w:val="none" w:sz="0" w:space="0" w:color="auto"/>
        <w:left w:val="none" w:sz="0" w:space="0" w:color="auto"/>
        <w:bottom w:val="none" w:sz="0" w:space="0" w:color="auto"/>
        <w:right w:val="none" w:sz="0" w:space="0" w:color="auto"/>
      </w:divBdr>
    </w:div>
    <w:div w:id="1571816261">
      <w:bodyDiv w:val="1"/>
      <w:marLeft w:val="0"/>
      <w:marRight w:val="0"/>
      <w:marTop w:val="0"/>
      <w:marBottom w:val="0"/>
      <w:divBdr>
        <w:top w:val="none" w:sz="0" w:space="0" w:color="auto"/>
        <w:left w:val="none" w:sz="0" w:space="0" w:color="auto"/>
        <w:bottom w:val="none" w:sz="0" w:space="0" w:color="auto"/>
        <w:right w:val="none" w:sz="0" w:space="0" w:color="auto"/>
      </w:divBdr>
    </w:div>
    <w:div w:id="1650595908">
      <w:bodyDiv w:val="1"/>
      <w:marLeft w:val="0"/>
      <w:marRight w:val="0"/>
      <w:marTop w:val="0"/>
      <w:marBottom w:val="0"/>
      <w:divBdr>
        <w:top w:val="none" w:sz="0" w:space="0" w:color="auto"/>
        <w:left w:val="none" w:sz="0" w:space="0" w:color="auto"/>
        <w:bottom w:val="none" w:sz="0" w:space="0" w:color="auto"/>
        <w:right w:val="none" w:sz="0" w:space="0" w:color="auto"/>
      </w:divBdr>
    </w:div>
    <w:div w:id="1857035370">
      <w:bodyDiv w:val="1"/>
      <w:marLeft w:val="0"/>
      <w:marRight w:val="0"/>
      <w:marTop w:val="0"/>
      <w:marBottom w:val="0"/>
      <w:divBdr>
        <w:top w:val="none" w:sz="0" w:space="0" w:color="auto"/>
        <w:left w:val="none" w:sz="0" w:space="0" w:color="auto"/>
        <w:bottom w:val="none" w:sz="0" w:space="0" w:color="auto"/>
        <w:right w:val="none" w:sz="0" w:space="0" w:color="auto"/>
      </w:divBdr>
    </w:div>
    <w:div w:id="1919708756">
      <w:bodyDiv w:val="1"/>
      <w:marLeft w:val="0"/>
      <w:marRight w:val="0"/>
      <w:marTop w:val="0"/>
      <w:marBottom w:val="0"/>
      <w:divBdr>
        <w:top w:val="none" w:sz="0" w:space="0" w:color="auto"/>
        <w:left w:val="none" w:sz="0" w:space="0" w:color="auto"/>
        <w:bottom w:val="none" w:sz="0" w:space="0" w:color="auto"/>
        <w:right w:val="none" w:sz="0" w:space="0" w:color="auto"/>
      </w:divBdr>
    </w:div>
    <w:div w:id="1935624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www.local.gov.uk/gender-pay-ga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649D6A-083D-4253-9342-B6E723A6D8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2900</Words>
  <Characters>16531</Characters>
  <Application>Microsoft Office Word</Application>
  <DocSecurity>4</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19393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2022-03-28T07:58:00Z</dcterms:created>
  <dcterms:modified xsi:type="dcterms:W3CDTF">2022-03-28T07:58:00Z</dcterms:modified>
</cp:coreProperties>
</file>