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99" w:rsidRDefault="00F43499" w:rsidP="002E7EF8">
      <w:pPr>
        <w:pStyle w:val="Header"/>
        <w:rPr>
          <w:b/>
          <w:color w:val="000066"/>
          <w:sz w:val="52"/>
          <w:szCs w:val="52"/>
        </w:rPr>
      </w:pPr>
    </w:p>
    <w:p w:rsidR="002B3B5C" w:rsidRPr="002B3B5C" w:rsidRDefault="002E7EF8" w:rsidP="002E7EF8">
      <w:pPr>
        <w:pStyle w:val="Header"/>
        <w:rPr>
          <w:b/>
          <w:color w:val="000066"/>
          <w:sz w:val="52"/>
          <w:szCs w:val="52"/>
        </w:rPr>
      </w:pPr>
      <w:r w:rsidRPr="002B3B5C">
        <w:rPr>
          <w:b/>
          <w:color w:val="000066"/>
          <w:sz w:val="52"/>
          <w:szCs w:val="52"/>
        </w:rPr>
        <w:t>Equality Impact Assessment</w:t>
      </w:r>
      <w:r w:rsidR="00C64D7C">
        <w:rPr>
          <w:b/>
          <w:color w:val="000066"/>
          <w:sz w:val="52"/>
          <w:szCs w:val="52"/>
        </w:rPr>
        <w:t xml:space="preserve"> / Equality Analysis</w:t>
      </w:r>
    </w:p>
    <w:p w:rsidR="002B3B5C" w:rsidRDefault="002B3B5C" w:rsidP="002E7EF8">
      <w:pPr>
        <w:pStyle w:val="Header"/>
        <w:rPr>
          <w:b/>
          <w:sz w:val="32"/>
          <w:szCs w:val="32"/>
        </w:rPr>
      </w:pPr>
    </w:p>
    <w:p w:rsidR="00F43499" w:rsidRPr="002B3B5C" w:rsidRDefault="00F43499" w:rsidP="002E7EF8">
      <w:pPr>
        <w:pStyle w:val="Header"/>
        <w:rPr>
          <w:b/>
          <w:sz w:val="32"/>
          <w:szCs w:val="32"/>
        </w:rPr>
      </w:pPr>
    </w:p>
    <w:tbl>
      <w:tblPr>
        <w:tblW w:w="20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20"/>
        <w:gridCol w:w="7058"/>
        <w:gridCol w:w="7058"/>
      </w:tblGrid>
      <w:tr w:rsidR="00793DDE" w:rsidTr="00793DDE">
        <w:tc>
          <w:tcPr>
            <w:tcW w:w="5920" w:type="dxa"/>
            <w:vAlign w:val="center"/>
          </w:tcPr>
          <w:p w:rsidR="00793DDE" w:rsidRDefault="00793DDE" w:rsidP="002B3B5C">
            <w:pPr>
              <w:rPr>
                <w:b/>
                <w:bCs/>
                <w:sz w:val="24"/>
                <w:szCs w:val="24"/>
              </w:rPr>
            </w:pPr>
          </w:p>
          <w:p w:rsidR="00793DDE" w:rsidRDefault="00793DDE" w:rsidP="002B3B5C">
            <w:pPr>
              <w:rPr>
                <w:b/>
                <w:bCs/>
                <w:sz w:val="24"/>
                <w:szCs w:val="24"/>
              </w:rPr>
            </w:pPr>
            <w:r w:rsidRPr="00603419">
              <w:rPr>
                <w:b/>
                <w:bCs/>
                <w:sz w:val="24"/>
                <w:szCs w:val="24"/>
              </w:rPr>
              <w:t>Title of</w:t>
            </w:r>
            <w:r>
              <w:rPr>
                <w:b/>
                <w:bCs/>
                <w:sz w:val="24"/>
                <w:szCs w:val="24"/>
              </w:rPr>
              <w:t xml:space="preserve"> service or policy </w:t>
            </w:r>
          </w:p>
          <w:p w:rsidR="00793DDE" w:rsidRPr="00603419" w:rsidRDefault="00793DDE" w:rsidP="002B3B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  <w:vAlign w:val="center"/>
          </w:tcPr>
          <w:p w:rsidR="00793DDE" w:rsidRDefault="008225FF" w:rsidP="00B66382">
            <w:pPr>
              <w:spacing w:before="120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City Centre Access R</w:t>
            </w:r>
            <w:r w:rsidR="00174EF4">
              <w:rPr>
                <w:sz w:val="24"/>
                <w:szCs w:val="24"/>
              </w:rPr>
              <w:t xml:space="preserve">estrictions - Phase 1 </w:t>
            </w:r>
            <w:bookmarkEnd w:id="0"/>
            <w:r w:rsidR="00B66382">
              <w:rPr>
                <w:sz w:val="24"/>
                <w:szCs w:val="24"/>
              </w:rPr>
              <w:t xml:space="preserve">– Traffic </w:t>
            </w:r>
            <w:r w:rsidR="00793DDE" w:rsidRPr="00793DDE">
              <w:rPr>
                <w:sz w:val="24"/>
                <w:szCs w:val="24"/>
              </w:rPr>
              <w:t>Regulation Order</w:t>
            </w:r>
          </w:p>
        </w:tc>
        <w:tc>
          <w:tcPr>
            <w:tcW w:w="7058" w:type="dxa"/>
          </w:tcPr>
          <w:p w:rsidR="00793DDE" w:rsidRDefault="00793DDE" w:rsidP="002B3B5C">
            <w:pPr>
              <w:spacing w:before="120"/>
              <w:rPr>
                <w:sz w:val="24"/>
                <w:szCs w:val="24"/>
              </w:rPr>
            </w:pPr>
          </w:p>
        </w:tc>
      </w:tr>
      <w:tr w:rsidR="00793DDE" w:rsidTr="00793DDE">
        <w:tc>
          <w:tcPr>
            <w:tcW w:w="5920" w:type="dxa"/>
            <w:vAlign w:val="center"/>
          </w:tcPr>
          <w:p w:rsidR="00793DDE" w:rsidRDefault="00793DDE" w:rsidP="002B3B5C">
            <w:pPr>
              <w:pStyle w:val="Heading1"/>
            </w:pPr>
          </w:p>
          <w:p w:rsidR="00793DDE" w:rsidRPr="00603419" w:rsidRDefault="00793DDE" w:rsidP="002B3B5C">
            <w:pPr>
              <w:pStyle w:val="Heading1"/>
            </w:pPr>
            <w:r w:rsidRPr="00603419">
              <w:t>Name of directorate and service</w:t>
            </w:r>
          </w:p>
          <w:p w:rsidR="00793DDE" w:rsidRPr="00603419" w:rsidRDefault="00793DDE" w:rsidP="002B3B5C">
            <w:pPr>
              <w:rPr>
                <w:b/>
              </w:rPr>
            </w:pPr>
          </w:p>
        </w:tc>
        <w:tc>
          <w:tcPr>
            <w:tcW w:w="7058" w:type="dxa"/>
            <w:vAlign w:val="center"/>
          </w:tcPr>
          <w:p w:rsidR="00793DDE" w:rsidRDefault="00F83705" w:rsidP="00793DDE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7058" w:type="dxa"/>
          </w:tcPr>
          <w:p w:rsidR="00793DDE" w:rsidRDefault="00793DDE" w:rsidP="002B3B5C">
            <w:pPr>
              <w:spacing w:before="240"/>
              <w:rPr>
                <w:sz w:val="24"/>
                <w:szCs w:val="24"/>
              </w:rPr>
            </w:pPr>
          </w:p>
        </w:tc>
      </w:tr>
      <w:tr w:rsidR="00793DDE" w:rsidTr="00793DDE">
        <w:tc>
          <w:tcPr>
            <w:tcW w:w="5920" w:type="dxa"/>
            <w:vAlign w:val="center"/>
          </w:tcPr>
          <w:p w:rsidR="00793DDE" w:rsidRDefault="00793DDE" w:rsidP="002B3B5C">
            <w:pPr>
              <w:rPr>
                <w:b/>
                <w:bCs/>
                <w:sz w:val="24"/>
                <w:szCs w:val="24"/>
              </w:rPr>
            </w:pPr>
          </w:p>
          <w:p w:rsidR="00793DDE" w:rsidRDefault="00793DDE" w:rsidP="002B3B5C">
            <w:pPr>
              <w:rPr>
                <w:b/>
                <w:bCs/>
                <w:sz w:val="24"/>
                <w:szCs w:val="24"/>
              </w:rPr>
            </w:pPr>
            <w:r w:rsidRPr="00603419">
              <w:rPr>
                <w:b/>
                <w:bCs/>
                <w:sz w:val="24"/>
                <w:szCs w:val="24"/>
              </w:rPr>
              <w:t xml:space="preserve">Name and role of officers completing the </w:t>
            </w:r>
            <w:r>
              <w:rPr>
                <w:b/>
                <w:bCs/>
                <w:sz w:val="24"/>
                <w:szCs w:val="24"/>
              </w:rPr>
              <w:t>EIA</w:t>
            </w:r>
          </w:p>
          <w:p w:rsidR="00793DDE" w:rsidRPr="00603419" w:rsidRDefault="00793DDE" w:rsidP="002B3B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  <w:vAlign w:val="center"/>
          </w:tcPr>
          <w:p w:rsidR="00793DDE" w:rsidRDefault="00174EF4" w:rsidP="00174EF4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 Hayward</w:t>
            </w:r>
            <w:r w:rsidR="00793DD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Team Leader </w:t>
            </w:r>
            <w:r w:rsidR="004A472A">
              <w:rPr>
                <w:sz w:val="24"/>
                <w:szCs w:val="24"/>
              </w:rPr>
              <w:t>Access</w:t>
            </w:r>
            <w:r>
              <w:rPr>
                <w:sz w:val="24"/>
                <w:szCs w:val="24"/>
              </w:rPr>
              <w:t xml:space="preserve"> &amp; Delivery</w:t>
            </w:r>
          </w:p>
        </w:tc>
        <w:tc>
          <w:tcPr>
            <w:tcW w:w="7058" w:type="dxa"/>
          </w:tcPr>
          <w:p w:rsidR="00793DDE" w:rsidRDefault="00793DDE" w:rsidP="002B3B5C">
            <w:pPr>
              <w:spacing w:before="240"/>
              <w:rPr>
                <w:sz w:val="24"/>
                <w:szCs w:val="24"/>
              </w:rPr>
            </w:pPr>
          </w:p>
        </w:tc>
      </w:tr>
      <w:tr w:rsidR="00793DDE" w:rsidTr="00793DDE">
        <w:tc>
          <w:tcPr>
            <w:tcW w:w="5920" w:type="dxa"/>
            <w:vAlign w:val="center"/>
          </w:tcPr>
          <w:p w:rsidR="00793DDE" w:rsidRDefault="00793DDE" w:rsidP="002B3B5C">
            <w:pPr>
              <w:pStyle w:val="Heading1"/>
            </w:pPr>
          </w:p>
          <w:p w:rsidR="00793DDE" w:rsidRPr="00603419" w:rsidRDefault="00793DDE" w:rsidP="002B3B5C">
            <w:pPr>
              <w:pStyle w:val="Heading1"/>
            </w:pPr>
            <w:r w:rsidRPr="00603419">
              <w:t xml:space="preserve">Date </w:t>
            </w:r>
            <w:r>
              <w:t xml:space="preserve">of assessment </w:t>
            </w:r>
          </w:p>
          <w:p w:rsidR="00793DDE" w:rsidRPr="00603419" w:rsidRDefault="00793DDE" w:rsidP="002B3B5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58" w:type="dxa"/>
            <w:vAlign w:val="center"/>
          </w:tcPr>
          <w:p w:rsidR="00793DDE" w:rsidRDefault="00920947" w:rsidP="00793D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F83705">
              <w:rPr>
                <w:sz w:val="24"/>
                <w:szCs w:val="24"/>
              </w:rPr>
              <w:t>/06</w:t>
            </w:r>
            <w:r w:rsidR="00793DDE">
              <w:rPr>
                <w:sz w:val="24"/>
                <w:szCs w:val="24"/>
              </w:rPr>
              <w:t>/201</w:t>
            </w:r>
            <w:r w:rsidR="00174EF4">
              <w:rPr>
                <w:sz w:val="24"/>
                <w:szCs w:val="24"/>
              </w:rPr>
              <w:t>3</w:t>
            </w:r>
          </w:p>
        </w:tc>
        <w:tc>
          <w:tcPr>
            <w:tcW w:w="7058" w:type="dxa"/>
          </w:tcPr>
          <w:p w:rsidR="00793DDE" w:rsidRDefault="00793DDE" w:rsidP="002B3B5C">
            <w:pPr>
              <w:rPr>
                <w:sz w:val="24"/>
                <w:szCs w:val="24"/>
              </w:rPr>
            </w:pPr>
          </w:p>
        </w:tc>
      </w:tr>
    </w:tbl>
    <w:p w:rsidR="00984A3B" w:rsidRDefault="00984A3B" w:rsidP="00984A3B">
      <w:pPr>
        <w:rPr>
          <w:color w:val="000000"/>
          <w:lang w:val="en"/>
        </w:rPr>
      </w:pPr>
    </w:p>
    <w:p w:rsidR="002B3B5C" w:rsidRPr="00984A3B" w:rsidRDefault="007C6B69" w:rsidP="00984A3B">
      <w:pPr>
        <w:rPr>
          <w:sz w:val="24"/>
          <w:szCs w:val="24"/>
        </w:rPr>
      </w:pPr>
      <w:r>
        <w:rPr>
          <w:b/>
          <w:noProof/>
          <w:color w:val="000066"/>
          <w:sz w:val="52"/>
          <w:szCs w:val="5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79pt;margin-top:2.8pt;width:59.45pt;height:140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layout-flow:vertical">
              <w:txbxContent>
                <w:p w:rsidR="00246AE2" w:rsidRDefault="00246AE2" w:rsidP="009B5C97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>
                    <w:rPr>
                      <w:rFonts w:cs="Arial"/>
                      <w:b/>
                      <w:sz w:val="24"/>
                      <w:szCs w:val="24"/>
                    </w:rPr>
                    <w:t>Appendix 9</w:t>
                  </w:r>
                </w:p>
                <w:p w:rsidR="00246AE2" w:rsidRPr="0088411B" w:rsidRDefault="00246AE2" w:rsidP="009B5C97">
                  <w:pPr>
                    <w:jc w:val="center"/>
                    <w:rPr>
                      <w:rFonts w:cs="Arial"/>
                      <w:sz w:val="24"/>
                      <w:szCs w:val="24"/>
                    </w:rPr>
                  </w:pPr>
                  <w:r>
                    <w:rPr>
                      <w:rFonts w:cs="Arial"/>
                      <w:sz w:val="24"/>
                      <w:szCs w:val="24"/>
                    </w:rPr>
                    <w:t>Equalities Impact Assessment</w:t>
                  </w:r>
                </w:p>
              </w:txbxContent>
            </v:textbox>
          </v:shape>
        </w:pict>
      </w:r>
      <w:r w:rsidR="00984A3B">
        <w:rPr>
          <w:color w:val="000000"/>
          <w:lang w:val="en"/>
        </w:rPr>
        <w:br w:type="page"/>
      </w:r>
      <w:r w:rsidR="00984A3B" w:rsidRPr="002B3B5C">
        <w:rPr>
          <w:color w:val="000000"/>
          <w:lang w:val="en"/>
        </w:rPr>
        <w:lastRenderedPageBreak/>
        <w:t xml:space="preserve">Equality Impact </w:t>
      </w:r>
      <w:r w:rsidR="00984A3B">
        <w:rPr>
          <w:color w:val="000000"/>
          <w:lang w:val="en"/>
        </w:rPr>
        <w:t xml:space="preserve"> </w:t>
      </w:r>
      <w:r w:rsidR="00984A3B" w:rsidRPr="002B3B5C">
        <w:rPr>
          <w:color w:val="000000"/>
          <w:lang w:val="en"/>
        </w:rPr>
        <w:t>Assessment </w:t>
      </w:r>
      <w:r w:rsidR="00984A3B">
        <w:rPr>
          <w:color w:val="000000"/>
          <w:lang w:val="en"/>
        </w:rPr>
        <w:t xml:space="preserve">(or ‘Equality Analysis’) </w:t>
      </w:r>
      <w:r w:rsidR="00984A3B" w:rsidRPr="002B3B5C">
        <w:rPr>
          <w:color w:val="000000"/>
          <w:lang w:val="en"/>
        </w:rPr>
        <w:t xml:space="preserve">is a process of systematically analysing a new or existing policy or service to identify what impact or likely impact it will have on different groups within the community.  The primary concern is to identify </w:t>
      </w:r>
      <w:r w:rsidR="002B3B5C" w:rsidRPr="002B3B5C">
        <w:rPr>
          <w:color w:val="000000"/>
          <w:lang w:val="en"/>
        </w:rPr>
        <w:t>any discriminatory or negative consequences for a particular group or sector of the community.  Equality impact Assessments (EIAs) can be carried out in relation to service delivery as well as employment policies and strategies.</w:t>
      </w:r>
    </w:p>
    <w:p w:rsidR="006B2DF8" w:rsidRDefault="006B2DF8">
      <w:pPr>
        <w:rPr>
          <w:sz w:val="24"/>
          <w:szCs w:val="24"/>
        </w:rPr>
      </w:pPr>
      <w:r w:rsidRPr="00B86FBE">
        <w:rPr>
          <w:sz w:val="24"/>
          <w:szCs w:val="24"/>
        </w:rPr>
        <w:t xml:space="preserve">This </w:t>
      </w:r>
      <w:r w:rsidR="00B8565F" w:rsidRPr="00B86FBE">
        <w:rPr>
          <w:sz w:val="24"/>
          <w:szCs w:val="24"/>
        </w:rPr>
        <w:t xml:space="preserve">toolkit </w:t>
      </w:r>
      <w:r w:rsidRPr="00B86FBE">
        <w:rPr>
          <w:sz w:val="24"/>
          <w:szCs w:val="24"/>
        </w:rPr>
        <w:t xml:space="preserve">has been developed to use as a </w:t>
      </w:r>
      <w:r w:rsidR="002B3B5C">
        <w:rPr>
          <w:sz w:val="24"/>
          <w:szCs w:val="24"/>
        </w:rPr>
        <w:t xml:space="preserve">framework </w:t>
      </w:r>
      <w:r w:rsidRPr="00B86FBE">
        <w:rPr>
          <w:sz w:val="24"/>
          <w:szCs w:val="24"/>
        </w:rPr>
        <w:t>when c</w:t>
      </w:r>
      <w:r w:rsidR="00C64D7C">
        <w:rPr>
          <w:sz w:val="24"/>
          <w:szCs w:val="24"/>
        </w:rPr>
        <w:t xml:space="preserve">arrying out an </w:t>
      </w:r>
      <w:r w:rsidRPr="00B86FBE">
        <w:rPr>
          <w:sz w:val="24"/>
          <w:szCs w:val="24"/>
        </w:rPr>
        <w:t>Equalit</w:t>
      </w:r>
      <w:r w:rsidR="00C64D7C">
        <w:rPr>
          <w:sz w:val="24"/>
          <w:szCs w:val="24"/>
        </w:rPr>
        <w:t xml:space="preserve">y </w:t>
      </w:r>
      <w:r w:rsidRPr="00B86FBE">
        <w:rPr>
          <w:sz w:val="24"/>
          <w:szCs w:val="24"/>
        </w:rPr>
        <w:t xml:space="preserve">Impact Assessment </w:t>
      </w:r>
      <w:r w:rsidR="00B8565F" w:rsidRPr="00B86FBE">
        <w:rPr>
          <w:sz w:val="24"/>
          <w:szCs w:val="24"/>
        </w:rPr>
        <w:t xml:space="preserve">(EIA) </w:t>
      </w:r>
      <w:r w:rsidR="00C64D7C">
        <w:rPr>
          <w:sz w:val="24"/>
          <w:szCs w:val="24"/>
        </w:rPr>
        <w:t xml:space="preserve">or Equality Analysis </w:t>
      </w:r>
      <w:r w:rsidRPr="00B86FBE">
        <w:rPr>
          <w:sz w:val="24"/>
          <w:szCs w:val="24"/>
        </w:rPr>
        <w:t>on a policy, service or function</w:t>
      </w:r>
      <w:r w:rsidR="002B3B5C">
        <w:rPr>
          <w:color w:val="0000FF"/>
          <w:sz w:val="28"/>
          <w:szCs w:val="28"/>
        </w:rPr>
        <w:t>.</w:t>
      </w:r>
      <w:r w:rsidRPr="00B86FBE">
        <w:rPr>
          <w:sz w:val="24"/>
          <w:szCs w:val="24"/>
        </w:rPr>
        <w:t xml:space="preserve"> </w:t>
      </w:r>
      <w:r w:rsidR="009171DA">
        <w:rPr>
          <w:sz w:val="24"/>
          <w:szCs w:val="24"/>
        </w:rPr>
        <w:t xml:space="preserve">  </w:t>
      </w:r>
      <w:r w:rsidRPr="00B86FBE">
        <w:rPr>
          <w:sz w:val="24"/>
          <w:szCs w:val="24"/>
        </w:rPr>
        <w:t>It is intended that this is used as a working document throughout the process</w:t>
      </w:r>
      <w:r w:rsidR="002B3B5C">
        <w:rPr>
          <w:sz w:val="24"/>
          <w:szCs w:val="24"/>
        </w:rPr>
        <w:t>, with a final version including the action plan section being published on the Council’s and NHS Bath and North East Somerset’s websites.</w:t>
      </w:r>
      <w:r w:rsidRPr="00B86FBE">
        <w:rPr>
          <w:sz w:val="24"/>
          <w:szCs w:val="24"/>
        </w:rPr>
        <w:t xml:space="preserve">    </w:t>
      </w:r>
    </w:p>
    <w:p w:rsidR="002B3B5C" w:rsidRPr="00B86FBE" w:rsidRDefault="002B3B5C">
      <w:pPr>
        <w:rPr>
          <w:sz w:val="24"/>
          <w:szCs w:val="24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271"/>
        <w:gridCol w:w="8196"/>
      </w:tblGrid>
      <w:tr w:rsidR="00744837" w:rsidTr="003921F3">
        <w:tc>
          <w:tcPr>
            <w:tcW w:w="675" w:type="dxa"/>
            <w:shd w:val="clear" w:color="auto" w:fill="D9D9D9"/>
            <w:vAlign w:val="center"/>
          </w:tcPr>
          <w:p w:rsidR="00744837" w:rsidRDefault="00744837" w:rsidP="00744837">
            <w:r w:rsidRPr="00744837">
              <w:rPr>
                <w:b/>
                <w:sz w:val="24"/>
                <w:szCs w:val="24"/>
              </w:rPr>
              <w:t>1.</w:t>
            </w:r>
            <w:r>
              <w:t xml:space="preserve"> </w:t>
            </w:r>
          </w:p>
        </w:tc>
        <w:tc>
          <w:tcPr>
            <w:tcW w:w="13467" w:type="dxa"/>
            <w:gridSpan w:val="2"/>
            <w:shd w:val="clear" w:color="auto" w:fill="D9D9D9"/>
            <w:vAlign w:val="center"/>
          </w:tcPr>
          <w:p w:rsidR="002B3B5C" w:rsidRDefault="002B3B5C" w:rsidP="00744837">
            <w:pPr>
              <w:rPr>
                <w:b/>
                <w:sz w:val="28"/>
                <w:szCs w:val="28"/>
              </w:rPr>
            </w:pPr>
          </w:p>
          <w:p w:rsidR="00744837" w:rsidRDefault="00744837" w:rsidP="00744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Identify the aims of the policy</w:t>
            </w:r>
            <w:r w:rsidR="002B3B5C">
              <w:rPr>
                <w:b/>
                <w:sz w:val="28"/>
                <w:szCs w:val="28"/>
              </w:rPr>
              <w:t xml:space="preserve"> or service</w:t>
            </w:r>
            <w:r>
              <w:rPr>
                <w:b/>
                <w:sz w:val="28"/>
                <w:szCs w:val="28"/>
              </w:rPr>
              <w:t xml:space="preserve"> and how it is implemented.</w:t>
            </w:r>
          </w:p>
          <w:p w:rsidR="00744837" w:rsidRDefault="00744837" w:rsidP="00744837">
            <w:pPr>
              <w:rPr>
                <w:b/>
                <w:sz w:val="24"/>
                <w:szCs w:val="24"/>
              </w:rPr>
            </w:pPr>
          </w:p>
        </w:tc>
      </w:tr>
      <w:tr w:rsidR="002B3B5C" w:rsidTr="003921F3">
        <w:trPr>
          <w:trHeight w:val="407"/>
        </w:trPr>
        <w:tc>
          <w:tcPr>
            <w:tcW w:w="675" w:type="dxa"/>
          </w:tcPr>
          <w:p w:rsidR="002B3B5C" w:rsidRDefault="002B3B5C"/>
        </w:tc>
        <w:tc>
          <w:tcPr>
            <w:tcW w:w="5271" w:type="dxa"/>
          </w:tcPr>
          <w:p w:rsidR="002B3B5C" w:rsidRDefault="002B3B5C" w:rsidP="002B3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questions</w:t>
            </w:r>
          </w:p>
        </w:tc>
        <w:tc>
          <w:tcPr>
            <w:tcW w:w="8196" w:type="dxa"/>
            <w:vAlign w:val="center"/>
          </w:tcPr>
          <w:p w:rsidR="002B3B5C" w:rsidRDefault="002B3B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Answers / Notes</w:t>
            </w:r>
          </w:p>
        </w:tc>
      </w:tr>
      <w:tr w:rsidR="003921F3" w:rsidTr="003921F3">
        <w:tc>
          <w:tcPr>
            <w:tcW w:w="675" w:type="dxa"/>
          </w:tcPr>
          <w:p w:rsidR="003921F3" w:rsidRPr="002B3B5C" w:rsidRDefault="003921F3" w:rsidP="002B3B5C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5271" w:type="dxa"/>
          </w:tcPr>
          <w:p w:rsidR="003921F3" w:rsidRDefault="003921F3" w:rsidP="002B3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Briefly describe purpose of the service/policy including</w:t>
            </w:r>
          </w:p>
          <w:p w:rsidR="003921F3" w:rsidRPr="00F93043" w:rsidRDefault="003921F3" w:rsidP="00D44EC3">
            <w:pPr>
              <w:ind w:left="743"/>
              <w:rPr>
                <w:sz w:val="24"/>
                <w:szCs w:val="24"/>
              </w:rPr>
            </w:pPr>
            <w:r w:rsidRPr="00F93043">
              <w:rPr>
                <w:sz w:val="24"/>
                <w:szCs w:val="24"/>
              </w:rPr>
              <w:t xml:space="preserve"> </w:t>
            </w:r>
          </w:p>
        </w:tc>
        <w:tc>
          <w:tcPr>
            <w:tcW w:w="8196" w:type="dxa"/>
          </w:tcPr>
          <w:p w:rsidR="00F83705" w:rsidRDefault="004A472A" w:rsidP="00F83705">
            <w:pPr>
              <w:pStyle w:val="Default"/>
            </w:pPr>
            <w:r>
              <w:t xml:space="preserve">The </w:t>
            </w:r>
            <w:r w:rsidR="00F83705">
              <w:t>Council</w:t>
            </w:r>
            <w:r>
              <w:t xml:space="preserve"> is </w:t>
            </w:r>
            <w:r w:rsidR="00F83705">
              <w:t>in the p</w:t>
            </w:r>
            <w:r w:rsidR="007B4E00">
              <w:t>rocess of delivering the Bath Transport Package (BTP)</w:t>
            </w:r>
            <w:r w:rsidR="00F83705">
              <w:t>.</w:t>
            </w:r>
            <w:r w:rsidR="007B4E00">
              <w:t xml:space="preserve"> </w:t>
            </w:r>
            <w:r w:rsidR="00F83705">
              <w:t>Changes in</w:t>
            </w:r>
            <w:r w:rsidR="00E5180E">
              <w:t xml:space="preserve"> access</w:t>
            </w:r>
            <w:r w:rsidR="00F83705">
              <w:t xml:space="preserve"> to some streets in the city centre, during some hours of the day are part of the project.</w:t>
            </w:r>
            <w:r w:rsidR="00E5180E">
              <w:t xml:space="preserve"> </w:t>
            </w:r>
          </w:p>
          <w:p w:rsidR="00F83705" w:rsidRDefault="00F83705" w:rsidP="00F83705">
            <w:pPr>
              <w:pStyle w:val="Default"/>
            </w:pPr>
          </w:p>
          <w:p w:rsidR="00B66382" w:rsidRPr="003921F3" w:rsidRDefault="00F83705" w:rsidP="00F83705">
            <w:pPr>
              <w:pStyle w:val="Default"/>
            </w:pPr>
            <w:r w:rsidRPr="00F83705">
              <w:t>By introducing vehicle access restrictions on a number of streets in the main shopping areas, we will reduce conflict between vehicles and pedestrians and create a safer and more attractive</w:t>
            </w:r>
            <w:r>
              <w:t xml:space="preserve"> environment</w:t>
            </w:r>
            <w:r w:rsidRPr="00F83705">
              <w:t xml:space="preserve"> for residents and visitors. This is the first phase of the proposals.</w:t>
            </w:r>
          </w:p>
        </w:tc>
      </w:tr>
      <w:tr w:rsidR="003921F3" w:rsidTr="003921F3">
        <w:tc>
          <w:tcPr>
            <w:tcW w:w="675" w:type="dxa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5271" w:type="dxa"/>
          </w:tcPr>
          <w:p w:rsidR="003921F3" w:rsidRDefault="0039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Provide brief details of the scope of the </w:t>
            </w:r>
            <w:r w:rsidRPr="00F93043">
              <w:rPr>
                <w:sz w:val="24"/>
                <w:szCs w:val="24"/>
              </w:rPr>
              <w:t>policy</w:t>
            </w:r>
            <w:r>
              <w:rPr>
                <w:sz w:val="24"/>
                <w:szCs w:val="24"/>
              </w:rPr>
              <w:t xml:space="preserve"> or service being reviewed, for example:</w:t>
            </w:r>
          </w:p>
          <w:p w:rsidR="003921F3" w:rsidRDefault="003921F3" w:rsidP="003921F3">
            <w:pPr>
              <w:numPr>
                <w:ilvl w:val="0"/>
                <w:numId w:val="16"/>
              </w:numPr>
              <w:tabs>
                <w:tab w:val="clear" w:pos="1440"/>
                <w:tab w:val="num" w:pos="743"/>
              </w:tabs>
              <w:ind w:left="74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 new service/policy or review of an existing one?</w:t>
            </w:r>
            <w:r w:rsidRPr="00F93043">
              <w:rPr>
                <w:sz w:val="24"/>
                <w:szCs w:val="24"/>
              </w:rPr>
              <w:t xml:space="preserve">  </w:t>
            </w:r>
          </w:p>
          <w:p w:rsidR="00D44EC3" w:rsidRPr="00D44EC3" w:rsidRDefault="003921F3" w:rsidP="00D44EC3">
            <w:pPr>
              <w:numPr>
                <w:ilvl w:val="0"/>
                <w:numId w:val="16"/>
              </w:numPr>
              <w:tabs>
                <w:tab w:val="clear" w:pos="1440"/>
                <w:tab w:val="num" w:pos="743"/>
              </w:tabs>
              <w:ind w:left="743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it a national requirement?).</w:t>
            </w:r>
          </w:p>
          <w:p w:rsidR="003921F3" w:rsidRPr="00F93043" w:rsidRDefault="003921F3" w:rsidP="002B3B5C">
            <w:pPr>
              <w:numPr>
                <w:ilvl w:val="0"/>
                <w:numId w:val="16"/>
              </w:numPr>
              <w:rPr>
                <w:sz w:val="24"/>
                <w:szCs w:val="24"/>
              </w:rPr>
            </w:pPr>
            <w:r w:rsidRPr="00F93043">
              <w:rPr>
                <w:sz w:val="24"/>
                <w:szCs w:val="24"/>
              </w:rPr>
              <w:t>How much room for</w:t>
            </w:r>
            <w:r>
              <w:rPr>
                <w:sz w:val="24"/>
                <w:szCs w:val="24"/>
              </w:rPr>
              <w:t xml:space="preserve"> review</w:t>
            </w:r>
            <w:r w:rsidRPr="00F93043">
              <w:rPr>
                <w:sz w:val="24"/>
                <w:szCs w:val="24"/>
              </w:rPr>
              <w:t xml:space="preserve"> is there?</w:t>
            </w:r>
          </w:p>
        </w:tc>
        <w:tc>
          <w:tcPr>
            <w:tcW w:w="8196" w:type="dxa"/>
          </w:tcPr>
          <w:p w:rsidR="00265487" w:rsidRDefault="00B66382" w:rsidP="0073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E5180E">
              <w:rPr>
                <w:sz w:val="24"/>
                <w:szCs w:val="24"/>
              </w:rPr>
              <w:t>T</w:t>
            </w:r>
            <w:r w:rsidR="0041641F">
              <w:rPr>
                <w:sz w:val="24"/>
                <w:szCs w:val="24"/>
              </w:rPr>
              <w:t>raffic Regulation Order (TRO)</w:t>
            </w:r>
            <w:r w:rsidR="00E5180E">
              <w:rPr>
                <w:sz w:val="24"/>
                <w:szCs w:val="24"/>
              </w:rPr>
              <w:t xml:space="preserve"> for phase 1 of the restrictions will </w:t>
            </w:r>
            <w:r w:rsidR="00265487">
              <w:rPr>
                <w:sz w:val="24"/>
                <w:szCs w:val="24"/>
              </w:rPr>
              <w:t xml:space="preserve">extend the existing Saturday only restriction to a permanent (10am – 6pm) </w:t>
            </w:r>
            <w:r>
              <w:rPr>
                <w:sz w:val="24"/>
                <w:szCs w:val="24"/>
              </w:rPr>
              <w:t xml:space="preserve">Pedestrian Zone </w:t>
            </w:r>
            <w:r w:rsidR="00265487">
              <w:rPr>
                <w:sz w:val="24"/>
                <w:szCs w:val="24"/>
              </w:rPr>
              <w:t>restriction on the following roads</w:t>
            </w:r>
            <w:r w:rsidR="00E5180E">
              <w:rPr>
                <w:sz w:val="24"/>
                <w:szCs w:val="24"/>
              </w:rPr>
              <w:t>:</w:t>
            </w:r>
          </w:p>
          <w:p w:rsidR="00B66382" w:rsidRDefault="00B66382" w:rsidP="0073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Bath Street, Beau Street</w:t>
            </w:r>
            <w:r w:rsidR="00265487">
              <w:rPr>
                <w:sz w:val="24"/>
                <w:szCs w:val="24"/>
              </w:rPr>
              <w:t xml:space="preserve">, Lower Borough Walls &amp; Stall Street. </w:t>
            </w:r>
          </w:p>
          <w:p w:rsidR="00B66382" w:rsidRDefault="00B66382" w:rsidP="00732CFE">
            <w:pPr>
              <w:rPr>
                <w:sz w:val="24"/>
                <w:szCs w:val="24"/>
              </w:rPr>
            </w:pPr>
          </w:p>
          <w:p w:rsidR="00B66382" w:rsidRDefault="00B66382" w:rsidP="0073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separate</w:t>
            </w:r>
            <w:r w:rsidR="008225FF">
              <w:rPr>
                <w:sz w:val="24"/>
                <w:szCs w:val="24"/>
              </w:rPr>
              <w:t xml:space="preserve"> Pedestrian</w:t>
            </w:r>
            <w:r>
              <w:rPr>
                <w:sz w:val="24"/>
                <w:szCs w:val="24"/>
              </w:rPr>
              <w:t xml:space="preserve"> Zone restriction </w:t>
            </w:r>
            <w:r w:rsidR="008225FF">
              <w:rPr>
                <w:sz w:val="24"/>
                <w:szCs w:val="24"/>
              </w:rPr>
              <w:t xml:space="preserve">(24 hours, 7 days a week) </w:t>
            </w:r>
            <w:r>
              <w:rPr>
                <w:sz w:val="24"/>
                <w:szCs w:val="24"/>
              </w:rPr>
              <w:t xml:space="preserve">will also be proposed for Abbey Green, Abbeygate Street </w:t>
            </w:r>
            <w:r w:rsidR="0041641F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nd Swallow Street</w:t>
            </w:r>
            <w:r w:rsidR="0041641F">
              <w:rPr>
                <w:sz w:val="24"/>
                <w:szCs w:val="24"/>
              </w:rPr>
              <w:t>.</w:t>
            </w:r>
          </w:p>
          <w:p w:rsidR="00B66382" w:rsidRDefault="00B66382" w:rsidP="00732CFE">
            <w:pPr>
              <w:rPr>
                <w:sz w:val="24"/>
                <w:szCs w:val="24"/>
              </w:rPr>
            </w:pPr>
          </w:p>
          <w:p w:rsidR="003921F3" w:rsidRPr="003921F3" w:rsidRDefault="00265487" w:rsidP="00F837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  <w:r w:rsidR="00F83705">
              <w:rPr>
                <w:sz w:val="24"/>
                <w:szCs w:val="24"/>
              </w:rPr>
              <w:t>Council</w:t>
            </w:r>
            <w:r>
              <w:rPr>
                <w:sz w:val="24"/>
                <w:szCs w:val="24"/>
              </w:rPr>
              <w:t xml:space="preserve"> has </w:t>
            </w:r>
            <w:r w:rsidR="00F83705">
              <w:rPr>
                <w:sz w:val="24"/>
                <w:szCs w:val="24"/>
              </w:rPr>
              <w:t>powers to make</w:t>
            </w:r>
            <w:r>
              <w:rPr>
                <w:sz w:val="24"/>
                <w:szCs w:val="24"/>
              </w:rPr>
              <w:t xml:space="preserve"> traffic regulation order</w:t>
            </w:r>
            <w:r w:rsidR="00F83705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 of this nature under sections 1, 2 &amp; 3 of the Road Traffic Regulation Act 1984.</w:t>
            </w:r>
          </w:p>
        </w:tc>
      </w:tr>
      <w:tr w:rsidR="003921F3" w:rsidTr="003921F3">
        <w:tc>
          <w:tcPr>
            <w:tcW w:w="675" w:type="dxa"/>
          </w:tcPr>
          <w:p w:rsidR="003921F3" w:rsidRPr="002B3B5C" w:rsidRDefault="003921F3">
            <w:pPr>
              <w:pStyle w:val="Header"/>
              <w:tabs>
                <w:tab w:val="clear" w:pos="4320"/>
                <w:tab w:val="clear" w:pos="8640"/>
              </w:tabs>
              <w:rPr>
                <w:b/>
                <w:iCs/>
                <w:sz w:val="24"/>
                <w:szCs w:val="24"/>
              </w:rPr>
            </w:pPr>
            <w:r w:rsidRPr="002B3B5C">
              <w:rPr>
                <w:b/>
                <w:iCs/>
                <w:sz w:val="24"/>
                <w:szCs w:val="24"/>
              </w:rPr>
              <w:t>1.3</w:t>
            </w:r>
          </w:p>
        </w:tc>
        <w:tc>
          <w:tcPr>
            <w:tcW w:w="5271" w:type="dxa"/>
          </w:tcPr>
          <w:p w:rsidR="003921F3" w:rsidRPr="00F93043" w:rsidRDefault="003921F3">
            <w:pPr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 xml:space="preserve">Do the aims of this policy link to or conflict with any other </w:t>
            </w:r>
            <w:r w:rsidRPr="00F93043">
              <w:rPr>
                <w:iCs/>
                <w:sz w:val="24"/>
                <w:szCs w:val="24"/>
              </w:rPr>
              <w:t xml:space="preserve">policies of the </w:t>
            </w:r>
            <w:r>
              <w:rPr>
                <w:iCs/>
                <w:sz w:val="24"/>
                <w:szCs w:val="24"/>
              </w:rPr>
              <w:t>Council?</w:t>
            </w:r>
          </w:p>
        </w:tc>
        <w:tc>
          <w:tcPr>
            <w:tcW w:w="8196" w:type="dxa"/>
          </w:tcPr>
          <w:p w:rsidR="003921F3" w:rsidRPr="00D44EC3" w:rsidRDefault="003921F3" w:rsidP="00F83705">
            <w:pPr>
              <w:spacing w:before="40" w:after="40"/>
              <w:rPr>
                <w:bCs/>
                <w:sz w:val="24"/>
                <w:szCs w:val="24"/>
              </w:rPr>
            </w:pPr>
            <w:r w:rsidRPr="00D44EC3">
              <w:rPr>
                <w:bCs/>
                <w:sz w:val="24"/>
                <w:szCs w:val="24"/>
              </w:rPr>
              <w:t>The TR</w:t>
            </w:r>
            <w:r w:rsidR="000B77D0" w:rsidRPr="00D44EC3">
              <w:rPr>
                <w:bCs/>
                <w:sz w:val="24"/>
                <w:szCs w:val="24"/>
              </w:rPr>
              <w:t xml:space="preserve">O </w:t>
            </w:r>
            <w:r w:rsidR="00F83705">
              <w:rPr>
                <w:bCs/>
                <w:sz w:val="24"/>
                <w:szCs w:val="24"/>
              </w:rPr>
              <w:t>compliments the policies contained within The Joint Local Transport Plan 3 (JLTP3). The JLTP3 is the Transport Policy document covering the period 2011-2026.</w:t>
            </w:r>
          </w:p>
        </w:tc>
      </w:tr>
    </w:tbl>
    <w:p w:rsidR="003921F3" w:rsidRDefault="003921F3">
      <w:r>
        <w:br w:type="page"/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"/>
        <w:gridCol w:w="5245"/>
        <w:gridCol w:w="567"/>
        <w:gridCol w:w="3560"/>
        <w:gridCol w:w="4095"/>
        <w:gridCol w:w="32"/>
      </w:tblGrid>
      <w:tr w:rsidR="003921F3">
        <w:trPr>
          <w:gridAfter w:val="1"/>
          <w:wAfter w:w="32" w:type="dxa"/>
        </w:trPr>
        <w:tc>
          <w:tcPr>
            <w:tcW w:w="14142" w:type="dxa"/>
            <w:gridSpan w:val="6"/>
            <w:shd w:val="clear" w:color="auto" w:fill="D9D9D9"/>
            <w:vAlign w:val="center"/>
          </w:tcPr>
          <w:p w:rsidR="003921F3" w:rsidRPr="00793DDE" w:rsidRDefault="003921F3" w:rsidP="00744837">
            <w:pPr>
              <w:rPr>
                <w:b/>
                <w:sz w:val="24"/>
                <w:szCs w:val="24"/>
              </w:rPr>
            </w:pPr>
          </w:p>
          <w:p w:rsidR="003921F3" w:rsidRDefault="003921F3" w:rsidP="0074483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Consideration of available data, research and information</w:t>
            </w:r>
          </w:p>
          <w:p w:rsidR="003921F3" w:rsidRPr="00793DDE" w:rsidRDefault="003921F3" w:rsidP="00744837">
            <w:pPr>
              <w:rPr>
                <w:b/>
                <w:sz w:val="24"/>
                <w:szCs w:val="24"/>
              </w:rPr>
            </w:pPr>
          </w:p>
        </w:tc>
      </w:tr>
      <w:tr w:rsidR="003921F3">
        <w:trPr>
          <w:gridAfter w:val="1"/>
          <w:wAfter w:w="32" w:type="dxa"/>
        </w:trPr>
        <w:tc>
          <w:tcPr>
            <w:tcW w:w="14142" w:type="dxa"/>
            <w:gridSpan w:val="6"/>
          </w:tcPr>
          <w:p w:rsidR="003921F3" w:rsidRPr="002B3B5C" w:rsidRDefault="003921F3" w:rsidP="002B3B5C">
            <w:pPr>
              <w:rPr>
                <w:rFonts w:cs="Arial"/>
                <w:sz w:val="24"/>
                <w:szCs w:val="24"/>
              </w:rPr>
            </w:pPr>
            <w:r w:rsidRPr="002B3B5C">
              <w:rPr>
                <w:rFonts w:cs="Arial"/>
                <w:spacing w:val="-4"/>
                <w:sz w:val="24"/>
                <w:szCs w:val="24"/>
              </w:rPr>
              <w:t xml:space="preserve">Monitoring data and other information </w:t>
            </w:r>
            <w:r>
              <w:rPr>
                <w:rFonts w:cs="Arial"/>
                <w:spacing w:val="-4"/>
                <w:sz w:val="24"/>
                <w:szCs w:val="24"/>
              </w:rPr>
              <w:t xml:space="preserve">should be used to </w:t>
            </w:r>
            <w:r w:rsidRPr="002B3B5C">
              <w:rPr>
                <w:rFonts w:cs="Arial"/>
                <w:spacing w:val="-4"/>
                <w:sz w:val="24"/>
                <w:szCs w:val="24"/>
              </w:rPr>
              <w:t xml:space="preserve">help you analyse whether you are delivering a fair and equal service.  </w:t>
            </w:r>
            <w:r w:rsidRPr="002B3B5C">
              <w:rPr>
                <w:rFonts w:cs="Arial"/>
                <w:sz w:val="24"/>
                <w:szCs w:val="24"/>
              </w:rPr>
              <w:t xml:space="preserve">Please consider the availability of the following as potential </w:t>
            </w:r>
            <w:r>
              <w:rPr>
                <w:rFonts w:cs="Arial"/>
                <w:sz w:val="24"/>
                <w:szCs w:val="24"/>
              </w:rPr>
              <w:t>sources</w:t>
            </w:r>
            <w:r w:rsidRPr="002B3B5C">
              <w:rPr>
                <w:rFonts w:cs="Arial"/>
                <w:sz w:val="24"/>
                <w:szCs w:val="24"/>
              </w:rPr>
              <w:t xml:space="preserve">: </w:t>
            </w:r>
          </w:p>
          <w:p w:rsidR="003921F3" w:rsidRPr="002B3B5C" w:rsidRDefault="003921F3" w:rsidP="002B3B5C">
            <w:pPr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532357">
              <w:rPr>
                <w:rFonts w:cs="Arial"/>
                <w:b/>
                <w:sz w:val="24"/>
                <w:szCs w:val="24"/>
              </w:rPr>
              <w:t>Demographic</w:t>
            </w:r>
            <w:r w:rsidRPr="002B3B5C">
              <w:rPr>
                <w:rFonts w:cs="Arial"/>
                <w:sz w:val="24"/>
                <w:szCs w:val="24"/>
              </w:rPr>
              <w:t xml:space="preserve"> data and other statistics, including census findings</w:t>
            </w:r>
          </w:p>
          <w:p w:rsidR="003921F3" w:rsidRPr="002B3B5C" w:rsidRDefault="003921F3" w:rsidP="002B3B5C">
            <w:pPr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2B3B5C">
              <w:rPr>
                <w:rFonts w:cs="Arial"/>
                <w:sz w:val="24"/>
                <w:szCs w:val="24"/>
              </w:rPr>
              <w:t xml:space="preserve">Recent </w:t>
            </w:r>
            <w:r w:rsidRPr="00532357">
              <w:rPr>
                <w:rFonts w:cs="Arial"/>
                <w:b/>
                <w:sz w:val="24"/>
                <w:szCs w:val="24"/>
              </w:rPr>
              <w:t>research</w:t>
            </w:r>
            <w:r w:rsidRPr="002B3B5C">
              <w:rPr>
                <w:rFonts w:cs="Arial"/>
                <w:sz w:val="24"/>
                <w:szCs w:val="24"/>
              </w:rPr>
              <w:t xml:space="preserve"> findings </w:t>
            </w:r>
            <w:r>
              <w:rPr>
                <w:rFonts w:cs="Arial"/>
                <w:sz w:val="24"/>
                <w:szCs w:val="24"/>
              </w:rPr>
              <w:t>(local and national)</w:t>
            </w:r>
          </w:p>
          <w:p w:rsidR="003921F3" w:rsidRPr="002B3B5C" w:rsidRDefault="003921F3" w:rsidP="002B3B5C">
            <w:pPr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2B3B5C">
              <w:rPr>
                <w:rFonts w:cs="Arial"/>
                <w:sz w:val="24"/>
                <w:szCs w:val="24"/>
              </w:rPr>
              <w:t xml:space="preserve">Results from </w:t>
            </w:r>
            <w:r w:rsidRPr="00532357">
              <w:rPr>
                <w:rFonts w:cs="Arial"/>
                <w:b/>
                <w:sz w:val="24"/>
                <w:szCs w:val="24"/>
              </w:rPr>
              <w:t>consultation or engagement</w:t>
            </w:r>
            <w:r w:rsidRPr="002B3B5C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you have undertaken </w:t>
            </w:r>
          </w:p>
          <w:p w:rsidR="003921F3" w:rsidRPr="002B3B5C" w:rsidRDefault="003921F3" w:rsidP="002B3B5C">
            <w:pPr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2B3B5C">
              <w:rPr>
                <w:rFonts w:cs="Arial"/>
                <w:sz w:val="24"/>
                <w:szCs w:val="24"/>
              </w:rPr>
              <w:t xml:space="preserve">Service user </w:t>
            </w:r>
            <w:r w:rsidRPr="00532357">
              <w:rPr>
                <w:rFonts w:cs="Arial"/>
                <w:b/>
                <w:sz w:val="24"/>
                <w:szCs w:val="24"/>
              </w:rPr>
              <w:t>monitoring data</w:t>
            </w:r>
            <w:r w:rsidRPr="002B3B5C">
              <w:rPr>
                <w:rFonts w:cs="Arial"/>
                <w:sz w:val="24"/>
                <w:szCs w:val="24"/>
              </w:rPr>
              <w:t xml:space="preserve"> (including ethnicity, gender, disability, religion/belief, sexual orientation and age) </w:t>
            </w:r>
          </w:p>
          <w:p w:rsidR="003921F3" w:rsidRPr="002B3B5C" w:rsidRDefault="003921F3" w:rsidP="002B3B5C">
            <w:pPr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2B3B5C">
              <w:rPr>
                <w:rFonts w:cs="Arial"/>
                <w:sz w:val="24"/>
                <w:szCs w:val="24"/>
              </w:rPr>
              <w:t xml:space="preserve">Information from </w:t>
            </w:r>
            <w:r w:rsidRPr="00532357">
              <w:rPr>
                <w:rFonts w:cs="Arial"/>
                <w:b/>
                <w:sz w:val="24"/>
                <w:szCs w:val="24"/>
              </w:rPr>
              <w:t>relevant groups</w:t>
            </w:r>
            <w:r w:rsidRPr="002B3B5C">
              <w:rPr>
                <w:rFonts w:cs="Arial"/>
                <w:sz w:val="24"/>
                <w:szCs w:val="24"/>
              </w:rPr>
              <w:t xml:space="preserve"> or agencies, for example trade unions and voluntary</w:t>
            </w:r>
            <w:r>
              <w:rPr>
                <w:rFonts w:cs="Arial"/>
                <w:sz w:val="24"/>
                <w:szCs w:val="24"/>
              </w:rPr>
              <w:t>/</w:t>
            </w:r>
            <w:r w:rsidRPr="002B3B5C">
              <w:rPr>
                <w:rFonts w:cs="Arial"/>
                <w:sz w:val="24"/>
                <w:szCs w:val="24"/>
              </w:rPr>
              <w:t>community organisations</w:t>
            </w:r>
          </w:p>
          <w:p w:rsidR="003921F3" w:rsidRPr="002B3B5C" w:rsidRDefault="003921F3" w:rsidP="002B3B5C">
            <w:pPr>
              <w:numPr>
                <w:ilvl w:val="0"/>
                <w:numId w:val="19"/>
              </w:numPr>
              <w:rPr>
                <w:rFonts w:cs="Arial"/>
                <w:sz w:val="24"/>
                <w:szCs w:val="24"/>
              </w:rPr>
            </w:pPr>
            <w:r w:rsidRPr="002B3B5C">
              <w:rPr>
                <w:rFonts w:cs="Arial"/>
                <w:sz w:val="24"/>
                <w:szCs w:val="24"/>
              </w:rPr>
              <w:t xml:space="preserve">Analysis of records of enquiries about your service, or </w:t>
            </w:r>
            <w:r w:rsidRPr="00532357">
              <w:rPr>
                <w:rFonts w:cs="Arial"/>
                <w:b/>
                <w:sz w:val="24"/>
                <w:szCs w:val="24"/>
              </w:rPr>
              <w:t>complaints</w:t>
            </w:r>
            <w:r w:rsidRPr="002B3B5C">
              <w:rPr>
                <w:rFonts w:cs="Arial"/>
                <w:sz w:val="24"/>
                <w:szCs w:val="24"/>
              </w:rPr>
              <w:t xml:space="preserve"> or </w:t>
            </w:r>
            <w:r w:rsidRPr="00532357">
              <w:rPr>
                <w:rFonts w:cs="Arial"/>
                <w:b/>
                <w:sz w:val="24"/>
                <w:szCs w:val="24"/>
              </w:rPr>
              <w:t>compliments</w:t>
            </w:r>
            <w:r w:rsidRPr="002B3B5C">
              <w:rPr>
                <w:rFonts w:cs="Arial"/>
                <w:sz w:val="24"/>
                <w:szCs w:val="24"/>
              </w:rPr>
              <w:t xml:space="preserve"> about them </w:t>
            </w:r>
          </w:p>
          <w:p w:rsidR="003921F3" w:rsidRPr="008225FF" w:rsidRDefault="003921F3" w:rsidP="008225FF">
            <w:pPr>
              <w:numPr>
                <w:ilvl w:val="0"/>
                <w:numId w:val="19"/>
              </w:numPr>
              <w:rPr>
                <w:b/>
                <w:sz w:val="24"/>
                <w:szCs w:val="24"/>
              </w:rPr>
            </w:pPr>
            <w:r w:rsidRPr="002B3B5C">
              <w:rPr>
                <w:rFonts w:cs="Arial"/>
                <w:sz w:val="24"/>
                <w:szCs w:val="24"/>
              </w:rPr>
              <w:t xml:space="preserve">Recommendations of </w:t>
            </w:r>
            <w:r w:rsidRPr="00532357">
              <w:rPr>
                <w:rFonts w:cs="Arial"/>
                <w:b/>
                <w:sz w:val="24"/>
                <w:szCs w:val="24"/>
              </w:rPr>
              <w:t>external inspections</w:t>
            </w:r>
            <w:r w:rsidRPr="002B3B5C">
              <w:rPr>
                <w:rFonts w:cs="Arial"/>
                <w:sz w:val="24"/>
                <w:szCs w:val="24"/>
              </w:rPr>
              <w:t xml:space="preserve"> or audit reports</w:t>
            </w:r>
          </w:p>
        </w:tc>
      </w:tr>
      <w:tr w:rsidR="003921F3" w:rsidTr="0041641F">
        <w:trPr>
          <w:gridAfter w:val="1"/>
          <w:wAfter w:w="32" w:type="dxa"/>
        </w:trPr>
        <w:tc>
          <w:tcPr>
            <w:tcW w:w="675" w:type="dxa"/>
            <w:gridSpan w:val="2"/>
          </w:tcPr>
          <w:p w:rsidR="003921F3" w:rsidRDefault="003921F3">
            <w:pPr>
              <w:rPr>
                <w:sz w:val="24"/>
                <w:szCs w:val="24"/>
              </w:rPr>
            </w:pPr>
          </w:p>
        </w:tc>
        <w:tc>
          <w:tcPr>
            <w:tcW w:w="5812" w:type="dxa"/>
            <w:gridSpan w:val="2"/>
          </w:tcPr>
          <w:p w:rsidR="003921F3" w:rsidRDefault="00392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Key questions</w:t>
            </w:r>
          </w:p>
          <w:p w:rsidR="003921F3" w:rsidRDefault="003921F3">
            <w:pPr>
              <w:rPr>
                <w:b/>
                <w:sz w:val="24"/>
                <w:szCs w:val="24"/>
              </w:rPr>
            </w:pPr>
          </w:p>
        </w:tc>
        <w:tc>
          <w:tcPr>
            <w:tcW w:w="7655" w:type="dxa"/>
            <w:gridSpan w:val="2"/>
            <w:shd w:val="clear" w:color="auto" w:fill="auto"/>
          </w:tcPr>
          <w:p w:rsidR="003921F3" w:rsidRDefault="00392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Data, research and information that you can refer to </w:t>
            </w:r>
          </w:p>
        </w:tc>
      </w:tr>
      <w:tr w:rsidR="003921F3" w:rsidTr="0041641F">
        <w:trPr>
          <w:gridAfter w:val="1"/>
          <w:wAfter w:w="32" w:type="dxa"/>
        </w:trPr>
        <w:tc>
          <w:tcPr>
            <w:tcW w:w="675" w:type="dxa"/>
            <w:gridSpan w:val="2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5812" w:type="dxa"/>
            <w:gridSpan w:val="2"/>
          </w:tcPr>
          <w:p w:rsidR="003921F3" w:rsidRPr="00F93043" w:rsidRDefault="0039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the equalities profile of the team delivering the service/policy? 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3921F3" w:rsidRDefault="000B77D0" w:rsidP="008225FF">
            <w:r>
              <w:t xml:space="preserve">2 women, 6 </w:t>
            </w:r>
            <w:r w:rsidR="003921F3">
              <w:t xml:space="preserve">men. </w:t>
            </w:r>
          </w:p>
        </w:tc>
      </w:tr>
      <w:tr w:rsidR="003921F3" w:rsidTr="0041641F">
        <w:trPr>
          <w:gridAfter w:val="1"/>
          <w:wAfter w:w="32" w:type="dxa"/>
          <w:trHeight w:val="104"/>
        </w:trPr>
        <w:tc>
          <w:tcPr>
            <w:tcW w:w="675" w:type="dxa"/>
            <w:gridSpan w:val="2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t>2.2</w:t>
            </w:r>
          </w:p>
        </w:tc>
        <w:tc>
          <w:tcPr>
            <w:tcW w:w="5812" w:type="dxa"/>
            <w:gridSpan w:val="2"/>
          </w:tcPr>
          <w:p w:rsidR="003921F3" w:rsidRDefault="0039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equalities training have staff received?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3921F3" w:rsidRDefault="003921F3" w:rsidP="00793DDE">
            <w:r>
              <w:t>All staff have received equalities training as part of their induction</w:t>
            </w:r>
            <w:r w:rsidR="002308AD">
              <w:t xml:space="preserve"> </w:t>
            </w:r>
            <w:r w:rsidR="00D44EC3">
              <w:t xml:space="preserve">and some have had more specific </w:t>
            </w:r>
            <w:r w:rsidR="002308AD">
              <w:t>customer service/equalities training.</w:t>
            </w:r>
          </w:p>
        </w:tc>
      </w:tr>
      <w:tr w:rsidR="003921F3" w:rsidTr="0041641F">
        <w:trPr>
          <w:gridAfter w:val="1"/>
          <w:wAfter w:w="32" w:type="dxa"/>
        </w:trPr>
        <w:tc>
          <w:tcPr>
            <w:tcW w:w="675" w:type="dxa"/>
            <w:gridSpan w:val="2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t>2.3</w:t>
            </w:r>
          </w:p>
        </w:tc>
        <w:tc>
          <w:tcPr>
            <w:tcW w:w="5812" w:type="dxa"/>
            <w:gridSpan w:val="2"/>
          </w:tcPr>
          <w:p w:rsidR="003921F3" w:rsidRPr="00F93043" w:rsidRDefault="003921F3">
            <w:pPr>
              <w:rPr>
                <w:sz w:val="24"/>
                <w:szCs w:val="24"/>
              </w:rPr>
            </w:pPr>
            <w:r w:rsidRPr="00F93043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>is the equalities profile of service users</w:t>
            </w:r>
            <w:r w:rsidRPr="00F93043">
              <w:rPr>
                <w:sz w:val="24"/>
                <w:szCs w:val="24"/>
              </w:rPr>
              <w:t xml:space="preserve">?  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3921F3" w:rsidRDefault="002308AD" w:rsidP="002308AD">
            <w:r>
              <w:t>The City Centre is</w:t>
            </w:r>
            <w:r w:rsidR="003921F3">
              <w:t xml:space="preserve"> open to and used by all sectors of society and covers all equality profiles.</w:t>
            </w:r>
          </w:p>
        </w:tc>
      </w:tr>
      <w:tr w:rsidR="003921F3" w:rsidTr="0041641F">
        <w:trPr>
          <w:gridAfter w:val="1"/>
          <w:wAfter w:w="32" w:type="dxa"/>
        </w:trPr>
        <w:tc>
          <w:tcPr>
            <w:tcW w:w="675" w:type="dxa"/>
            <w:gridSpan w:val="2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t xml:space="preserve">2.4 </w:t>
            </w:r>
          </w:p>
        </w:tc>
        <w:tc>
          <w:tcPr>
            <w:tcW w:w="5812" w:type="dxa"/>
            <w:gridSpan w:val="2"/>
          </w:tcPr>
          <w:p w:rsidR="003921F3" w:rsidRPr="00F93043" w:rsidRDefault="003921F3">
            <w:pPr>
              <w:rPr>
                <w:sz w:val="24"/>
                <w:szCs w:val="24"/>
              </w:rPr>
            </w:pPr>
            <w:r w:rsidRPr="00F93043">
              <w:rPr>
                <w:sz w:val="24"/>
                <w:szCs w:val="24"/>
              </w:rPr>
              <w:t xml:space="preserve">What </w:t>
            </w:r>
            <w:r>
              <w:rPr>
                <w:sz w:val="24"/>
                <w:szCs w:val="24"/>
              </w:rPr>
              <w:t xml:space="preserve">other </w:t>
            </w:r>
            <w:r w:rsidRPr="00F93043">
              <w:rPr>
                <w:sz w:val="24"/>
                <w:szCs w:val="24"/>
              </w:rPr>
              <w:t>data do you have</w:t>
            </w:r>
            <w:r>
              <w:rPr>
                <w:sz w:val="24"/>
                <w:szCs w:val="24"/>
              </w:rPr>
              <w:t xml:space="preserve"> in terms of service users or staff</w:t>
            </w:r>
            <w:r w:rsidRPr="00F93043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(e.g results of customer satisfaction surveys, consultation findings). Are there any gaps? 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3921F3" w:rsidRDefault="00D57295" w:rsidP="00D57295">
            <w:r>
              <w:t xml:space="preserve">See </w:t>
            </w:r>
            <w:r w:rsidR="00F83705">
              <w:t xml:space="preserve">2.3 </w:t>
            </w:r>
            <w:r>
              <w:t>above.</w:t>
            </w:r>
          </w:p>
        </w:tc>
      </w:tr>
      <w:tr w:rsidR="003921F3" w:rsidTr="0041641F">
        <w:trPr>
          <w:gridAfter w:val="1"/>
          <w:wAfter w:w="32" w:type="dxa"/>
        </w:trPr>
        <w:tc>
          <w:tcPr>
            <w:tcW w:w="675" w:type="dxa"/>
            <w:gridSpan w:val="2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5812" w:type="dxa"/>
            <w:gridSpan w:val="2"/>
          </w:tcPr>
          <w:p w:rsidR="003921F3" w:rsidRDefault="0039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engagement or consultation has been undertaken as part of this EIA and with whom?</w:t>
            </w:r>
          </w:p>
          <w:p w:rsidR="003921F3" w:rsidRPr="00F93043" w:rsidRDefault="0039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were the results?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88728D" w:rsidRDefault="00D57295" w:rsidP="0088728D">
            <w:r>
              <w:t>All key stake</w:t>
            </w:r>
            <w:r w:rsidR="00FF533E">
              <w:t xml:space="preserve">holder groups have </w:t>
            </w:r>
            <w:r w:rsidR="0068611A">
              <w:t>be</w:t>
            </w:r>
            <w:r w:rsidR="00FF533E">
              <w:t>en</w:t>
            </w:r>
            <w:r w:rsidR="0068611A">
              <w:t xml:space="preserve"> consulted on our proposals.</w:t>
            </w:r>
            <w:r w:rsidR="0041641F">
              <w:t xml:space="preserve"> </w:t>
            </w:r>
            <w:r w:rsidR="0041641F" w:rsidRPr="0041641F">
              <w:t>Separate consultation leaflets were produced aimed at people with disabilities explaining the changes and possible alternatives to parking within the restricted zone on double yellow lines.</w:t>
            </w:r>
            <w:r w:rsidR="0041641F">
              <w:t xml:space="preserve"> </w:t>
            </w:r>
            <w:r w:rsidR="0088728D">
              <w:t>As well as the letter and leaflet drop a Public Consultation day was held in the Guildhall on 16</w:t>
            </w:r>
            <w:r w:rsidR="0088728D" w:rsidRPr="0088728D">
              <w:rPr>
                <w:vertAlign w:val="superscript"/>
              </w:rPr>
              <w:t>th</w:t>
            </w:r>
            <w:r w:rsidR="0088728D">
              <w:t xml:space="preserve"> April &amp; unmanned exhibitions were placed in the ‘One Stop Shop’ + Shop Mobility Centre during this period. </w:t>
            </w:r>
          </w:p>
          <w:p w:rsidR="003921F3" w:rsidRDefault="0088728D" w:rsidP="0088728D">
            <w:r w:rsidRPr="0088728D">
              <w:t>The scheme has been amended to address some of the concerns raised relating to access by elderly residents in Hot Bath Street following on from the informal consultation process.</w:t>
            </w:r>
          </w:p>
        </w:tc>
      </w:tr>
      <w:tr w:rsidR="003921F3" w:rsidTr="0041641F">
        <w:trPr>
          <w:gridAfter w:val="1"/>
          <w:wAfter w:w="32" w:type="dxa"/>
        </w:trPr>
        <w:tc>
          <w:tcPr>
            <w:tcW w:w="675" w:type="dxa"/>
            <w:gridSpan w:val="2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lastRenderedPageBreak/>
              <w:t>2.6</w:t>
            </w:r>
          </w:p>
        </w:tc>
        <w:tc>
          <w:tcPr>
            <w:tcW w:w="5812" w:type="dxa"/>
            <w:gridSpan w:val="2"/>
          </w:tcPr>
          <w:p w:rsidR="003921F3" w:rsidRPr="00F93043" w:rsidRDefault="0039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planning to undertake any consultation in the future regarding this service or policy, how will you include equalities considerations within this? </w:t>
            </w:r>
          </w:p>
        </w:tc>
        <w:tc>
          <w:tcPr>
            <w:tcW w:w="7655" w:type="dxa"/>
            <w:gridSpan w:val="2"/>
            <w:shd w:val="clear" w:color="auto" w:fill="auto"/>
          </w:tcPr>
          <w:p w:rsidR="003921F3" w:rsidRDefault="0088728D" w:rsidP="0088728D">
            <w:r w:rsidRPr="0088728D">
              <w:t>The Traffic Regulation Order will be subject to formal consultation using the statutory process.</w:t>
            </w:r>
            <w:r>
              <w:t xml:space="preserve"> </w:t>
            </w:r>
            <w:r w:rsidRPr="0088728D">
              <w:t>This document will be appended to the report as supporting documentation</w:t>
            </w:r>
            <w:r w:rsidR="0037185E">
              <w:t>. Equalities issues have been considered from scheme inception.</w:t>
            </w:r>
          </w:p>
        </w:tc>
      </w:tr>
      <w:tr w:rsidR="003921F3">
        <w:tc>
          <w:tcPr>
            <w:tcW w:w="14174" w:type="dxa"/>
            <w:gridSpan w:val="7"/>
            <w:shd w:val="clear" w:color="auto" w:fill="D9D9D9"/>
          </w:tcPr>
          <w:p w:rsidR="003921F3" w:rsidRDefault="003921F3">
            <w:pPr>
              <w:spacing w:before="40" w:after="40"/>
              <w:rPr>
                <w:b/>
                <w:bCs/>
                <w:sz w:val="28"/>
                <w:szCs w:val="28"/>
              </w:rPr>
            </w:pPr>
          </w:p>
          <w:p w:rsidR="003921F3" w:rsidRDefault="003921F3">
            <w:pPr>
              <w:spacing w:before="40" w:after="4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Assessment of impact: ‘Equality analysis’</w:t>
            </w:r>
          </w:p>
          <w:p w:rsidR="003921F3" w:rsidRDefault="003921F3">
            <w:pPr>
              <w:spacing w:before="40" w:after="40"/>
              <w:rPr>
                <w:b/>
                <w:bCs/>
                <w:sz w:val="28"/>
                <w:szCs w:val="28"/>
              </w:rPr>
            </w:pPr>
          </w:p>
        </w:tc>
      </w:tr>
      <w:tr w:rsidR="003921F3">
        <w:tc>
          <w:tcPr>
            <w:tcW w:w="648" w:type="dxa"/>
          </w:tcPr>
          <w:p w:rsidR="003921F3" w:rsidRDefault="003921F3">
            <w:pPr>
              <w:rPr>
                <w:b/>
                <w:sz w:val="28"/>
                <w:szCs w:val="28"/>
              </w:rPr>
            </w:pPr>
          </w:p>
        </w:tc>
        <w:tc>
          <w:tcPr>
            <w:tcW w:w="13526" w:type="dxa"/>
            <w:gridSpan w:val="6"/>
          </w:tcPr>
          <w:p w:rsidR="003921F3" w:rsidRDefault="0039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Based upon any data you have considered, or the results of consultation or research, use the spaces below to demonstrate you have analysed how the service or policy:</w:t>
            </w:r>
          </w:p>
          <w:p w:rsidR="003921F3" w:rsidRDefault="003921F3" w:rsidP="002B3B5C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Meets any particular needs of equalities groups or helps promote equality in some way.  </w:t>
            </w:r>
          </w:p>
          <w:p w:rsidR="003921F3" w:rsidRDefault="003921F3" w:rsidP="002B3B5C">
            <w:pPr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Could have a negative or adverse impact for any of the equalities groups  </w:t>
            </w:r>
          </w:p>
        </w:tc>
      </w:tr>
      <w:tr w:rsidR="003921F3">
        <w:tc>
          <w:tcPr>
            <w:tcW w:w="648" w:type="dxa"/>
          </w:tcPr>
          <w:p w:rsidR="003921F3" w:rsidRPr="00F93043" w:rsidRDefault="003921F3">
            <w:pPr>
              <w:rPr>
                <w:sz w:val="24"/>
                <w:szCs w:val="24"/>
              </w:rPr>
            </w:pPr>
          </w:p>
        </w:tc>
        <w:tc>
          <w:tcPr>
            <w:tcW w:w="5272" w:type="dxa"/>
            <w:gridSpan w:val="2"/>
          </w:tcPr>
          <w:p w:rsidR="003921F3" w:rsidRPr="00F93043" w:rsidRDefault="003921F3" w:rsidP="00C70B44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3921F3" w:rsidRDefault="003921F3">
            <w:pPr>
              <w:rPr>
                <w:b/>
                <w:sz w:val="24"/>
                <w:szCs w:val="24"/>
              </w:rPr>
            </w:pPr>
          </w:p>
          <w:p w:rsidR="003921F3" w:rsidRDefault="00392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 of what the service has done to promote equality</w:t>
            </w:r>
          </w:p>
          <w:p w:rsidR="003921F3" w:rsidRDefault="003921F3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 of actual or potential negative or adverse impact and what steps have been or could be taken to address this</w:t>
            </w:r>
          </w:p>
        </w:tc>
      </w:tr>
      <w:tr w:rsidR="003921F3">
        <w:tc>
          <w:tcPr>
            <w:tcW w:w="648" w:type="dxa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5272" w:type="dxa"/>
            <w:gridSpan w:val="2"/>
          </w:tcPr>
          <w:p w:rsidR="003921F3" w:rsidRDefault="003921F3">
            <w:pPr>
              <w:rPr>
                <w:sz w:val="24"/>
                <w:szCs w:val="24"/>
              </w:rPr>
            </w:pPr>
            <w:r w:rsidRPr="00F93043">
              <w:rPr>
                <w:b/>
                <w:sz w:val="24"/>
                <w:szCs w:val="24"/>
              </w:rPr>
              <w:t xml:space="preserve">Gender </w:t>
            </w:r>
            <w:r w:rsidRPr="00F93043">
              <w:rPr>
                <w:sz w:val="24"/>
                <w:szCs w:val="24"/>
              </w:rPr>
              <w:t>– identify the impact/potential impact of the policy on women</w:t>
            </w:r>
            <w:r>
              <w:rPr>
                <w:sz w:val="24"/>
                <w:szCs w:val="24"/>
              </w:rPr>
              <w:t xml:space="preserve"> and men.  (Are there any issues regarding pregnancy and maternity?)</w:t>
            </w:r>
          </w:p>
          <w:p w:rsidR="003921F3" w:rsidRPr="002B3B5C" w:rsidRDefault="003921F3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3921F3" w:rsidRPr="003921F3" w:rsidRDefault="005219CC" w:rsidP="0039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3921F3" w:rsidRPr="003921F3" w:rsidRDefault="005E12B2" w:rsidP="00732C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adverse impacts have been identified in respect of gender.</w:t>
            </w:r>
          </w:p>
          <w:p w:rsidR="003921F3" w:rsidRPr="003921F3" w:rsidRDefault="003921F3" w:rsidP="00732CFE">
            <w:pPr>
              <w:rPr>
                <w:sz w:val="24"/>
                <w:szCs w:val="24"/>
              </w:rPr>
            </w:pPr>
          </w:p>
        </w:tc>
      </w:tr>
      <w:tr w:rsidR="003921F3" w:rsidTr="008225FF">
        <w:trPr>
          <w:trHeight w:val="806"/>
        </w:trPr>
        <w:tc>
          <w:tcPr>
            <w:tcW w:w="648" w:type="dxa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5272" w:type="dxa"/>
            <w:gridSpan w:val="2"/>
          </w:tcPr>
          <w:p w:rsidR="003921F3" w:rsidRPr="008B760D" w:rsidRDefault="003921F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Transgender – </w:t>
            </w:r>
            <w:r w:rsidRPr="00F93043">
              <w:rPr>
                <w:sz w:val="24"/>
                <w:szCs w:val="24"/>
              </w:rPr>
              <w:t>– identify the impact/potential impact of the policy on</w:t>
            </w:r>
            <w:r>
              <w:rPr>
                <w:sz w:val="24"/>
                <w:szCs w:val="24"/>
              </w:rPr>
              <w:t xml:space="preserve"> </w:t>
            </w:r>
            <w:r w:rsidRPr="00F93043">
              <w:rPr>
                <w:sz w:val="24"/>
                <w:szCs w:val="24"/>
              </w:rPr>
              <w:t>transgender peopl</w:t>
            </w:r>
            <w:r>
              <w:rPr>
                <w:sz w:val="24"/>
                <w:szCs w:val="24"/>
              </w:rPr>
              <w:t>e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3921F3" w:rsidRPr="008225FF" w:rsidRDefault="005219CC" w:rsidP="008225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3921F3" w:rsidRDefault="005E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adverse impacts have been identified in respect to transgender people.</w:t>
            </w:r>
          </w:p>
          <w:p w:rsidR="0068611A" w:rsidRDefault="0068611A">
            <w:pPr>
              <w:rPr>
                <w:sz w:val="24"/>
                <w:szCs w:val="24"/>
              </w:rPr>
            </w:pPr>
          </w:p>
          <w:p w:rsidR="0068611A" w:rsidRDefault="0068611A">
            <w:pPr>
              <w:rPr>
                <w:sz w:val="24"/>
                <w:szCs w:val="24"/>
              </w:rPr>
            </w:pPr>
          </w:p>
          <w:p w:rsidR="0068611A" w:rsidRPr="003921F3" w:rsidRDefault="0068611A">
            <w:pPr>
              <w:rPr>
                <w:sz w:val="24"/>
                <w:szCs w:val="24"/>
              </w:rPr>
            </w:pPr>
          </w:p>
        </w:tc>
      </w:tr>
      <w:tr w:rsidR="003921F3">
        <w:tc>
          <w:tcPr>
            <w:tcW w:w="648" w:type="dxa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3.3</w:t>
            </w:r>
          </w:p>
        </w:tc>
        <w:tc>
          <w:tcPr>
            <w:tcW w:w="5272" w:type="dxa"/>
            <w:gridSpan w:val="2"/>
          </w:tcPr>
          <w:p w:rsidR="003921F3" w:rsidRDefault="003921F3">
            <w:pPr>
              <w:rPr>
                <w:sz w:val="24"/>
                <w:szCs w:val="24"/>
              </w:rPr>
            </w:pPr>
            <w:r w:rsidRPr="00F93043">
              <w:rPr>
                <w:b/>
                <w:sz w:val="24"/>
                <w:szCs w:val="24"/>
              </w:rPr>
              <w:t>Disability</w:t>
            </w:r>
            <w:r w:rsidRPr="00F93043">
              <w:rPr>
                <w:sz w:val="24"/>
                <w:szCs w:val="24"/>
              </w:rPr>
              <w:t xml:space="preserve"> - identify the impact/potential impact of the policy on disabled people (ensure consideration of a range of impairments</w:t>
            </w:r>
            <w:r>
              <w:rPr>
                <w:sz w:val="24"/>
                <w:szCs w:val="24"/>
              </w:rPr>
              <w:t xml:space="preserve"> including both physical and mental impairments)</w:t>
            </w:r>
          </w:p>
          <w:p w:rsidR="003921F3" w:rsidRPr="00F93043" w:rsidRDefault="003921F3">
            <w:pPr>
              <w:rPr>
                <w:sz w:val="24"/>
                <w:szCs w:val="24"/>
              </w:rPr>
            </w:pPr>
            <w:r w:rsidDel="0003761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3921F3" w:rsidRPr="003921F3" w:rsidRDefault="003921F3" w:rsidP="005219CC">
            <w:pPr>
              <w:rPr>
                <w:sz w:val="24"/>
                <w:szCs w:val="24"/>
              </w:rPr>
            </w:pPr>
            <w:r w:rsidRPr="003921F3">
              <w:rPr>
                <w:sz w:val="24"/>
                <w:szCs w:val="24"/>
              </w:rPr>
              <w:t xml:space="preserve">The TRO would </w:t>
            </w:r>
            <w:r w:rsidR="00D57295">
              <w:rPr>
                <w:sz w:val="24"/>
                <w:szCs w:val="24"/>
              </w:rPr>
              <w:t xml:space="preserve">restrict </w:t>
            </w:r>
            <w:r w:rsidR="005219CC">
              <w:rPr>
                <w:sz w:val="24"/>
                <w:szCs w:val="24"/>
              </w:rPr>
              <w:t>access to ‘double yellow line parking’ areas</w:t>
            </w:r>
            <w:r w:rsidR="005219CC" w:rsidRPr="005219CC">
              <w:rPr>
                <w:sz w:val="24"/>
                <w:szCs w:val="24"/>
              </w:rPr>
              <w:t xml:space="preserve"> </w:t>
            </w:r>
            <w:r w:rsidR="005219CC">
              <w:rPr>
                <w:sz w:val="24"/>
                <w:szCs w:val="24"/>
              </w:rPr>
              <w:t xml:space="preserve">to Blue Badge holders between the hours of 10am &amp; </w:t>
            </w:r>
            <w:r w:rsidR="00D57295">
              <w:rPr>
                <w:sz w:val="24"/>
                <w:szCs w:val="24"/>
              </w:rPr>
              <w:t>6pm</w:t>
            </w:r>
            <w:r w:rsidR="005219CC">
              <w:rPr>
                <w:sz w:val="24"/>
                <w:szCs w:val="24"/>
              </w:rPr>
              <w:t>.</w:t>
            </w:r>
            <w:r w:rsidR="0088728D">
              <w:rPr>
                <w:sz w:val="24"/>
                <w:szCs w:val="24"/>
              </w:rPr>
              <w:t xml:space="preserve"> It would </w:t>
            </w:r>
            <w:r w:rsidR="008B385A">
              <w:rPr>
                <w:sz w:val="24"/>
                <w:szCs w:val="24"/>
              </w:rPr>
              <w:t>a</w:t>
            </w:r>
            <w:r w:rsidR="0088728D">
              <w:rPr>
                <w:sz w:val="24"/>
                <w:szCs w:val="24"/>
              </w:rPr>
              <w:t>lso restrict access to the 3 dual residents/disabled parking spaces in Lower Borough Walls</w:t>
            </w:r>
            <w:r w:rsidR="008B385A">
              <w:rPr>
                <w:sz w:val="24"/>
                <w:szCs w:val="24"/>
              </w:rPr>
              <w:t>.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3921F3" w:rsidRPr="003921F3" w:rsidRDefault="005219CC" w:rsidP="00822F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D57295">
              <w:rPr>
                <w:sz w:val="24"/>
                <w:szCs w:val="24"/>
              </w:rPr>
              <w:t xml:space="preserve">xtra </w:t>
            </w:r>
            <w:r w:rsidR="00822FBD">
              <w:rPr>
                <w:sz w:val="24"/>
                <w:szCs w:val="24"/>
              </w:rPr>
              <w:t xml:space="preserve">designated </w:t>
            </w:r>
            <w:r w:rsidR="00D57295">
              <w:rPr>
                <w:sz w:val="24"/>
                <w:szCs w:val="24"/>
              </w:rPr>
              <w:t xml:space="preserve">disabled spaces </w:t>
            </w:r>
            <w:r>
              <w:rPr>
                <w:sz w:val="24"/>
                <w:szCs w:val="24"/>
              </w:rPr>
              <w:t xml:space="preserve">have been added </w:t>
            </w:r>
            <w:r w:rsidR="00D57295">
              <w:rPr>
                <w:sz w:val="24"/>
                <w:szCs w:val="24"/>
              </w:rPr>
              <w:t>in Lower Borough Walls on completion of the Gainsborough development</w:t>
            </w:r>
            <w:r w:rsidR="0068611A">
              <w:rPr>
                <w:sz w:val="24"/>
                <w:szCs w:val="24"/>
              </w:rPr>
              <w:t xml:space="preserve">, </w:t>
            </w:r>
            <w:r w:rsidR="00822FBD">
              <w:rPr>
                <w:sz w:val="24"/>
                <w:szCs w:val="24"/>
              </w:rPr>
              <w:t>and the disabled spaces in Beau Street will also be reinstated.</w:t>
            </w:r>
            <w:r w:rsidR="0068611A">
              <w:rPr>
                <w:sz w:val="24"/>
                <w:szCs w:val="24"/>
              </w:rPr>
              <w:t xml:space="preserve"> </w:t>
            </w:r>
          </w:p>
        </w:tc>
      </w:tr>
      <w:tr w:rsidR="003921F3">
        <w:tc>
          <w:tcPr>
            <w:tcW w:w="648" w:type="dxa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72" w:type="dxa"/>
            <w:gridSpan w:val="2"/>
          </w:tcPr>
          <w:p w:rsidR="003921F3" w:rsidRDefault="003921F3">
            <w:pPr>
              <w:rPr>
                <w:sz w:val="24"/>
                <w:szCs w:val="24"/>
              </w:rPr>
            </w:pPr>
            <w:r w:rsidRPr="00F93043">
              <w:rPr>
                <w:b/>
                <w:sz w:val="24"/>
                <w:szCs w:val="24"/>
              </w:rPr>
              <w:t xml:space="preserve">Age  </w:t>
            </w:r>
            <w:r w:rsidRPr="00F93043">
              <w:rPr>
                <w:sz w:val="24"/>
                <w:szCs w:val="24"/>
              </w:rPr>
              <w:t>– identify the impact/potential impact of the policy on different age groups</w:t>
            </w:r>
          </w:p>
          <w:p w:rsidR="003921F3" w:rsidRPr="00F93043" w:rsidRDefault="003921F3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3921F3" w:rsidRPr="003921F3" w:rsidRDefault="00D44EC3" w:rsidP="00D44E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TRO </w:t>
            </w:r>
            <w:r w:rsidR="003921F3" w:rsidRPr="003921F3">
              <w:rPr>
                <w:sz w:val="24"/>
                <w:szCs w:val="24"/>
              </w:rPr>
              <w:t xml:space="preserve">would </w:t>
            </w:r>
            <w:r>
              <w:rPr>
                <w:sz w:val="24"/>
                <w:szCs w:val="24"/>
              </w:rPr>
              <w:t xml:space="preserve">impact access to St Johns Alms House in Hot Bath Street &amp; </w:t>
            </w:r>
            <w:r w:rsidR="008B385A">
              <w:rPr>
                <w:sz w:val="24"/>
                <w:szCs w:val="24"/>
              </w:rPr>
              <w:t xml:space="preserve">St Michaels day centre. 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3921F3" w:rsidRPr="003921F3" w:rsidRDefault="00622FB8" w:rsidP="008B38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Hot Bath Street</w:t>
            </w:r>
            <w:r w:rsidR="006A7E3F">
              <w:rPr>
                <w:sz w:val="24"/>
                <w:szCs w:val="24"/>
              </w:rPr>
              <w:t xml:space="preserve"> has been omitted</w:t>
            </w:r>
            <w:r>
              <w:rPr>
                <w:sz w:val="24"/>
                <w:szCs w:val="24"/>
              </w:rPr>
              <w:t xml:space="preserve"> from </w:t>
            </w:r>
            <w:r w:rsidR="006A7E3F">
              <w:rPr>
                <w:sz w:val="24"/>
                <w:szCs w:val="24"/>
              </w:rPr>
              <w:t xml:space="preserve">the </w:t>
            </w:r>
            <w:r>
              <w:rPr>
                <w:sz w:val="24"/>
                <w:szCs w:val="24"/>
              </w:rPr>
              <w:t xml:space="preserve">proposals and will </w:t>
            </w:r>
            <w:r w:rsidR="006A7E3F">
              <w:rPr>
                <w:sz w:val="24"/>
                <w:szCs w:val="24"/>
              </w:rPr>
              <w:t xml:space="preserve">be </w:t>
            </w:r>
            <w:r w:rsidR="008225FF">
              <w:rPr>
                <w:sz w:val="24"/>
                <w:szCs w:val="24"/>
              </w:rPr>
              <w:t>made</w:t>
            </w:r>
            <w:r w:rsidR="008B385A">
              <w:rPr>
                <w:sz w:val="24"/>
                <w:szCs w:val="24"/>
              </w:rPr>
              <w:t xml:space="preserve"> 2 way to allow access </w:t>
            </w:r>
            <w:r w:rsidR="008225FF">
              <w:rPr>
                <w:sz w:val="24"/>
                <w:szCs w:val="24"/>
              </w:rPr>
              <w:t>to St Johns Alms House &amp;</w:t>
            </w:r>
            <w:r w:rsidR="006A7E3F">
              <w:rPr>
                <w:sz w:val="24"/>
                <w:szCs w:val="24"/>
              </w:rPr>
              <w:t xml:space="preserve"> St Michaels day centre</w:t>
            </w:r>
            <w:r>
              <w:rPr>
                <w:sz w:val="24"/>
                <w:szCs w:val="24"/>
              </w:rPr>
              <w:t>.</w:t>
            </w:r>
          </w:p>
        </w:tc>
      </w:tr>
      <w:tr w:rsidR="003921F3">
        <w:trPr>
          <w:trHeight w:val="559"/>
        </w:trPr>
        <w:tc>
          <w:tcPr>
            <w:tcW w:w="648" w:type="dxa"/>
          </w:tcPr>
          <w:p w:rsidR="003921F3" w:rsidRPr="002B3B5C" w:rsidRDefault="003921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5272" w:type="dxa"/>
            <w:gridSpan w:val="2"/>
          </w:tcPr>
          <w:p w:rsidR="003921F3" w:rsidRDefault="003921F3">
            <w:pPr>
              <w:rPr>
                <w:sz w:val="24"/>
                <w:szCs w:val="24"/>
              </w:rPr>
            </w:pPr>
            <w:r w:rsidRPr="00F93043">
              <w:rPr>
                <w:b/>
                <w:sz w:val="24"/>
                <w:szCs w:val="24"/>
              </w:rPr>
              <w:t>Race</w:t>
            </w:r>
            <w:r w:rsidRPr="00F93043">
              <w:rPr>
                <w:sz w:val="24"/>
                <w:szCs w:val="24"/>
              </w:rPr>
              <w:t xml:space="preserve"> – identify the impact/potential impact on different black and minority ethnic groups </w:t>
            </w:r>
          </w:p>
          <w:p w:rsidR="003921F3" w:rsidRPr="00F93043" w:rsidRDefault="003921F3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gridSpan w:val="2"/>
            <w:shd w:val="clear" w:color="auto" w:fill="auto"/>
          </w:tcPr>
          <w:p w:rsidR="003921F3" w:rsidRPr="003921F3" w:rsidRDefault="005219CC" w:rsidP="00392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n/a</w:t>
            </w:r>
          </w:p>
        </w:tc>
        <w:tc>
          <w:tcPr>
            <w:tcW w:w="4127" w:type="dxa"/>
            <w:gridSpan w:val="2"/>
            <w:shd w:val="clear" w:color="auto" w:fill="auto"/>
          </w:tcPr>
          <w:p w:rsidR="003921F3" w:rsidRPr="003921F3" w:rsidRDefault="005E12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adverse impacts have been identified in respect to race.</w:t>
            </w:r>
          </w:p>
        </w:tc>
      </w:tr>
    </w:tbl>
    <w:p w:rsidR="00984A3B" w:rsidRDefault="00984A3B">
      <w:r>
        <w:br w:type="page"/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72"/>
        <w:gridCol w:w="4127"/>
        <w:gridCol w:w="4127"/>
      </w:tblGrid>
      <w:tr w:rsidR="003921F3">
        <w:trPr>
          <w:trHeight w:val="798"/>
        </w:trPr>
        <w:tc>
          <w:tcPr>
            <w:tcW w:w="648" w:type="dxa"/>
          </w:tcPr>
          <w:p w:rsidR="003921F3" w:rsidRPr="00F93043" w:rsidRDefault="003921F3" w:rsidP="006D0E8C">
            <w:pPr>
              <w:rPr>
                <w:sz w:val="24"/>
                <w:szCs w:val="24"/>
              </w:rPr>
            </w:pPr>
          </w:p>
        </w:tc>
        <w:tc>
          <w:tcPr>
            <w:tcW w:w="5272" w:type="dxa"/>
          </w:tcPr>
          <w:p w:rsidR="003921F3" w:rsidRPr="00F93043" w:rsidRDefault="003921F3" w:rsidP="006D0E8C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3921F3" w:rsidRDefault="003921F3" w:rsidP="006D0E8C">
            <w:pPr>
              <w:rPr>
                <w:b/>
                <w:sz w:val="24"/>
                <w:szCs w:val="24"/>
              </w:rPr>
            </w:pPr>
          </w:p>
          <w:p w:rsidR="003921F3" w:rsidRDefault="003921F3" w:rsidP="006D0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 of what the service has done to promote equality</w:t>
            </w:r>
          </w:p>
          <w:p w:rsidR="003921F3" w:rsidRDefault="003921F3" w:rsidP="006D0E8C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3921F3" w:rsidRPr="002B3B5C" w:rsidRDefault="003921F3" w:rsidP="006D0E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Examples of potential negative or adverse impact and what steps have been or could be taken to address this</w:t>
            </w:r>
          </w:p>
        </w:tc>
      </w:tr>
      <w:tr w:rsidR="00732CFE">
        <w:trPr>
          <w:trHeight w:val="798"/>
        </w:trPr>
        <w:tc>
          <w:tcPr>
            <w:tcW w:w="648" w:type="dxa"/>
          </w:tcPr>
          <w:p w:rsidR="00732CFE" w:rsidRPr="002B3B5C" w:rsidRDefault="00732CFE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272" w:type="dxa"/>
          </w:tcPr>
          <w:p w:rsidR="00732CFE" w:rsidRDefault="00732CFE">
            <w:pPr>
              <w:rPr>
                <w:sz w:val="24"/>
                <w:szCs w:val="24"/>
              </w:rPr>
            </w:pPr>
            <w:r w:rsidRPr="00F93043">
              <w:rPr>
                <w:b/>
                <w:sz w:val="24"/>
                <w:szCs w:val="24"/>
              </w:rPr>
              <w:t xml:space="preserve">Sexual orientation - </w:t>
            </w:r>
            <w:r w:rsidRPr="00F93043">
              <w:rPr>
                <w:sz w:val="24"/>
                <w:szCs w:val="24"/>
              </w:rPr>
              <w:t xml:space="preserve">identify the impact/potential impact of the policy on </w:t>
            </w:r>
          </w:p>
          <w:p w:rsidR="00732CFE" w:rsidRDefault="00732CFE">
            <w:pPr>
              <w:rPr>
                <w:sz w:val="24"/>
                <w:szCs w:val="24"/>
              </w:rPr>
            </w:pPr>
            <w:r w:rsidRPr="00F93043">
              <w:rPr>
                <w:sz w:val="24"/>
                <w:szCs w:val="24"/>
              </w:rPr>
              <w:t>lesbians, gay</w:t>
            </w:r>
            <w:r>
              <w:rPr>
                <w:sz w:val="24"/>
                <w:szCs w:val="24"/>
              </w:rPr>
              <w:t xml:space="preserve">, </w:t>
            </w:r>
            <w:r w:rsidRPr="00F93043">
              <w:rPr>
                <w:sz w:val="24"/>
                <w:szCs w:val="24"/>
              </w:rPr>
              <w:t xml:space="preserve">bisexual </w:t>
            </w:r>
            <w:r>
              <w:rPr>
                <w:sz w:val="24"/>
                <w:szCs w:val="24"/>
              </w:rPr>
              <w:t xml:space="preserve">&amp; </w:t>
            </w:r>
            <w:r w:rsidRPr="00F93043">
              <w:rPr>
                <w:sz w:val="24"/>
                <w:szCs w:val="24"/>
              </w:rPr>
              <w:t>heterosexual people</w:t>
            </w:r>
          </w:p>
          <w:p w:rsidR="00732CFE" w:rsidRPr="00F93043" w:rsidRDefault="00732CFE">
            <w:pPr>
              <w:rPr>
                <w:b/>
                <w:sz w:val="24"/>
                <w:szCs w:val="24"/>
              </w:rPr>
            </w:pPr>
            <w:r w:rsidRPr="00F93043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27" w:type="dxa"/>
            <w:shd w:val="clear" w:color="auto" w:fill="auto"/>
          </w:tcPr>
          <w:p w:rsidR="00732CFE" w:rsidRDefault="005219CC" w:rsidP="00732CFE">
            <w:r>
              <w:rPr>
                <w:sz w:val="24"/>
                <w:szCs w:val="24"/>
              </w:rPr>
              <w:t>n/a</w:t>
            </w:r>
          </w:p>
        </w:tc>
        <w:tc>
          <w:tcPr>
            <w:tcW w:w="4127" w:type="dxa"/>
            <w:shd w:val="clear" w:color="auto" w:fill="auto"/>
          </w:tcPr>
          <w:p w:rsidR="00732CFE" w:rsidRPr="005E12B2" w:rsidRDefault="005E12B2">
            <w:pPr>
              <w:rPr>
                <w:sz w:val="24"/>
                <w:szCs w:val="24"/>
              </w:rPr>
            </w:pPr>
            <w:r w:rsidRPr="005E12B2">
              <w:rPr>
                <w:sz w:val="24"/>
                <w:szCs w:val="24"/>
              </w:rPr>
              <w:t>No adverse impacts have been identified in respect of sexual orientation</w:t>
            </w:r>
          </w:p>
        </w:tc>
      </w:tr>
      <w:tr w:rsidR="00732CFE">
        <w:tc>
          <w:tcPr>
            <w:tcW w:w="648" w:type="dxa"/>
          </w:tcPr>
          <w:p w:rsidR="00732CFE" w:rsidRPr="002B3B5C" w:rsidRDefault="00732CFE">
            <w:pPr>
              <w:rPr>
                <w:b/>
                <w:sz w:val="24"/>
                <w:szCs w:val="24"/>
              </w:rPr>
            </w:pPr>
            <w:r w:rsidRPr="002B3B5C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272" w:type="dxa"/>
          </w:tcPr>
          <w:p w:rsidR="00732CFE" w:rsidRDefault="00732CFE">
            <w:pPr>
              <w:rPr>
                <w:sz w:val="24"/>
                <w:szCs w:val="24"/>
              </w:rPr>
            </w:pPr>
            <w:r w:rsidRPr="00F93043">
              <w:rPr>
                <w:b/>
                <w:sz w:val="24"/>
                <w:szCs w:val="24"/>
              </w:rPr>
              <w:t xml:space="preserve">Religion/belief </w:t>
            </w:r>
            <w:r w:rsidRPr="00F93043">
              <w:rPr>
                <w:sz w:val="24"/>
                <w:szCs w:val="24"/>
              </w:rPr>
              <w:t>– identify the impact/potential impact of the policy on people of different religious/faith groups and also upon those with no religion.</w:t>
            </w:r>
          </w:p>
          <w:p w:rsidR="00732CFE" w:rsidRPr="00F93043" w:rsidRDefault="00732CFE">
            <w:pPr>
              <w:rPr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732CFE" w:rsidRDefault="005219CC" w:rsidP="00732CFE">
            <w:r>
              <w:rPr>
                <w:sz w:val="24"/>
                <w:szCs w:val="24"/>
              </w:rPr>
              <w:t>n/a</w:t>
            </w:r>
          </w:p>
        </w:tc>
        <w:tc>
          <w:tcPr>
            <w:tcW w:w="4127" w:type="dxa"/>
            <w:shd w:val="clear" w:color="auto" w:fill="auto"/>
          </w:tcPr>
          <w:p w:rsidR="00732CFE" w:rsidRDefault="005E12B2">
            <w:r w:rsidRPr="005E12B2">
              <w:t>No adverse impacts have been identified in respect of Religion/belief</w:t>
            </w:r>
          </w:p>
        </w:tc>
      </w:tr>
      <w:tr w:rsidR="00732CFE">
        <w:tc>
          <w:tcPr>
            <w:tcW w:w="648" w:type="dxa"/>
          </w:tcPr>
          <w:p w:rsidR="00732CFE" w:rsidRPr="002B3B5C" w:rsidRDefault="00732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3.8</w:t>
            </w:r>
          </w:p>
        </w:tc>
        <w:tc>
          <w:tcPr>
            <w:tcW w:w="5272" w:type="dxa"/>
          </w:tcPr>
          <w:p w:rsidR="00732CFE" w:rsidRDefault="00732CFE">
            <w:pPr>
              <w:rPr>
                <w:rFonts w:cs="Arial"/>
                <w:color w:val="000000"/>
                <w:sz w:val="24"/>
                <w:szCs w:val="24"/>
              </w:rPr>
            </w:pPr>
            <w:r w:rsidRPr="002B3B5C">
              <w:rPr>
                <w:rFonts w:cs="Arial"/>
                <w:b/>
                <w:sz w:val="24"/>
                <w:szCs w:val="24"/>
              </w:rPr>
              <w:t>Socio-economically disadvantaged</w:t>
            </w:r>
            <w:r w:rsidRPr="002B3B5C">
              <w:rPr>
                <w:rFonts w:cs="Arial"/>
                <w:sz w:val="24"/>
                <w:szCs w:val="24"/>
              </w:rPr>
              <w:t xml:space="preserve"> – identify the impact on people who are disadvantaged </w:t>
            </w:r>
            <w:r>
              <w:rPr>
                <w:rFonts w:cs="Arial"/>
                <w:sz w:val="24"/>
                <w:szCs w:val="24"/>
              </w:rPr>
              <w:t>due to f</w:t>
            </w:r>
            <w:r w:rsidRPr="002B3B5C">
              <w:rPr>
                <w:rFonts w:cs="Arial"/>
                <w:color w:val="000000"/>
                <w:sz w:val="24"/>
                <w:szCs w:val="24"/>
              </w:rPr>
              <w:t xml:space="preserve">actors like family background, educational attainment, </w:t>
            </w:r>
            <w:r>
              <w:rPr>
                <w:rFonts w:cs="Arial"/>
                <w:color w:val="000000"/>
                <w:sz w:val="24"/>
                <w:szCs w:val="24"/>
              </w:rPr>
              <w:t>neighbourhood, employment status</w:t>
            </w:r>
            <w:r w:rsidRPr="002B3B5C">
              <w:rPr>
                <w:rFonts w:cs="Arial"/>
                <w:color w:val="000000"/>
                <w:sz w:val="24"/>
                <w:szCs w:val="24"/>
              </w:rPr>
              <w:t xml:space="preserve"> can influence 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life </w:t>
            </w:r>
            <w:r w:rsidRPr="002B3B5C">
              <w:rPr>
                <w:rFonts w:cs="Arial"/>
                <w:color w:val="000000"/>
                <w:sz w:val="24"/>
                <w:szCs w:val="24"/>
              </w:rPr>
              <w:t>chances</w:t>
            </w:r>
          </w:p>
          <w:p w:rsidR="00732CFE" w:rsidRPr="002B3B5C" w:rsidRDefault="00732CFE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732CFE" w:rsidRDefault="005219CC" w:rsidP="00732CFE">
            <w:r>
              <w:rPr>
                <w:sz w:val="24"/>
                <w:szCs w:val="24"/>
              </w:rPr>
              <w:t>n/a</w:t>
            </w:r>
          </w:p>
        </w:tc>
        <w:tc>
          <w:tcPr>
            <w:tcW w:w="4127" w:type="dxa"/>
            <w:shd w:val="clear" w:color="auto" w:fill="auto"/>
          </w:tcPr>
          <w:p w:rsidR="00732CFE" w:rsidRDefault="005E12B2">
            <w:r w:rsidRPr="005E12B2">
              <w:t>No adverse impacts have been identified in respect of socio economic disadvantage.</w:t>
            </w:r>
          </w:p>
        </w:tc>
      </w:tr>
      <w:tr w:rsidR="00732CFE">
        <w:tc>
          <w:tcPr>
            <w:tcW w:w="648" w:type="dxa"/>
          </w:tcPr>
          <w:p w:rsidR="00732CFE" w:rsidRPr="002B3B5C" w:rsidRDefault="00732CF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3.9</w:t>
            </w:r>
          </w:p>
        </w:tc>
        <w:tc>
          <w:tcPr>
            <w:tcW w:w="5272" w:type="dxa"/>
          </w:tcPr>
          <w:p w:rsidR="00732CFE" w:rsidRDefault="00732CFE">
            <w:pPr>
              <w:rPr>
                <w:rFonts w:cs="Arial"/>
                <w:sz w:val="24"/>
                <w:szCs w:val="24"/>
              </w:rPr>
            </w:pPr>
            <w:r w:rsidRPr="002B3B5C">
              <w:rPr>
                <w:rFonts w:cs="Arial"/>
                <w:b/>
                <w:sz w:val="24"/>
                <w:szCs w:val="24"/>
              </w:rPr>
              <w:t>Rural communities</w:t>
            </w:r>
            <w:r w:rsidRPr="002B3B5C">
              <w:rPr>
                <w:rFonts w:cs="Arial"/>
                <w:sz w:val="24"/>
                <w:szCs w:val="24"/>
              </w:rPr>
              <w:t xml:space="preserve"> – identify the impact / potential impact on people living in rural communities</w:t>
            </w:r>
          </w:p>
          <w:p w:rsidR="00732CFE" w:rsidRPr="002B3B5C" w:rsidRDefault="00732CFE">
            <w:pPr>
              <w:rPr>
                <w:b/>
                <w:sz w:val="24"/>
                <w:szCs w:val="24"/>
              </w:rPr>
            </w:pPr>
          </w:p>
        </w:tc>
        <w:tc>
          <w:tcPr>
            <w:tcW w:w="4127" w:type="dxa"/>
            <w:shd w:val="clear" w:color="auto" w:fill="auto"/>
          </w:tcPr>
          <w:p w:rsidR="00732CFE" w:rsidRDefault="005219CC" w:rsidP="0068611A">
            <w:r>
              <w:rPr>
                <w:sz w:val="24"/>
                <w:szCs w:val="24"/>
              </w:rPr>
              <w:t>n/a</w:t>
            </w:r>
          </w:p>
        </w:tc>
        <w:tc>
          <w:tcPr>
            <w:tcW w:w="4127" w:type="dxa"/>
            <w:shd w:val="clear" w:color="auto" w:fill="auto"/>
          </w:tcPr>
          <w:p w:rsidR="00732CFE" w:rsidRDefault="005E12B2" w:rsidP="00732CFE">
            <w:r>
              <w:t>No adverse impacts have been identified in respect of the rural communities.</w:t>
            </w:r>
          </w:p>
        </w:tc>
      </w:tr>
    </w:tbl>
    <w:p w:rsidR="002B3B5C" w:rsidRDefault="002B3B5C" w:rsidP="00163C4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2B3B5C" w:rsidRDefault="002B3B5C" w:rsidP="00163C4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2B3B5C" w:rsidRDefault="002B3B5C" w:rsidP="00163C4F">
      <w:pPr>
        <w:autoSpaceDE w:val="0"/>
        <w:autoSpaceDN w:val="0"/>
        <w:adjustRightInd w:val="0"/>
        <w:rPr>
          <w:b/>
          <w:sz w:val="32"/>
          <w:szCs w:val="32"/>
        </w:rPr>
      </w:pPr>
    </w:p>
    <w:p w:rsidR="00163C4F" w:rsidRDefault="002B3B5C" w:rsidP="00163C4F">
      <w:pPr>
        <w:autoSpaceDE w:val="0"/>
        <w:autoSpaceDN w:val="0"/>
        <w:adjustRightInd w:val="0"/>
        <w:rPr>
          <w:b/>
          <w:sz w:val="32"/>
          <w:szCs w:val="32"/>
        </w:rPr>
      </w:pPr>
      <w:r>
        <w:rPr>
          <w:b/>
          <w:sz w:val="32"/>
          <w:szCs w:val="32"/>
        </w:rPr>
        <w:t>4</w:t>
      </w:r>
      <w:r w:rsidR="000A184F">
        <w:rPr>
          <w:b/>
          <w:sz w:val="32"/>
          <w:szCs w:val="32"/>
        </w:rPr>
        <w:t xml:space="preserve">. </w:t>
      </w:r>
      <w:smartTag w:uri="urn:schemas-microsoft-com:office:smarttags" w:element="City">
        <w:smartTag w:uri="urn:schemas-microsoft-com:office:smarttags" w:element="place">
          <w:r w:rsidR="00163C4F">
            <w:rPr>
              <w:b/>
              <w:sz w:val="32"/>
              <w:szCs w:val="32"/>
            </w:rPr>
            <w:t>Bath</w:t>
          </w:r>
        </w:smartTag>
      </w:smartTag>
      <w:r w:rsidR="00163C4F">
        <w:rPr>
          <w:b/>
          <w:sz w:val="32"/>
          <w:szCs w:val="32"/>
        </w:rPr>
        <w:t xml:space="preserve"> and North </w:t>
      </w:r>
      <w:smartTag w:uri="urn:schemas-microsoft-com:office:smarttags" w:element="place">
        <w:r w:rsidR="00163C4F">
          <w:rPr>
            <w:b/>
            <w:sz w:val="32"/>
            <w:szCs w:val="32"/>
          </w:rPr>
          <w:t>East Somerset</w:t>
        </w:r>
      </w:smartTag>
      <w:r w:rsidR="00163C4F">
        <w:rPr>
          <w:b/>
          <w:sz w:val="32"/>
          <w:szCs w:val="32"/>
        </w:rPr>
        <w:t xml:space="preserve"> Council </w:t>
      </w:r>
      <w:r>
        <w:rPr>
          <w:b/>
          <w:sz w:val="32"/>
          <w:szCs w:val="32"/>
        </w:rPr>
        <w:t>&amp; NHS B&amp;NES</w:t>
      </w:r>
    </w:p>
    <w:p w:rsidR="00163C4F" w:rsidRPr="00163C4F" w:rsidRDefault="00163C4F" w:rsidP="00163C4F">
      <w:pPr>
        <w:autoSpaceDE w:val="0"/>
        <w:autoSpaceDN w:val="0"/>
        <w:adjustRightInd w:val="0"/>
        <w:rPr>
          <w:rFonts w:cs="Arial"/>
          <w:b/>
          <w:bCs/>
          <w:sz w:val="28"/>
          <w:szCs w:val="28"/>
          <w:lang w:eastAsia="en-GB"/>
        </w:rPr>
      </w:pPr>
      <w:r w:rsidRPr="00163C4F">
        <w:rPr>
          <w:rFonts w:cs="Arial"/>
          <w:b/>
          <w:bCs/>
          <w:sz w:val="28"/>
          <w:szCs w:val="28"/>
          <w:lang w:eastAsia="en-GB"/>
        </w:rPr>
        <w:t>Equality Impact Assessment Improvement Plan</w:t>
      </w:r>
    </w:p>
    <w:p w:rsidR="00163C4F" w:rsidRDefault="00163C4F" w:rsidP="00163C4F">
      <w:pPr>
        <w:autoSpaceDE w:val="0"/>
        <w:autoSpaceDN w:val="0"/>
        <w:adjustRightInd w:val="0"/>
        <w:rPr>
          <w:rFonts w:cs="Arial"/>
          <w:lang w:eastAsia="en-GB"/>
        </w:rPr>
      </w:pPr>
    </w:p>
    <w:p w:rsidR="00163C4F" w:rsidRPr="00163C4F" w:rsidRDefault="00163C4F" w:rsidP="00163C4F">
      <w:pPr>
        <w:autoSpaceDE w:val="0"/>
        <w:autoSpaceDN w:val="0"/>
        <w:adjustRightInd w:val="0"/>
        <w:rPr>
          <w:rFonts w:cs="Arial"/>
          <w:sz w:val="24"/>
          <w:szCs w:val="24"/>
          <w:lang w:eastAsia="en-GB"/>
        </w:rPr>
      </w:pPr>
      <w:r w:rsidRPr="00163C4F">
        <w:rPr>
          <w:rFonts w:cs="Arial"/>
          <w:sz w:val="24"/>
          <w:szCs w:val="24"/>
          <w:lang w:eastAsia="en-GB"/>
        </w:rPr>
        <w:t xml:space="preserve">Please list actions that you plan to take as a result of this assessment.  These actions </w:t>
      </w:r>
      <w:r w:rsidR="002B3B5C">
        <w:rPr>
          <w:rFonts w:cs="Arial"/>
          <w:sz w:val="24"/>
          <w:szCs w:val="24"/>
          <w:lang w:eastAsia="en-GB"/>
        </w:rPr>
        <w:t>should be based upon the analysis of data</w:t>
      </w:r>
      <w:r w:rsidR="0023474C">
        <w:rPr>
          <w:rFonts w:cs="Arial"/>
          <w:sz w:val="24"/>
          <w:szCs w:val="24"/>
          <w:lang w:eastAsia="en-GB"/>
        </w:rPr>
        <w:t xml:space="preserve"> and engagement</w:t>
      </w:r>
      <w:r w:rsidR="002B3B5C">
        <w:rPr>
          <w:rFonts w:cs="Arial"/>
          <w:sz w:val="24"/>
          <w:szCs w:val="24"/>
          <w:lang w:eastAsia="en-GB"/>
        </w:rPr>
        <w:t xml:space="preserve">, any gaps in the data you have identified, and any steps you will be taking to address any negative impacts or remove barriers. The actions </w:t>
      </w:r>
      <w:r w:rsidRPr="00163C4F">
        <w:rPr>
          <w:rFonts w:cs="Arial"/>
          <w:sz w:val="24"/>
          <w:szCs w:val="24"/>
          <w:lang w:eastAsia="en-GB"/>
        </w:rPr>
        <w:t xml:space="preserve">need to be built into </w:t>
      </w:r>
      <w:r w:rsidR="002B3B5C">
        <w:rPr>
          <w:rFonts w:cs="Arial"/>
          <w:sz w:val="24"/>
          <w:szCs w:val="24"/>
          <w:lang w:eastAsia="en-GB"/>
        </w:rPr>
        <w:t xml:space="preserve">your </w:t>
      </w:r>
      <w:r w:rsidRPr="00163C4F">
        <w:rPr>
          <w:rFonts w:cs="Arial"/>
          <w:sz w:val="24"/>
          <w:szCs w:val="24"/>
          <w:lang w:eastAsia="en-GB"/>
        </w:rPr>
        <w:t>service planning framework</w:t>
      </w:r>
      <w:r w:rsidR="002B3B5C">
        <w:rPr>
          <w:rFonts w:cs="Arial"/>
          <w:sz w:val="24"/>
          <w:szCs w:val="24"/>
          <w:lang w:eastAsia="en-GB"/>
        </w:rPr>
        <w:t xml:space="preserve">.  Actions/targets </w:t>
      </w:r>
      <w:r w:rsidRPr="00163C4F">
        <w:rPr>
          <w:rFonts w:cs="Arial"/>
          <w:sz w:val="24"/>
          <w:szCs w:val="24"/>
          <w:lang w:eastAsia="en-GB"/>
        </w:rPr>
        <w:t xml:space="preserve">should be measurable, achievable, realistic and time </w:t>
      </w:r>
      <w:r w:rsidR="002B3B5C">
        <w:rPr>
          <w:rFonts w:cs="Arial"/>
          <w:sz w:val="24"/>
          <w:szCs w:val="24"/>
          <w:lang w:eastAsia="en-GB"/>
        </w:rPr>
        <w:t>framed</w:t>
      </w:r>
      <w:r w:rsidRPr="00163C4F">
        <w:rPr>
          <w:rFonts w:cs="Arial"/>
          <w:sz w:val="24"/>
          <w:szCs w:val="24"/>
          <w:lang w:eastAsia="en-GB"/>
        </w:rPr>
        <w:t>.</w:t>
      </w:r>
    </w:p>
    <w:p w:rsidR="00163C4F" w:rsidRDefault="00163C4F" w:rsidP="00163C4F">
      <w:pPr>
        <w:autoSpaceDE w:val="0"/>
        <w:autoSpaceDN w:val="0"/>
        <w:adjustRightInd w:val="0"/>
        <w:rPr>
          <w:rFonts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4"/>
        <w:gridCol w:w="3467"/>
        <w:gridCol w:w="3728"/>
        <w:gridCol w:w="1564"/>
        <w:gridCol w:w="1721"/>
      </w:tblGrid>
      <w:tr w:rsidR="006B2DF8">
        <w:tc>
          <w:tcPr>
            <w:tcW w:w="3794" w:type="dxa"/>
            <w:shd w:val="clear" w:color="auto" w:fill="D9D9D9"/>
            <w:vAlign w:val="center"/>
          </w:tcPr>
          <w:p w:rsidR="006B2DF8" w:rsidRDefault="00163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Issues identified</w:t>
            </w:r>
          </w:p>
        </w:tc>
        <w:tc>
          <w:tcPr>
            <w:tcW w:w="3544" w:type="dxa"/>
            <w:shd w:val="clear" w:color="auto" w:fill="D9D9D9"/>
            <w:vAlign w:val="center"/>
          </w:tcPr>
          <w:p w:rsidR="006B2DF8" w:rsidRDefault="00163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Actions required</w:t>
            </w:r>
          </w:p>
        </w:tc>
        <w:tc>
          <w:tcPr>
            <w:tcW w:w="3822" w:type="dxa"/>
            <w:shd w:val="clear" w:color="auto" w:fill="D9D9D9"/>
            <w:vAlign w:val="center"/>
          </w:tcPr>
          <w:p w:rsidR="006B2DF8" w:rsidRDefault="006B2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Progress milestones</w:t>
            </w:r>
          </w:p>
        </w:tc>
        <w:tc>
          <w:tcPr>
            <w:tcW w:w="1564" w:type="dxa"/>
            <w:shd w:val="clear" w:color="auto" w:fill="D9D9D9"/>
            <w:vAlign w:val="center"/>
          </w:tcPr>
          <w:p w:rsidR="006B2DF8" w:rsidRDefault="006B2D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Officer responsible</w:t>
            </w:r>
          </w:p>
        </w:tc>
        <w:tc>
          <w:tcPr>
            <w:tcW w:w="1450" w:type="dxa"/>
            <w:shd w:val="clear" w:color="auto" w:fill="D9D9D9"/>
            <w:vAlign w:val="center"/>
          </w:tcPr>
          <w:p w:rsidR="006B2DF8" w:rsidRDefault="00163C4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 when</w:t>
            </w:r>
          </w:p>
        </w:tc>
      </w:tr>
      <w:tr w:rsidR="006B2DF8">
        <w:tc>
          <w:tcPr>
            <w:tcW w:w="3794" w:type="dxa"/>
          </w:tcPr>
          <w:p w:rsidR="00C70B44" w:rsidRDefault="00C70B44"/>
          <w:p w:rsidR="002B3B5C" w:rsidRDefault="00AF4F7E">
            <w:r w:rsidRPr="00AF4F7E">
              <w:t>The need to reinstate disabled parking spaces in Beau Street</w:t>
            </w:r>
            <w:r w:rsidR="007B2A53">
              <w:t xml:space="preserve"> </w:t>
            </w:r>
            <w:r w:rsidR="004F1E3E">
              <w:t xml:space="preserve">&amp; create new </w:t>
            </w:r>
            <w:r w:rsidR="007B2A53">
              <w:t xml:space="preserve">disabled </w:t>
            </w:r>
            <w:r w:rsidR="004F1E3E">
              <w:t>spaces in Lower Borough Walls.</w:t>
            </w:r>
          </w:p>
          <w:p w:rsidR="006B2DF8" w:rsidRDefault="006B2DF8"/>
        </w:tc>
        <w:tc>
          <w:tcPr>
            <w:tcW w:w="3544" w:type="dxa"/>
          </w:tcPr>
          <w:p w:rsidR="0028243B" w:rsidRDefault="0028243B"/>
          <w:p w:rsidR="00750F8E" w:rsidRDefault="00AF4F7E" w:rsidP="00F15A53">
            <w:r>
              <w:t>Existing T</w:t>
            </w:r>
            <w:r w:rsidR="007B2A53">
              <w:t xml:space="preserve">raffic </w:t>
            </w:r>
            <w:r>
              <w:t>R</w:t>
            </w:r>
            <w:r w:rsidR="007B2A53">
              <w:t xml:space="preserve">egulation </w:t>
            </w:r>
            <w:r>
              <w:t>O</w:t>
            </w:r>
            <w:r w:rsidR="007B2A53">
              <w:t>rders</w:t>
            </w:r>
            <w:r w:rsidR="00246AE2">
              <w:t xml:space="preserve"> (TRO)</w:t>
            </w:r>
            <w:r>
              <w:t xml:space="preserve"> to be </w:t>
            </w:r>
            <w:r w:rsidR="007B2A53">
              <w:t>amended by the Council</w:t>
            </w:r>
            <w:r>
              <w:t xml:space="preserve"> to accommodate</w:t>
            </w:r>
            <w:r w:rsidR="007B2A53">
              <w:t xml:space="preserve"> the</w:t>
            </w:r>
            <w:r>
              <w:t xml:space="preserve"> </w:t>
            </w:r>
            <w:r w:rsidR="002F2963">
              <w:t xml:space="preserve">new </w:t>
            </w:r>
            <w:r w:rsidR="007B2A53">
              <w:t xml:space="preserve">parking </w:t>
            </w:r>
            <w:r w:rsidR="00F15A53">
              <w:t>arrangement</w:t>
            </w:r>
            <w:r w:rsidR="004F1E3E">
              <w:t xml:space="preserve"> around the G</w:t>
            </w:r>
            <w:r w:rsidR="007B2A53">
              <w:t>a</w:t>
            </w:r>
            <w:r w:rsidR="004F1E3E">
              <w:t xml:space="preserve">insborough </w:t>
            </w:r>
            <w:r w:rsidR="007B2A53">
              <w:t xml:space="preserve">hotel </w:t>
            </w:r>
            <w:r w:rsidR="004F1E3E">
              <w:t>development</w:t>
            </w:r>
            <w:r w:rsidR="007B2A53">
              <w:t>;</w:t>
            </w:r>
            <w:r w:rsidR="002F2963">
              <w:t xml:space="preserve"> as </w:t>
            </w:r>
            <w:r w:rsidR="004F1E3E">
              <w:t xml:space="preserve">per the section106 </w:t>
            </w:r>
            <w:r w:rsidR="007B2A53">
              <w:t xml:space="preserve">planning </w:t>
            </w:r>
            <w:r w:rsidR="004F1E3E">
              <w:t>agreement</w:t>
            </w:r>
            <w:r w:rsidR="007B2A53">
              <w:t xml:space="preserve"> with the developer.</w:t>
            </w:r>
          </w:p>
        </w:tc>
        <w:tc>
          <w:tcPr>
            <w:tcW w:w="3822" w:type="dxa"/>
          </w:tcPr>
          <w:p w:rsidR="0028243B" w:rsidRDefault="0028243B"/>
          <w:p w:rsidR="00750F8E" w:rsidRDefault="00750F8E">
            <w:r>
              <w:t>n/a</w:t>
            </w:r>
          </w:p>
        </w:tc>
        <w:tc>
          <w:tcPr>
            <w:tcW w:w="1564" w:type="dxa"/>
          </w:tcPr>
          <w:p w:rsidR="006B2DF8" w:rsidRDefault="006B2DF8"/>
          <w:p w:rsidR="00750F8E" w:rsidRDefault="00750F8E">
            <w:r>
              <w:t>n/a</w:t>
            </w:r>
          </w:p>
        </w:tc>
        <w:tc>
          <w:tcPr>
            <w:tcW w:w="1450" w:type="dxa"/>
          </w:tcPr>
          <w:p w:rsidR="00750F8E" w:rsidRDefault="00750F8E"/>
          <w:p w:rsidR="006B2DF8" w:rsidRDefault="004F1E3E">
            <w:r>
              <w:t>Upon completion of the Gainsborough development</w:t>
            </w:r>
            <w:r w:rsidR="00246AE2">
              <w:t xml:space="preserve"> Highway works </w:t>
            </w:r>
            <w:r>
              <w:t>– late 2013</w:t>
            </w:r>
          </w:p>
          <w:p w:rsidR="00246AE2" w:rsidRDefault="00246AE2"/>
          <w:p w:rsidR="00246AE2" w:rsidRDefault="00246AE2"/>
        </w:tc>
      </w:tr>
      <w:tr w:rsidR="00246AE2">
        <w:tc>
          <w:tcPr>
            <w:tcW w:w="3794" w:type="dxa"/>
          </w:tcPr>
          <w:p w:rsidR="00246AE2" w:rsidRDefault="00246AE2" w:rsidP="00F15A53">
            <w:r w:rsidRPr="00246AE2">
              <w:t>Hot Bath Street will be made 2 way to allow access to St Johns Alms Hou</w:t>
            </w:r>
            <w:r w:rsidR="00F15A53">
              <w:t>se &amp; St Michaels day centre</w:t>
            </w:r>
            <w:r w:rsidRPr="00246AE2">
              <w:t>.</w:t>
            </w:r>
          </w:p>
        </w:tc>
        <w:tc>
          <w:tcPr>
            <w:tcW w:w="3544" w:type="dxa"/>
          </w:tcPr>
          <w:p w:rsidR="00246AE2" w:rsidRDefault="00F15A53">
            <w:r>
              <w:t>This change will be included on the main City Centre Access TRO that we are proposing.</w:t>
            </w:r>
          </w:p>
        </w:tc>
        <w:tc>
          <w:tcPr>
            <w:tcW w:w="3822" w:type="dxa"/>
          </w:tcPr>
          <w:p w:rsidR="00246AE2" w:rsidRDefault="00AE02C1">
            <w:r w:rsidRPr="00AE02C1">
              <w:t>To be formally consulted upon in July 2013.</w:t>
            </w:r>
          </w:p>
        </w:tc>
        <w:tc>
          <w:tcPr>
            <w:tcW w:w="1564" w:type="dxa"/>
          </w:tcPr>
          <w:p w:rsidR="00246AE2" w:rsidRDefault="00F15A53">
            <w:r>
              <w:t>n/a</w:t>
            </w:r>
          </w:p>
        </w:tc>
        <w:tc>
          <w:tcPr>
            <w:tcW w:w="1450" w:type="dxa"/>
          </w:tcPr>
          <w:p w:rsidR="00246AE2" w:rsidRDefault="00AE02C1">
            <w:r>
              <w:t>Implementation by end of 2013.</w:t>
            </w:r>
          </w:p>
        </w:tc>
      </w:tr>
      <w:tr w:rsidR="00246AE2">
        <w:tc>
          <w:tcPr>
            <w:tcW w:w="3794" w:type="dxa"/>
          </w:tcPr>
          <w:p w:rsidR="00246AE2" w:rsidRDefault="00246AE2"/>
        </w:tc>
        <w:tc>
          <w:tcPr>
            <w:tcW w:w="3544" w:type="dxa"/>
          </w:tcPr>
          <w:p w:rsidR="00246AE2" w:rsidRDefault="00246AE2"/>
        </w:tc>
        <w:tc>
          <w:tcPr>
            <w:tcW w:w="3822" w:type="dxa"/>
          </w:tcPr>
          <w:p w:rsidR="00246AE2" w:rsidRDefault="00246AE2"/>
        </w:tc>
        <w:tc>
          <w:tcPr>
            <w:tcW w:w="1564" w:type="dxa"/>
          </w:tcPr>
          <w:p w:rsidR="00246AE2" w:rsidRDefault="00246AE2"/>
        </w:tc>
        <w:tc>
          <w:tcPr>
            <w:tcW w:w="1450" w:type="dxa"/>
          </w:tcPr>
          <w:p w:rsidR="00246AE2" w:rsidRDefault="00246AE2"/>
        </w:tc>
      </w:tr>
    </w:tbl>
    <w:p w:rsidR="006B2DF8" w:rsidRDefault="006B2DF8"/>
    <w:p w:rsidR="002B3B5C" w:rsidRDefault="002B3B5C"/>
    <w:p w:rsidR="002B3B5C" w:rsidRDefault="002B3B5C"/>
    <w:p w:rsidR="002B3B5C" w:rsidRDefault="002B3B5C">
      <w:pPr>
        <w:rPr>
          <w:b/>
          <w:sz w:val="32"/>
          <w:szCs w:val="32"/>
        </w:rPr>
      </w:pPr>
      <w:r w:rsidRPr="002B3B5C">
        <w:rPr>
          <w:b/>
          <w:sz w:val="32"/>
          <w:szCs w:val="32"/>
        </w:rPr>
        <w:t>5. Sign off and publishing</w:t>
      </w:r>
    </w:p>
    <w:p w:rsidR="002B3B5C" w:rsidRPr="002B3B5C" w:rsidRDefault="002B3B5C">
      <w:pPr>
        <w:rPr>
          <w:b/>
          <w:sz w:val="32"/>
          <w:szCs w:val="32"/>
        </w:rPr>
      </w:pPr>
    </w:p>
    <w:p w:rsidR="006B2DF8" w:rsidRDefault="000A184F" w:rsidP="00543922">
      <w:pPr>
        <w:rPr>
          <w:sz w:val="24"/>
          <w:szCs w:val="24"/>
        </w:rPr>
      </w:pPr>
      <w:r w:rsidRPr="00543922">
        <w:rPr>
          <w:sz w:val="24"/>
          <w:szCs w:val="24"/>
        </w:rPr>
        <w:t>Once you have completed this form,</w:t>
      </w:r>
      <w:r w:rsidR="002B3B5C">
        <w:rPr>
          <w:sz w:val="24"/>
          <w:szCs w:val="24"/>
        </w:rPr>
        <w:t xml:space="preserve"> it needs to be ‘approved’ by your Divisional Director or their nominated officer.  Following this sign off, send a copy to </w:t>
      </w:r>
      <w:r w:rsidR="00B8565F" w:rsidRPr="00543922">
        <w:rPr>
          <w:sz w:val="24"/>
          <w:szCs w:val="24"/>
        </w:rPr>
        <w:t xml:space="preserve">the </w:t>
      </w:r>
      <w:smartTag w:uri="urn:schemas-microsoft-com:office:smarttags" w:element="PersonName">
        <w:r w:rsidR="00B8565F" w:rsidRPr="00543922">
          <w:rPr>
            <w:sz w:val="24"/>
            <w:szCs w:val="24"/>
          </w:rPr>
          <w:t>Equalities Team</w:t>
        </w:r>
      </w:smartTag>
      <w:r w:rsidR="00B8565F" w:rsidRPr="00543922">
        <w:rPr>
          <w:sz w:val="24"/>
          <w:szCs w:val="24"/>
        </w:rPr>
        <w:t xml:space="preserve"> (</w:t>
      </w:r>
      <w:hyperlink r:id="rId12" w:history="1">
        <w:r w:rsidR="00B8565F" w:rsidRPr="00543922">
          <w:rPr>
            <w:rStyle w:val="Hyperlink"/>
            <w:sz w:val="24"/>
            <w:szCs w:val="24"/>
          </w:rPr>
          <w:t>equality@bathnes.gov.uk</w:t>
        </w:r>
      </w:hyperlink>
      <w:r w:rsidR="002B3B5C">
        <w:rPr>
          <w:sz w:val="24"/>
          <w:szCs w:val="24"/>
        </w:rPr>
        <w:t>)</w:t>
      </w:r>
      <w:r w:rsidR="00B8565F" w:rsidRPr="00543922">
        <w:rPr>
          <w:sz w:val="24"/>
          <w:szCs w:val="24"/>
        </w:rPr>
        <w:t xml:space="preserve">, </w:t>
      </w:r>
      <w:r w:rsidR="002B3B5C">
        <w:rPr>
          <w:sz w:val="24"/>
          <w:szCs w:val="24"/>
        </w:rPr>
        <w:t>who will publish it on the Council’s and/or NHS B&amp;NES’ website.  Keep a copy for your own records.</w:t>
      </w:r>
    </w:p>
    <w:p w:rsidR="002B3B5C" w:rsidRDefault="002B3B5C" w:rsidP="00543922">
      <w:pPr>
        <w:rPr>
          <w:sz w:val="24"/>
          <w:szCs w:val="24"/>
        </w:rPr>
      </w:pPr>
    </w:p>
    <w:p w:rsidR="002B3B5C" w:rsidRPr="002B3B5C" w:rsidRDefault="007C6B69" w:rsidP="00543922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42.7pt;margin-top:-20.85pt;width:165.75pt;height:75.75pt;z-index:-251658240">
            <v:imagedata r:id="rId13" o:title="David Trigwell Sig"/>
          </v:shape>
        </w:pict>
      </w:r>
      <w:r w:rsidR="002B3B5C" w:rsidRPr="002B3B5C">
        <w:rPr>
          <w:b/>
          <w:sz w:val="28"/>
          <w:szCs w:val="28"/>
        </w:rPr>
        <w:t>Signed off by</w:t>
      </w:r>
      <w:r w:rsidR="002B3B5C" w:rsidRPr="002B3B5C">
        <w:rPr>
          <w:sz w:val="28"/>
          <w:szCs w:val="28"/>
        </w:rPr>
        <w:t>:</w:t>
      </w:r>
      <w:r w:rsidR="002B3B5C" w:rsidRPr="002B3B5C">
        <w:rPr>
          <w:sz w:val="28"/>
          <w:szCs w:val="28"/>
        </w:rPr>
        <w:tab/>
      </w:r>
      <w:r w:rsidR="002B3B5C" w:rsidRPr="002B3B5C">
        <w:rPr>
          <w:sz w:val="28"/>
          <w:szCs w:val="28"/>
        </w:rPr>
        <w:tab/>
      </w:r>
      <w:r w:rsidR="002B3B5C" w:rsidRPr="002B3B5C">
        <w:rPr>
          <w:sz w:val="28"/>
          <w:szCs w:val="28"/>
        </w:rPr>
        <w:tab/>
      </w:r>
      <w:r w:rsidR="002B3B5C" w:rsidRPr="002B3B5C">
        <w:rPr>
          <w:sz w:val="28"/>
          <w:szCs w:val="28"/>
        </w:rPr>
        <w:tab/>
      </w:r>
      <w:r w:rsidR="002B3B5C" w:rsidRPr="002B3B5C">
        <w:rPr>
          <w:sz w:val="28"/>
          <w:szCs w:val="28"/>
        </w:rPr>
        <w:tab/>
      </w:r>
      <w:r w:rsidR="002B3B5C" w:rsidRPr="002B3B5C">
        <w:rPr>
          <w:sz w:val="28"/>
          <w:szCs w:val="28"/>
        </w:rPr>
        <w:tab/>
      </w:r>
      <w:r w:rsidR="002B3B5C" w:rsidRPr="002B3B5C">
        <w:rPr>
          <w:sz w:val="28"/>
          <w:szCs w:val="28"/>
        </w:rPr>
        <w:tab/>
      </w:r>
      <w:r w:rsidR="002B3B5C" w:rsidRPr="002B3B5C">
        <w:rPr>
          <w:sz w:val="28"/>
          <w:szCs w:val="28"/>
        </w:rPr>
        <w:tab/>
      </w:r>
      <w:r w:rsidR="002B3B5C">
        <w:rPr>
          <w:sz w:val="28"/>
          <w:szCs w:val="28"/>
        </w:rPr>
        <w:tab/>
      </w:r>
      <w:r w:rsidR="002B3B5C" w:rsidRPr="002B3B5C">
        <w:rPr>
          <w:sz w:val="28"/>
          <w:szCs w:val="28"/>
        </w:rPr>
        <w:t>(Divisional Director or nominated senior officer)</w:t>
      </w:r>
    </w:p>
    <w:p w:rsidR="00670DE0" w:rsidRDefault="00670DE0" w:rsidP="00543922">
      <w:pPr>
        <w:rPr>
          <w:b/>
          <w:sz w:val="28"/>
          <w:szCs w:val="28"/>
        </w:rPr>
      </w:pPr>
    </w:p>
    <w:p w:rsidR="002B3B5C" w:rsidRPr="002B3B5C" w:rsidRDefault="002B3B5C" w:rsidP="00543922">
      <w:pPr>
        <w:rPr>
          <w:b/>
          <w:sz w:val="28"/>
          <w:szCs w:val="28"/>
        </w:rPr>
      </w:pPr>
      <w:r w:rsidRPr="002B3B5C">
        <w:rPr>
          <w:b/>
          <w:sz w:val="28"/>
          <w:szCs w:val="28"/>
        </w:rPr>
        <w:t>Date:</w:t>
      </w:r>
      <w:r w:rsidR="0007240F">
        <w:rPr>
          <w:b/>
          <w:sz w:val="28"/>
          <w:szCs w:val="28"/>
        </w:rPr>
        <w:t xml:space="preserve">   28</w:t>
      </w:r>
      <w:r w:rsidR="0007240F" w:rsidRPr="0007240F">
        <w:rPr>
          <w:b/>
          <w:sz w:val="28"/>
          <w:szCs w:val="28"/>
          <w:vertAlign w:val="superscript"/>
        </w:rPr>
        <w:t>th</w:t>
      </w:r>
      <w:r w:rsidR="0007240F">
        <w:rPr>
          <w:b/>
          <w:sz w:val="28"/>
          <w:szCs w:val="28"/>
        </w:rPr>
        <w:t xml:space="preserve"> June 2013</w:t>
      </w:r>
    </w:p>
    <w:sectPr w:rsidR="002B3B5C" w:rsidRPr="002B3B5C" w:rsidSect="00984A3B">
      <w:footerReference w:type="default" r:id="rId14"/>
      <w:headerReference w:type="first" r:id="rId15"/>
      <w:footerReference w:type="first" r:id="rId16"/>
      <w:pgSz w:w="16838" w:h="11906" w:orient="landscape"/>
      <w:pgMar w:top="1079" w:right="1440" w:bottom="709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D2E" w:rsidRDefault="00481D2E">
      <w:r>
        <w:separator/>
      </w:r>
    </w:p>
    <w:p w:rsidR="00481D2E" w:rsidRDefault="00481D2E"/>
    <w:p w:rsidR="00481D2E" w:rsidRDefault="00481D2E"/>
  </w:endnote>
  <w:endnote w:type="continuationSeparator" w:id="0">
    <w:p w:rsidR="00481D2E" w:rsidRDefault="00481D2E">
      <w:r>
        <w:continuationSeparator/>
      </w:r>
    </w:p>
    <w:p w:rsidR="00481D2E" w:rsidRDefault="00481D2E"/>
    <w:p w:rsidR="00481D2E" w:rsidRDefault="00481D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E2" w:rsidRDefault="00246AE2">
    <w:pPr>
      <w:pStyle w:val="Footer"/>
    </w:pPr>
    <w:r>
      <w:rPr>
        <w:snapToGrid w:val="0"/>
      </w:rPr>
      <w:t xml:space="preserve">Page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7C6B69"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of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 w:rsidR="007C6B69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         </w:t>
    </w:r>
    <w:smartTag w:uri="urn:schemas-microsoft-com:office:smarttags" w:element="City">
      <w:smartTag w:uri="urn:schemas-microsoft-com:office:smarttags" w:element="place">
        <w:r>
          <w:rPr>
            <w:snapToGrid w:val="0"/>
          </w:rPr>
          <w:t>Bath</w:t>
        </w:r>
      </w:smartTag>
    </w:smartTag>
    <w:r>
      <w:rPr>
        <w:snapToGrid w:val="0"/>
      </w:rPr>
      <w:t xml:space="preserve"> and North </w:t>
    </w:r>
    <w:smartTag w:uri="urn:schemas-microsoft-com:office:smarttags" w:element="place">
      <w:r>
        <w:rPr>
          <w:snapToGrid w:val="0"/>
        </w:rPr>
        <w:t>East Somerset</w:t>
      </w:r>
    </w:smartTag>
    <w:r>
      <w:rPr>
        <w:snapToGrid w:val="0"/>
      </w:rPr>
      <w:t xml:space="preserve"> Council and NHS B&amp;NES: Equality Impact Assessment Toolkit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E2" w:rsidRDefault="007C6B69">
    <w:pPr>
      <w:pStyle w:val="Footer"/>
    </w:pPr>
    <w:r>
      <w:rPr>
        <w:noProof/>
        <w:sz w:val="56"/>
        <w:szCs w:val="56"/>
        <w:lang w:eastAsia="en-GB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_x0000_s2049" type="#_x0000_t6" style="position:absolute;margin-left:653pt;margin-top:-131.2pt;width:1in;height:69pt;rotation:270;flip:x;z-index:251657216" fillcolor="#36f" stroked="f" strokeweight="2.5pt">
          <v:shadow color="#868686"/>
        </v:shape>
      </w:pict>
    </w:r>
    <w:r>
      <w:rPr>
        <w:noProof/>
        <w:lang w:eastAsia="en-GB"/>
      </w:rPr>
      <w:pict>
        <v:rect id="_x0000_s2050" style="position:absolute;margin-left:-88pt;margin-top:485.95pt;width:959.5pt;height:170.15pt;rotation:180;z-index:-251658240;mso-position-vertical-relative:page" fillcolor="#36f" stroked="f" strokeweight="3pt">
          <v:shadow on="t" type="perspective" color="#7f7f7f" opacity=".5" offset="1pt" offset2="-1pt"/>
          <w10:wrap anchory="page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D2E" w:rsidRDefault="00481D2E">
      <w:r>
        <w:separator/>
      </w:r>
    </w:p>
    <w:p w:rsidR="00481D2E" w:rsidRDefault="00481D2E"/>
    <w:p w:rsidR="00481D2E" w:rsidRDefault="00481D2E"/>
  </w:footnote>
  <w:footnote w:type="continuationSeparator" w:id="0">
    <w:p w:rsidR="00481D2E" w:rsidRDefault="00481D2E">
      <w:r>
        <w:continuationSeparator/>
      </w:r>
    </w:p>
    <w:p w:rsidR="00481D2E" w:rsidRDefault="00481D2E"/>
    <w:p w:rsidR="00481D2E" w:rsidRDefault="00481D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AE2" w:rsidRPr="002E7EF8" w:rsidRDefault="00246AE2">
    <w:pPr>
      <w:pStyle w:val="Header"/>
      <w:rPr>
        <w:sz w:val="56"/>
        <w:szCs w:val="56"/>
      </w:rPr>
    </w:pPr>
    <w:r>
      <w:rPr>
        <w:sz w:val="56"/>
        <w:szCs w:val="56"/>
      </w:rPr>
      <w:t xml:space="preserve"> </w:t>
    </w:r>
    <w:r w:rsidR="007C6B6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83pt;height:107pt">
          <v:imagedata r:id="rId1" o:title="Partnership logo (2) (3)"/>
        </v:shape>
      </w:pict>
    </w:r>
    <w:r>
      <w:rPr>
        <w:sz w:val="56"/>
        <w:szCs w:val="56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628F6"/>
    <w:multiLevelType w:val="multilevel"/>
    <w:tmpl w:val="79983B3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8080"/>
        <w:sz w:val="28"/>
        <w:szCs w:val="2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2D73C6"/>
    <w:multiLevelType w:val="hybridMultilevel"/>
    <w:tmpl w:val="99B8D4FA"/>
    <w:lvl w:ilvl="0" w:tplc="9B860F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8080"/>
        <w:sz w:val="28"/>
        <w:szCs w:val="28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E92B10"/>
    <w:multiLevelType w:val="hybridMultilevel"/>
    <w:tmpl w:val="9D5A335A"/>
    <w:lvl w:ilvl="0" w:tplc="F7065B5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3">
    <w:nsid w:val="1A473E44"/>
    <w:multiLevelType w:val="hybridMultilevel"/>
    <w:tmpl w:val="D110D142"/>
    <w:lvl w:ilvl="0" w:tplc="F7065B5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331BD5"/>
    <w:multiLevelType w:val="hybridMultilevel"/>
    <w:tmpl w:val="F8741524"/>
    <w:lvl w:ilvl="0" w:tplc="9B860F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808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E3B7E"/>
    <w:multiLevelType w:val="hybridMultilevel"/>
    <w:tmpl w:val="13560A60"/>
    <w:lvl w:ilvl="0" w:tplc="F7065B5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CF5303"/>
    <w:multiLevelType w:val="hybridMultilevel"/>
    <w:tmpl w:val="0FF2F30A"/>
    <w:lvl w:ilvl="0" w:tplc="9B860F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808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2D2983"/>
    <w:multiLevelType w:val="hybridMultilevel"/>
    <w:tmpl w:val="F76ED9D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A14122"/>
    <w:multiLevelType w:val="multilevel"/>
    <w:tmpl w:val="68D8BFF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3366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84812C8"/>
    <w:multiLevelType w:val="hybridMultilevel"/>
    <w:tmpl w:val="79983B34"/>
    <w:lvl w:ilvl="0" w:tplc="F96E898A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9B860F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8080"/>
        <w:sz w:val="28"/>
        <w:szCs w:val="28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D11F05"/>
    <w:multiLevelType w:val="multilevel"/>
    <w:tmpl w:val="516C1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hanging="717"/>
      </w:pPr>
      <w:rPr>
        <w:rFonts w:ascii="Arial" w:hAnsi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86C3FE1"/>
    <w:multiLevelType w:val="hybridMultilevel"/>
    <w:tmpl w:val="C85E71AC"/>
    <w:lvl w:ilvl="0" w:tplc="0EBECC22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880DDB"/>
    <w:multiLevelType w:val="hybridMultilevel"/>
    <w:tmpl w:val="6BD06A4A"/>
    <w:lvl w:ilvl="0" w:tplc="F7065B5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016880"/>
    <w:multiLevelType w:val="hybridMultilevel"/>
    <w:tmpl w:val="57D61A5E"/>
    <w:lvl w:ilvl="0" w:tplc="F7065B5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EBECC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B35026B"/>
    <w:multiLevelType w:val="hybridMultilevel"/>
    <w:tmpl w:val="E430A57C"/>
    <w:lvl w:ilvl="0" w:tplc="32962A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B3921A7"/>
    <w:multiLevelType w:val="multilevel"/>
    <w:tmpl w:val="33967B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3366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5DA42B1"/>
    <w:multiLevelType w:val="hybridMultilevel"/>
    <w:tmpl w:val="7478860C"/>
    <w:lvl w:ilvl="0" w:tplc="F7065B5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CA749D"/>
    <w:multiLevelType w:val="hybridMultilevel"/>
    <w:tmpl w:val="7D0C7AEA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725B5825"/>
    <w:multiLevelType w:val="hybridMultilevel"/>
    <w:tmpl w:val="B9429C08"/>
    <w:lvl w:ilvl="0" w:tplc="F7065B56">
      <w:start w:val="1"/>
      <w:numFmt w:val="bullet"/>
      <w:lvlText w:val="□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75C4B5B"/>
    <w:multiLevelType w:val="hybridMultilevel"/>
    <w:tmpl w:val="3BD0E6C8"/>
    <w:lvl w:ilvl="0" w:tplc="9B860F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80808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>
    <w:nsid w:val="785760D0"/>
    <w:multiLevelType w:val="hybridMultilevel"/>
    <w:tmpl w:val="C38A1C38"/>
    <w:lvl w:ilvl="0" w:tplc="9B860F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color w:val="808080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7"/>
  </w:num>
  <w:num w:numId="5">
    <w:abstractNumId w:val="19"/>
  </w:num>
  <w:num w:numId="6">
    <w:abstractNumId w:val="16"/>
  </w:num>
  <w:num w:numId="7">
    <w:abstractNumId w:val="18"/>
  </w:num>
  <w:num w:numId="8">
    <w:abstractNumId w:val="12"/>
  </w:num>
  <w:num w:numId="9">
    <w:abstractNumId w:val="3"/>
  </w:num>
  <w:num w:numId="10">
    <w:abstractNumId w:val="13"/>
  </w:num>
  <w:num w:numId="11">
    <w:abstractNumId w:val="5"/>
  </w:num>
  <w:num w:numId="12">
    <w:abstractNumId w:val="2"/>
  </w:num>
  <w:num w:numId="13">
    <w:abstractNumId w:val="11"/>
  </w:num>
  <w:num w:numId="14">
    <w:abstractNumId w:val="14"/>
  </w:num>
  <w:num w:numId="15">
    <w:abstractNumId w:val="6"/>
  </w:num>
  <w:num w:numId="16">
    <w:abstractNumId w:val="20"/>
  </w:num>
  <w:num w:numId="17">
    <w:abstractNumId w:val="9"/>
  </w:num>
  <w:num w:numId="18">
    <w:abstractNumId w:val="0"/>
  </w:num>
  <w:num w:numId="19">
    <w:abstractNumId w:val="1"/>
  </w:num>
  <w:num w:numId="20">
    <w:abstractNumId w:val="4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1E3F"/>
    <w:rsid w:val="000231C6"/>
    <w:rsid w:val="00037611"/>
    <w:rsid w:val="000722BB"/>
    <w:rsid w:val="0007240F"/>
    <w:rsid w:val="0009484C"/>
    <w:rsid w:val="000A184F"/>
    <w:rsid w:val="000A35B3"/>
    <w:rsid w:val="000B77D0"/>
    <w:rsid w:val="000E51CA"/>
    <w:rsid w:val="0010752D"/>
    <w:rsid w:val="00163C4F"/>
    <w:rsid w:val="001733F0"/>
    <w:rsid w:val="001734E3"/>
    <w:rsid w:val="00174EF4"/>
    <w:rsid w:val="00193E2F"/>
    <w:rsid w:val="001B6246"/>
    <w:rsid w:val="00223636"/>
    <w:rsid w:val="002308AD"/>
    <w:rsid w:val="00230F50"/>
    <w:rsid w:val="0023292D"/>
    <w:rsid w:val="0023474C"/>
    <w:rsid w:val="00246AE2"/>
    <w:rsid w:val="00256E5A"/>
    <w:rsid w:val="00265487"/>
    <w:rsid w:val="00272C3A"/>
    <w:rsid w:val="0028243B"/>
    <w:rsid w:val="002A17F4"/>
    <w:rsid w:val="002B3B5C"/>
    <w:rsid w:val="002B53E5"/>
    <w:rsid w:val="002C0763"/>
    <w:rsid w:val="002C1B75"/>
    <w:rsid w:val="002D33D2"/>
    <w:rsid w:val="002E7EF8"/>
    <w:rsid w:val="002F2963"/>
    <w:rsid w:val="003066B4"/>
    <w:rsid w:val="00307CB7"/>
    <w:rsid w:val="00362518"/>
    <w:rsid w:val="0037185E"/>
    <w:rsid w:val="00381E3F"/>
    <w:rsid w:val="00391EBA"/>
    <w:rsid w:val="003921F3"/>
    <w:rsid w:val="003A0A1D"/>
    <w:rsid w:val="003D031B"/>
    <w:rsid w:val="003D5896"/>
    <w:rsid w:val="004001AB"/>
    <w:rsid w:val="0041018B"/>
    <w:rsid w:val="0041641F"/>
    <w:rsid w:val="00431237"/>
    <w:rsid w:val="00446395"/>
    <w:rsid w:val="00481D2E"/>
    <w:rsid w:val="004860A1"/>
    <w:rsid w:val="00487C08"/>
    <w:rsid w:val="004A472A"/>
    <w:rsid w:val="004C318C"/>
    <w:rsid w:val="004E418F"/>
    <w:rsid w:val="004F1E3E"/>
    <w:rsid w:val="004F5AC9"/>
    <w:rsid w:val="00500300"/>
    <w:rsid w:val="005219CC"/>
    <w:rsid w:val="00532357"/>
    <w:rsid w:val="005365D0"/>
    <w:rsid w:val="00543922"/>
    <w:rsid w:val="00565025"/>
    <w:rsid w:val="00573640"/>
    <w:rsid w:val="00585642"/>
    <w:rsid w:val="005A4AA2"/>
    <w:rsid w:val="005D7880"/>
    <w:rsid w:val="005D7C5F"/>
    <w:rsid w:val="005E0695"/>
    <w:rsid w:val="005E12B2"/>
    <w:rsid w:val="005E3E3F"/>
    <w:rsid w:val="005F010E"/>
    <w:rsid w:val="005F0674"/>
    <w:rsid w:val="005F46E5"/>
    <w:rsid w:val="00603419"/>
    <w:rsid w:val="00622FB8"/>
    <w:rsid w:val="00647737"/>
    <w:rsid w:val="006651F7"/>
    <w:rsid w:val="00670DE0"/>
    <w:rsid w:val="0068611A"/>
    <w:rsid w:val="00692CE7"/>
    <w:rsid w:val="006A7E3F"/>
    <w:rsid w:val="006B2DF8"/>
    <w:rsid w:val="006D0E8C"/>
    <w:rsid w:val="006F2C02"/>
    <w:rsid w:val="00713445"/>
    <w:rsid w:val="00724863"/>
    <w:rsid w:val="00732CFE"/>
    <w:rsid w:val="007370BE"/>
    <w:rsid w:val="00744837"/>
    <w:rsid w:val="00750F8E"/>
    <w:rsid w:val="00793DDE"/>
    <w:rsid w:val="007B2A53"/>
    <w:rsid w:val="007B4E00"/>
    <w:rsid w:val="007C694D"/>
    <w:rsid w:val="007C6B69"/>
    <w:rsid w:val="007D076A"/>
    <w:rsid w:val="007E2562"/>
    <w:rsid w:val="008075D3"/>
    <w:rsid w:val="0082170A"/>
    <w:rsid w:val="008225FF"/>
    <w:rsid w:val="00822FBD"/>
    <w:rsid w:val="00842686"/>
    <w:rsid w:val="00844682"/>
    <w:rsid w:val="00862B34"/>
    <w:rsid w:val="0088411B"/>
    <w:rsid w:val="0088728D"/>
    <w:rsid w:val="00897896"/>
    <w:rsid w:val="008B385A"/>
    <w:rsid w:val="008B760D"/>
    <w:rsid w:val="009171DA"/>
    <w:rsid w:val="00920947"/>
    <w:rsid w:val="00922FEE"/>
    <w:rsid w:val="00943384"/>
    <w:rsid w:val="00946D77"/>
    <w:rsid w:val="0096291D"/>
    <w:rsid w:val="00984A3B"/>
    <w:rsid w:val="00993A82"/>
    <w:rsid w:val="009B5A08"/>
    <w:rsid w:val="009B5C97"/>
    <w:rsid w:val="009C4D42"/>
    <w:rsid w:val="00A125C2"/>
    <w:rsid w:val="00A26DC2"/>
    <w:rsid w:val="00AA1B1B"/>
    <w:rsid w:val="00AE02C1"/>
    <w:rsid w:val="00AF1F77"/>
    <w:rsid w:val="00AF4F7E"/>
    <w:rsid w:val="00B00ACC"/>
    <w:rsid w:val="00B51359"/>
    <w:rsid w:val="00B66382"/>
    <w:rsid w:val="00B8565F"/>
    <w:rsid w:val="00B86FBE"/>
    <w:rsid w:val="00B94585"/>
    <w:rsid w:val="00BC0B1B"/>
    <w:rsid w:val="00BC3E3F"/>
    <w:rsid w:val="00BD1C09"/>
    <w:rsid w:val="00C045BC"/>
    <w:rsid w:val="00C14271"/>
    <w:rsid w:val="00C163FE"/>
    <w:rsid w:val="00C42998"/>
    <w:rsid w:val="00C56843"/>
    <w:rsid w:val="00C64D7C"/>
    <w:rsid w:val="00C70B44"/>
    <w:rsid w:val="00CB3CD8"/>
    <w:rsid w:val="00CB514F"/>
    <w:rsid w:val="00CF282A"/>
    <w:rsid w:val="00D34F21"/>
    <w:rsid w:val="00D36EE9"/>
    <w:rsid w:val="00D44EC3"/>
    <w:rsid w:val="00D57295"/>
    <w:rsid w:val="00E13414"/>
    <w:rsid w:val="00E41F95"/>
    <w:rsid w:val="00E4699F"/>
    <w:rsid w:val="00E5180E"/>
    <w:rsid w:val="00E54AC2"/>
    <w:rsid w:val="00E62C69"/>
    <w:rsid w:val="00E65651"/>
    <w:rsid w:val="00E67B1F"/>
    <w:rsid w:val="00ED5CED"/>
    <w:rsid w:val="00EE1489"/>
    <w:rsid w:val="00EE20BF"/>
    <w:rsid w:val="00EE50F5"/>
    <w:rsid w:val="00EF61CE"/>
    <w:rsid w:val="00F15A53"/>
    <w:rsid w:val="00F43499"/>
    <w:rsid w:val="00F60057"/>
    <w:rsid w:val="00F67000"/>
    <w:rsid w:val="00F83705"/>
    <w:rsid w:val="00F93043"/>
    <w:rsid w:val="00FB1656"/>
    <w:rsid w:val="00FB3089"/>
    <w:rsid w:val="00FB5E93"/>
    <w:rsid w:val="00FC4A1E"/>
    <w:rsid w:val="00FE5AB2"/>
    <w:rsid w:val="00FF5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81E3F"/>
    <w:rPr>
      <w:rFonts w:ascii="Tahoma" w:hAnsi="Tahoma" w:cs="Tahoma"/>
      <w:sz w:val="16"/>
      <w:szCs w:val="16"/>
    </w:rPr>
  </w:style>
  <w:style w:type="character" w:styleId="Hyperlink">
    <w:name w:val="Hyperlink"/>
    <w:rsid w:val="00B8565F"/>
    <w:rPr>
      <w:color w:val="0000FF"/>
      <w:u w:val="single"/>
    </w:rPr>
  </w:style>
  <w:style w:type="paragraph" w:customStyle="1" w:styleId="Default">
    <w:name w:val="Default"/>
    <w:rsid w:val="000722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20">
    <w:name w:val="CM20"/>
    <w:basedOn w:val="Default"/>
    <w:next w:val="Default"/>
    <w:rsid w:val="000722BB"/>
    <w:pPr>
      <w:spacing w:after="270"/>
    </w:pPr>
    <w:rPr>
      <w:rFonts w:cs="Times New Roman"/>
      <w:color w:val="auto"/>
    </w:rPr>
  </w:style>
  <w:style w:type="paragraph" w:customStyle="1" w:styleId="NormalWeb3">
    <w:name w:val="Normal (Web)3"/>
    <w:basedOn w:val="Normal"/>
    <w:rsid w:val="002B3B5C"/>
    <w:pPr>
      <w:spacing w:after="180"/>
      <w:ind w:right="240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uiPriority w:val="99"/>
    <w:semiHidden/>
    <w:unhideWhenUsed/>
    <w:rsid w:val="001B624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74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5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0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2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70369">
              <w:marLeft w:val="20"/>
              <w:marRight w:val="20"/>
              <w:marTop w:val="0"/>
              <w:marBottom w:val="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279">
                  <w:marLeft w:val="3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76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922309">
                          <w:marLeft w:val="0"/>
                          <w:marRight w:val="0"/>
                          <w:marTop w:val="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90242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quality@bathnes.gov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CE56BD7B0274C8D4CFA62886281BA" ma:contentTypeVersion="1" ma:contentTypeDescription="Create a new document." ma:contentTypeScope="" ma:versionID="1af674ae6898a35deaef293d55bdfe2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148A-E1D8-48BF-9C33-861CF31FA4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892E7E4-2609-48C7-817D-8215025E22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68AF161-56F1-445B-AC01-662A18FEF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86EA59D-31B7-4BC2-B3AD-737D5ED9E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58C2DAC3.dotm</Template>
  <TotalTime>1</TotalTime>
  <Pages>7</Pages>
  <Words>1554</Words>
  <Characters>8862</Characters>
  <Application>Microsoft Office Word</Application>
  <DocSecurity>4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EIA toolkit </vt:lpstr>
    </vt:vector>
  </TitlesOfParts>
  <Company>GBC</Company>
  <LinksUpToDate>false</LinksUpToDate>
  <CharactersWithSpaces>10396</CharactersWithSpaces>
  <SharedDoc>false</SharedDoc>
  <HLinks>
    <vt:vector size="6" baseType="variant">
      <vt:variant>
        <vt:i4>4325413</vt:i4>
      </vt:variant>
      <vt:variant>
        <vt:i4>0</vt:i4>
      </vt:variant>
      <vt:variant>
        <vt:i4>0</vt:i4>
      </vt:variant>
      <vt:variant>
        <vt:i4>5</vt:i4>
      </vt:variant>
      <vt:variant>
        <vt:lpwstr>mailto:equality@bathnes.gov.uk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EIA toolkit </dc:title>
  <dc:subject/>
  <dc:creator>robin.daly</dc:creator>
  <cp:keywords/>
  <cp:lastModifiedBy>Louise Murphy</cp:lastModifiedBy>
  <cp:revision>2</cp:revision>
  <cp:lastPrinted>2013-05-20T14:49:00Z</cp:lastPrinted>
  <dcterms:created xsi:type="dcterms:W3CDTF">2013-07-11T08:25:00Z</dcterms:created>
  <dcterms:modified xsi:type="dcterms:W3CDTF">2013-07-11T08:25:00Z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