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76" w:rsidRPr="002F4043" w:rsidRDefault="00F27167" w:rsidP="00D47376">
      <w:pPr>
        <w:pStyle w:val="Title"/>
        <w:ind w:left="0" w:firstLine="0"/>
        <w:rPr>
          <w:rFonts w:ascii="Arial" w:hAnsi="Arial" w:cs="Arial"/>
          <w:szCs w:val="24"/>
        </w:rPr>
      </w:pPr>
      <w:r>
        <w:rPr>
          <w:rFonts w:ascii="Arial" w:hAnsi="Arial" w:cs="Arial"/>
          <w:noProof/>
          <w:szCs w:val="24"/>
          <w:lang w:eastAsia="en-GB"/>
        </w:rPr>
        <w:pict>
          <v:shapetype id="_x0000_t202" coordsize="21600,21600" o:spt="202" path="m,l,21600r21600,l21600,xe">
            <v:stroke joinstyle="miter"/>
            <v:path gradientshapeok="t" o:connecttype="rect"/>
          </v:shapetype>
          <v:shape id="Text Box 1" o:spid="_x0000_s1026" type="#_x0000_t202" style="position:absolute;left:0;text-align:left;margin-left:421.5pt;margin-top:.4pt;width:46.3pt;height:36pt;z-index:25165824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">
            <v:textbox>
              <w:txbxContent>
                <w:p w:rsidR="00410A12" w:rsidRPr="00F27167" w:rsidRDefault="005E41B1" w:rsidP="00410A12">
                  <w:pPr>
                    <w:jc w:val="center"/>
                    <w:rPr>
                      <w:rFonts w:ascii="Arial" w:hAnsi="Arial" w:cs="Arial"/>
                      <w:b/>
                      <w:sz w:val="44"/>
                      <w:szCs w:val="44"/>
                    </w:rPr>
                  </w:pPr>
                  <w:r w:rsidRPr="00F27167">
                    <w:rPr>
                      <w:rFonts w:ascii="Arial" w:hAnsi="Arial" w:cs="Arial"/>
                      <w:b/>
                      <w:sz w:val="44"/>
                      <w:szCs w:val="44"/>
                    </w:rPr>
                    <w:t>9.4</w:t>
                  </w:r>
                </w:p>
              </w:txbxContent>
            </v:textbox>
          </v:shape>
        </w:pict>
      </w:r>
      <w:r w:rsidR="007870FB">
        <w:rPr>
          <w:rFonts w:ascii="Arial" w:hAnsi="Arial" w:cs="Arial"/>
          <w:szCs w:val="24"/>
        </w:rPr>
        <w:t>SCHOOL</w:t>
      </w:r>
      <w:r w:rsidR="005F718E">
        <w:rPr>
          <w:rFonts w:ascii="Arial" w:hAnsi="Arial" w:cs="Arial"/>
          <w:szCs w:val="24"/>
        </w:rPr>
        <w:t>S’</w:t>
      </w:r>
      <w:r w:rsidR="00D47376" w:rsidRPr="002F4043">
        <w:rPr>
          <w:rFonts w:ascii="Arial" w:hAnsi="Arial" w:cs="Arial"/>
          <w:szCs w:val="24"/>
        </w:rPr>
        <w:t xml:space="preserve"> FORUM</w:t>
      </w:r>
    </w:p>
    <w:p w:rsidR="00D47376" w:rsidRPr="002F4043" w:rsidRDefault="00D47376" w:rsidP="00D47376">
      <w:pPr>
        <w:pStyle w:val="Title"/>
        <w:rPr>
          <w:rFonts w:ascii="Arial" w:hAnsi="Arial" w:cs="Arial"/>
          <w:szCs w:val="24"/>
        </w:rPr>
      </w:pPr>
      <w:bookmarkStart w:id="0" w:name="_GoBack"/>
      <w:bookmarkEnd w:id="0"/>
    </w:p>
    <w:p w:rsidR="00634915" w:rsidRPr="002F4043" w:rsidRDefault="00072B65" w:rsidP="00634915">
      <w:pPr>
        <w:pStyle w:val="Title"/>
        <w:rPr>
          <w:rFonts w:ascii="Arial" w:hAnsi="Arial" w:cs="Arial"/>
          <w:szCs w:val="24"/>
        </w:rPr>
      </w:pPr>
      <w:r>
        <w:rPr>
          <w:rFonts w:ascii="Arial" w:hAnsi="Arial" w:cs="Arial"/>
          <w:szCs w:val="24"/>
        </w:rPr>
        <w:t xml:space="preserve">Date: </w:t>
      </w:r>
      <w:r w:rsidR="002C05E7" w:rsidRPr="0002650D">
        <w:rPr>
          <w:rFonts w:ascii="Arial" w:hAnsi="Arial" w:cs="Arial"/>
          <w:b w:val="0"/>
          <w:szCs w:val="24"/>
        </w:rPr>
        <w:t>November 2</w:t>
      </w:r>
      <w:r w:rsidRPr="0002650D">
        <w:rPr>
          <w:rFonts w:ascii="Arial" w:hAnsi="Arial" w:cs="Arial"/>
          <w:b w:val="0"/>
          <w:szCs w:val="24"/>
        </w:rPr>
        <w:t>016</w:t>
      </w:r>
    </w:p>
    <w:p w:rsidR="00634915" w:rsidRPr="002F4043" w:rsidRDefault="00634915" w:rsidP="00634915">
      <w:pPr>
        <w:pStyle w:val="Title"/>
        <w:rPr>
          <w:rFonts w:ascii="Arial" w:hAnsi="Arial" w:cs="Arial"/>
          <w:szCs w:val="24"/>
        </w:rPr>
      </w:pPr>
    </w:p>
    <w:p w:rsidR="00D47376" w:rsidRPr="002F4043" w:rsidRDefault="00D47376" w:rsidP="00634915">
      <w:pPr>
        <w:pStyle w:val="Title"/>
        <w:rPr>
          <w:rFonts w:ascii="Arial" w:hAnsi="Arial" w:cs="Arial"/>
          <w:b w:val="0"/>
          <w:szCs w:val="24"/>
        </w:rPr>
      </w:pPr>
      <w:r w:rsidRPr="002F4043">
        <w:rPr>
          <w:rFonts w:ascii="Arial" w:hAnsi="Arial" w:cs="Arial"/>
          <w:szCs w:val="24"/>
        </w:rPr>
        <w:t>Heading:</w:t>
      </w:r>
      <w:r w:rsidRPr="002F4043">
        <w:rPr>
          <w:rFonts w:ascii="Arial" w:hAnsi="Arial" w:cs="Arial"/>
          <w:b w:val="0"/>
          <w:szCs w:val="24"/>
        </w:rPr>
        <w:t xml:space="preserve"> </w:t>
      </w:r>
      <w:r w:rsidR="00A5456E">
        <w:rPr>
          <w:rFonts w:ascii="Arial" w:hAnsi="Arial" w:cs="Arial"/>
          <w:b w:val="0"/>
          <w:szCs w:val="24"/>
        </w:rPr>
        <w:t xml:space="preserve">Early Years SEND Report </w:t>
      </w:r>
      <w:r w:rsidR="002F4043">
        <w:rPr>
          <w:rFonts w:ascii="Arial" w:hAnsi="Arial" w:cs="Arial"/>
          <w:b w:val="0"/>
          <w:szCs w:val="24"/>
        </w:rPr>
        <w:t xml:space="preserve"> </w:t>
      </w:r>
    </w:p>
    <w:p w:rsidR="00D47376" w:rsidRPr="00C31B1B" w:rsidRDefault="00D47376" w:rsidP="00D47376">
      <w:pPr>
        <w:jc w:val="center"/>
        <w:rPr>
          <w:rFonts w:ascii="Arial" w:hAnsi="Arial" w:cs="Arial"/>
          <w:b/>
          <w:sz w:val="16"/>
        </w:rPr>
      </w:pPr>
    </w:p>
    <w:tbl>
      <w:tblPr>
        <w:tblW w:w="10207" w:type="dxa"/>
        <w:tblCellSpacing w:w="20" w:type="dxa"/>
        <w:tblInd w:w="-106" w:type="dxa"/>
        <w:tblBorders>
          <w:top w:val="inset" w:sz="12" w:space="0" w:color="000080"/>
          <w:left w:val="inset" w:sz="12" w:space="0" w:color="000080"/>
          <w:bottom w:val="outset" w:sz="12" w:space="0" w:color="000080"/>
          <w:right w:val="outset" w:sz="12" w:space="0" w:color="000080"/>
          <w:insideH w:val="single" w:sz="6" w:space="0" w:color="000080"/>
          <w:insideV w:val="single" w:sz="6" w:space="0" w:color="000080"/>
        </w:tblBorders>
        <w:tblLook w:val="01E0" w:firstRow="1" w:lastRow="1" w:firstColumn="1" w:lastColumn="1" w:noHBand="0" w:noVBand="0"/>
      </w:tblPr>
      <w:tblGrid>
        <w:gridCol w:w="2388"/>
        <w:gridCol w:w="7819"/>
      </w:tblGrid>
      <w:tr w:rsidR="00D47376" w:rsidRPr="002F4043" w:rsidTr="000F4DB3">
        <w:trPr>
          <w:tblCellSpacing w:w="20" w:type="dxa"/>
        </w:trPr>
        <w:tc>
          <w:tcPr>
            <w:tcW w:w="2045" w:type="dxa"/>
            <w:tcBorders>
              <w:top w:val="inset" w:sz="12" w:space="0" w:color="000080"/>
            </w:tcBorders>
            <w:shd w:val="clear" w:color="auto" w:fill="E1E1FF"/>
          </w:tcPr>
          <w:p w:rsidR="00D47376" w:rsidRPr="002F4043" w:rsidRDefault="00D47376" w:rsidP="00125D8A">
            <w:pPr>
              <w:rPr>
                <w:rFonts w:ascii="Arial" w:hAnsi="Arial" w:cs="Arial"/>
                <w:b/>
              </w:rPr>
            </w:pPr>
            <w:r w:rsidRPr="002F4043">
              <w:rPr>
                <w:rFonts w:ascii="Arial" w:hAnsi="Arial" w:cs="Arial"/>
                <w:b/>
              </w:rPr>
              <w:t>Lead Officer</w:t>
            </w:r>
            <w:r w:rsidR="002C05E7">
              <w:rPr>
                <w:rFonts w:ascii="Arial" w:hAnsi="Arial" w:cs="Arial"/>
                <w:b/>
              </w:rPr>
              <w:t>/s</w:t>
            </w:r>
          </w:p>
        </w:tc>
        <w:tc>
          <w:tcPr>
            <w:tcW w:w="8042" w:type="dxa"/>
            <w:tcBorders>
              <w:top w:val="inset" w:sz="12" w:space="0" w:color="000080"/>
            </w:tcBorders>
          </w:tcPr>
          <w:p w:rsidR="00D47376" w:rsidRPr="002C05E7" w:rsidRDefault="00381C45" w:rsidP="00072B65">
            <w:pPr>
              <w:rPr>
                <w:rFonts w:ascii="Arial" w:hAnsi="Arial" w:cs="Arial"/>
                <w:color w:val="000000" w:themeColor="text1"/>
              </w:rPr>
            </w:pPr>
            <w:r>
              <w:rPr>
                <w:rFonts w:ascii="Arial" w:hAnsi="Arial" w:cs="Arial"/>
                <w:color w:val="000000" w:themeColor="text1"/>
              </w:rPr>
              <w:t>Chris</w:t>
            </w:r>
            <w:r w:rsidR="001728D0">
              <w:rPr>
                <w:rFonts w:ascii="Arial" w:hAnsi="Arial" w:cs="Arial"/>
                <w:color w:val="000000" w:themeColor="text1"/>
              </w:rPr>
              <w:t>topher</w:t>
            </w:r>
            <w:r>
              <w:rPr>
                <w:rFonts w:ascii="Arial" w:hAnsi="Arial" w:cs="Arial"/>
                <w:color w:val="000000" w:themeColor="text1"/>
              </w:rPr>
              <w:t xml:space="preserve"> Wilford</w:t>
            </w:r>
            <w:r w:rsidR="002C05E7">
              <w:rPr>
                <w:rFonts w:ascii="Arial" w:hAnsi="Arial" w:cs="Arial"/>
                <w:color w:val="000000" w:themeColor="text1"/>
              </w:rPr>
              <w:t xml:space="preserve"> and Nic</w:t>
            </w:r>
            <w:r w:rsidR="001728D0">
              <w:rPr>
                <w:rFonts w:ascii="Arial" w:hAnsi="Arial" w:cs="Arial"/>
                <w:color w:val="000000" w:themeColor="text1"/>
              </w:rPr>
              <w:t>holas</w:t>
            </w:r>
            <w:r w:rsidR="002C05E7">
              <w:rPr>
                <w:rFonts w:ascii="Arial" w:hAnsi="Arial" w:cs="Arial"/>
                <w:color w:val="000000" w:themeColor="text1"/>
              </w:rPr>
              <w:t xml:space="preserve"> Fortt</w:t>
            </w:r>
          </w:p>
        </w:tc>
      </w:tr>
      <w:tr w:rsidR="00D47376" w:rsidRPr="002F4043" w:rsidTr="000F4DB3">
        <w:trPr>
          <w:tblCellSpacing w:w="20" w:type="dxa"/>
        </w:trPr>
        <w:tc>
          <w:tcPr>
            <w:tcW w:w="2045" w:type="dxa"/>
            <w:shd w:val="clear" w:color="auto" w:fill="E1E1FF"/>
          </w:tcPr>
          <w:p w:rsidR="00D47376" w:rsidRPr="002F4043" w:rsidRDefault="00D47376" w:rsidP="00125D8A">
            <w:pPr>
              <w:rPr>
                <w:rFonts w:ascii="Arial" w:hAnsi="Arial" w:cs="Arial"/>
                <w:b/>
              </w:rPr>
            </w:pPr>
            <w:r w:rsidRPr="002F4043">
              <w:rPr>
                <w:rFonts w:ascii="Arial" w:hAnsi="Arial" w:cs="Arial"/>
                <w:b/>
              </w:rPr>
              <w:t>Contact details</w:t>
            </w:r>
          </w:p>
        </w:tc>
        <w:tc>
          <w:tcPr>
            <w:tcW w:w="8042" w:type="dxa"/>
          </w:tcPr>
          <w:p w:rsidR="00D47376" w:rsidRPr="002F4043" w:rsidRDefault="00F27167" w:rsidP="00381C45">
            <w:pPr>
              <w:rPr>
                <w:rFonts w:ascii="Arial" w:hAnsi="Arial" w:cs="Arial"/>
                <w:b/>
              </w:rPr>
            </w:pPr>
            <w:hyperlink r:id="rId9" w:history="1">
              <w:r w:rsidR="00381C45" w:rsidRPr="00381C45">
                <w:rPr>
                  <w:rStyle w:val="Hyperlink"/>
                  <w:rFonts w:ascii="Arial" w:hAnsi="Arial" w:cs="Arial"/>
                  <w:b/>
                  <w:sz w:val="22"/>
                </w:rPr>
                <w:t>Christopher_wilford@bathnes.gov.uk</w:t>
              </w:r>
            </w:hyperlink>
            <w:r w:rsidR="00381C45" w:rsidRPr="00381C45">
              <w:rPr>
                <w:rFonts w:ascii="Arial" w:hAnsi="Arial" w:cs="Arial"/>
                <w:b/>
                <w:sz w:val="22"/>
              </w:rPr>
              <w:t xml:space="preserve"> ; </w:t>
            </w:r>
            <w:hyperlink r:id="rId10" w:history="1">
              <w:r w:rsidR="00A5456E" w:rsidRPr="00381C45">
                <w:rPr>
                  <w:rStyle w:val="Hyperlink"/>
                  <w:rFonts w:ascii="Arial" w:hAnsi="Arial" w:cs="Arial"/>
                  <w:b/>
                  <w:sz w:val="22"/>
                </w:rPr>
                <w:t>Nicholas_fortt@bathnes.gov.uk</w:t>
              </w:r>
            </w:hyperlink>
          </w:p>
        </w:tc>
      </w:tr>
      <w:tr w:rsidR="00D47376" w:rsidRPr="002F4043" w:rsidTr="000F4DB3">
        <w:trPr>
          <w:tblCellSpacing w:w="20" w:type="dxa"/>
        </w:trPr>
        <w:tc>
          <w:tcPr>
            <w:tcW w:w="2045" w:type="dxa"/>
            <w:shd w:val="clear" w:color="auto" w:fill="E1E1FF"/>
          </w:tcPr>
          <w:p w:rsidR="00D47376" w:rsidRPr="002F4043" w:rsidRDefault="00D47376" w:rsidP="00A5456E">
            <w:pPr>
              <w:rPr>
                <w:rFonts w:ascii="Arial" w:hAnsi="Arial" w:cs="Arial"/>
                <w:b/>
              </w:rPr>
            </w:pPr>
            <w:r w:rsidRPr="002F4043">
              <w:rPr>
                <w:rFonts w:ascii="Arial" w:hAnsi="Arial" w:cs="Arial"/>
                <w:b/>
              </w:rPr>
              <w:t>Forum asked to be informed</w:t>
            </w:r>
            <w:r w:rsidR="00AC0192">
              <w:rPr>
                <w:rFonts w:ascii="Arial" w:hAnsi="Arial" w:cs="Arial"/>
                <w:b/>
              </w:rPr>
              <w:t>/decision</w:t>
            </w:r>
          </w:p>
        </w:tc>
        <w:tc>
          <w:tcPr>
            <w:tcW w:w="8042" w:type="dxa"/>
          </w:tcPr>
          <w:p w:rsidR="006122D0" w:rsidRDefault="00A5456E" w:rsidP="00FF1FE8">
            <w:pPr>
              <w:rPr>
                <w:rFonts w:ascii="Arial" w:hAnsi="Arial" w:cs="Arial"/>
              </w:rPr>
            </w:pPr>
            <w:r>
              <w:rPr>
                <w:rFonts w:ascii="Arial" w:hAnsi="Arial" w:cs="Arial"/>
              </w:rPr>
              <w:t xml:space="preserve">To note how </w:t>
            </w:r>
            <w:r w:rsidR="00072B65">
              <w:rPr>
                <w:rFonts w:ascii="Arial" w:hAnsi="Arial" w:cs="Arial"/>
              </w:rPr>
              <w:t>School</w:t>
            </w:r>
            <w:r w:rsidR="005F718E">
              <w:rPr>
                <w:rFonts w:ascii="Arial" w:hAnsi="Arial" w:cs="Arial"/>
              </w:rPr>
              <w:t>s’</w:t>
            </w:r>
            <w:r w:rsidR="00072B65">
              <w:rPr>
                <w:rFonts w:ascii="Arial" w:hAnsi="Arial" w:cs="Arial"/>
              </w:rPr>
              <w:t xml:space="preserve"> </w:t>
            </w:r>
            <w:r>
              <w:rPr>
                <w:rFonts w:ascii="Arial" w:hAnsi="Arial" w:cs="Arial"/>
              </w:rPr>
              <w:t xml:space="preserve">Forum funding is being spent </w:t>
            </w:r>
            <w:r w:rsidR="00215753">
              <w:rPr>
                <w:rFonts w:ascii="Arial" w:hAnsi="Arial" w:cs="Arial"/>
              </w:rPr>
              <w:t>supporting children with</w:t>
            </w:r>
            <w:r w:rsidRPr="00A5456E">
              <w:rPr>
                <w:rFonts w:ascii="Arial" w:hAnsi="Arial" w:cs="Arial"/>
              </w:rPr>
              <w:t xml:space="preserve"> </w:t>
            </w:r>
            <w:r w:rsidR="00634030" w:rsidRPr="00634030">
              <w:rPr>
                <w:rFonts w:ascii="Arial" w:hAnsi="Arial" w:cs="Arial"/>
              </w:rPr>
              <w:t>complex and high level special educational needs</w:t>
            </w:r>
            <w:r w:rsidR="00634030" w:rsidRPr="00215753">
              <w:rPr>
                <w:rFonts w:ascii="Arial" w:hAnsi="Arial" w:cs="Arial"/>
                <w:sz w:val="23"/>
                <w:szCs w:val="23"/>
              </w:rPr>
              <w:t xml:space="preserve"> </w:t>
            </w:r>
            <w:r w:rsidR="00215753">
              <w:rPr>
                <w:rFonts w:ascii="Arial" w:hAnsi="Arial" w:cs="Arial"/>
              </w:rPr>
              <w:t>transition</w:t>
            </w:r>
            <w:r w:rsidR="00634030">
              <w:rPr>
                <w:rFonts w:ascii="Arial" w:hAnsi="Arial" w:cs="Arial"/>
              </w:rPr>
              <w:t>ing</w:t>
            </w:r>
            <w:r w:rsidR="00215753">
              <w:rPr>
                <w:rFonts w:ascii="Arial" w:hAnsi="Arial" w:cs="Arial"/>
              </w:rPr>
              <w:t xml:space="preserve"> to school (Transition Support Funding – TSF).</w:t>
            </w:r>
          </w:p>
          <w:p w:rsidR="006122D0" w:rsidRDefault="006122D0" w:rsidP="00FF1FE8">
            <w:pPr>
              <w:rPr>
                <w:rFonts w:ascii="Arial" w:hAnsi="Arial" w:cs="Arial"/>
              </w:rPr>
            </w:pPr>
          </w:p>
          <w:p w:rsidR="00FF1FE8" w:rsidRPr="00FF1FE8" w:rsidRDefault="006039EB" w:rsidP="00DF3F06">
            <w:pPr>
              <w:rPr>
                <w:rFonts w:ascii="Arial" w:hAnsi="Arial" w:cs="Arial"/>
              </w:rPr>
            </w:pPr>
            <w:r>
              <w:rPr>
                <w:rFonts w:ascii="Arial" w:hAnsi="Arial" w:cs="Arial"/>
              </w:rPr>
              <w:t>To propose</w:t>
            </w:r>
            <w:r w:rsidR="00AC0192" w:rsidRPr="00AC0192">
              <w:rPr>
                <w:rFonts w:ascii="Arial" w:hAnsi="Arial" w:cs="Arial"/>
              </w:rPr>
              <w:t xml:space="preserve"> an increase in b</w:t>
            </w:r>
            <w:r w:rsidR="007473B9">
              <w:rPr>
                <w:rFonts w:ascii="Arial" w:hAnsi="Arial" w:cs="Arial"/>
              </w:rPr>
              <w:t xml:space="preserve">udget of </w:t>
            </w:r>
            <w:r w:rsidR="007473B9" w:rsidRPr="00934F40">
              <w:rPr>
                <w:rFonts w:ascii="Arial" w:hAnsi="Arial" w:cs="Arial"/>
                <w:b/>
              </w:rPr>
              <w:t>£</w:t>
            </w:r>
            <w:r w:rsidR="00DF3F06">
              <w:rPr>
                <w:rFonts w:ascii="Arial" w:hAnsi="Arial" w:cs="Arial"/>
                <w:b/>
              </w:rPr>
              <w:t>105</w:t>
            </w:r>
            <w:r w:rsidR="00934F40" w:rsidRPr="00934F40">
              <w:rPr>
                <w:rFonts w:ascii="Arial" w:hAnsi="Arial" w:cs="Arial"/>
                <w:b/>
              </w:rPr>
              <w:t>,000</w:t>
            </w:r>
            <w:r w:rsidR="00934F40">
              <w:rPr>
                <w:rFonts w:ascii="Arial" w:hAnsi="Arial" w:cs="Arial"/>
              </w:rPr>
              <w:t xml:space="preserve"> f</w:t>
            </w:r>
            <w:r w:rsidR="00DB7878">
              <w:rPr>
                <w:rFonts w:ascii="Arial" w:hAnsi="Arial" w:cs="Arial"/>
              </w:rPr>
              <w:t>rom</w:t>
            </w:r>
            <w:r w:rsidR="00934F40">
              <w:rPr>
                <w:rFonts w:ascii="Arial" w:hAnsi="Arial" w:cs="Arial"/>
              </w:rPr>
              <w:t xml:space="preserve"> 201</w:t>
            </w:r>
            <w:r w:rsidR="00613230">
              <w:rPr>
                <w:rFonts w:ascii="Arial" w:hAnsi="Arial" w:cs="Arial"/>
              </w:rPr>
              <w:t>7</w:t>
            </w:r>
            <w:r w:rsidR="00934F40">
              <w:rPr>
                <w:rFonts w:ascii="Arial" w:hAnsi="Arial" w:cs="Arial"/>
              </w:rPr>
              <w:t>-201</w:t>
            </w:r>
            <w:r w:rsidR="00613230">
              <w:rPr>
                <w:rFonts w:ascii="Arial" w:hAnsi="Arial" w:cs="Arial"/>
              </w:rPr>
              <w:t>8</w:t>
            </w:r>
            <w:r>
              <w:rPr>
                <w:rFonts w:ascii="Arial" w:hAnsi="Arial" w:cs="Arial"/>
              </w:rPr>
              <w:t xml:space="preserve"> in order to deliver a better system for schools &amp; CYP. </w:t>
            </w:r>
            <w:r w:rsidR="00215753">
              <w:rPr>
                <w:rFonts w:ascii="Arial" w:hAnsi="Arial" w:cs="Arial"/>
              </w:rPr>
              <w:t xml:space="preserve">This will mean a total budget of </w:t>
            </w:r>
            <w:r w:rsidR="00DF3F06">
              <w:rPr>
                <w:rFonts w:ascii="Arial" w:hAnsi="Arial" w:cs="Arial"/>
              </w:rPr>
              <w:t>£225,</w:t>
            </w:r>
            <w:r w:rsidR="00215753" w:rsidRPr="0086410B">
              <w:rPr>
                <w:rFonts w:ascii="Arial" w:hAnsi="Arial" w:cs="Arial"/>
              </w:rPr>
              <w:t>000</w:t>
            </w:r>
            <w:r w:rsidR="00215753">
              <w:rPr>
                <w:rFonts w:ascii="Arial" w:hAnsi="Arial" w:cs="Arial"/>
              </w:rPr>
              <w:t xml:space="preserve"> for TSF.</w:t>
            </w:r>
          </w:p>
        </w:tc>
      </w:tr>
      <w:tr w:rsidR="00D47376" w:rsidRPr="002F4043" w:rsidTr="000F4DB3">
        <w:trPr>
          <w:tblCellSpacing w:w="20" w:type="dxa"/>
        </w:trPr>
        <w:tc>
          <w:tcPr>
            <w:tcW w:w="2045" w:type="dxa"/>
            <w:tcBorders>
              <w:bottom w:val="outset" w:sz="12" w:space="0" w:color="000080"/>
            </w:tcBorders>
            <w:shd w:val="clear" w:color="auto" w:fill="E1E1FF"/>
          </w:tcPr>
          <w:p w:rsidR="00D47376" w:rsidRPr="002F4043" w:rsidRDefault="00D47376" w:rsidP="00125D8A">
            <w:pPr>
              <w:rPr>
                <w:rFonts w:ascii="Arial" w:hAnsi="Arial" w:cs="Arial"/>
                <w:b/>
              </w:rPr>
            </w:pPr>
            <w:r w:rsidRPr="002F4043">
              <w:rPr>
                <w:rFonts w:ascii="Arial" w:hAnsi="Arial" w:cs="Arial"/>
                <w:b/>
              </w:rPr>
              <w:t>Time Needed</w:t>
            </w:r>
          </w:p>
        </w:tc>
        <w:tc>
          <w:tcPr>
            <w:tcW w:w="8042" w:type="dxa"/>
            <w:tcBorders>
              <w:bottom w:val="outset" w:sz="12" w:space="0" w:color="000080"/>
            </w:tcBorders>
          </w:tcPr>
          <w:p w:rsidR="00A5456E" w:rsidRPr="002F4043" w:rsidRDefault="00613230" w:rsidP="00A5456E">
            <w:pPr>
              <w:rPr>
                <w:rFonts w:ascii="Arial" w:hAnsi="Arial" w:cs="Arial"/>
                <w:b/>
              </w:rPr>
            </w:pPr>
            <w:r w:rsidRPr="00DF3F06">
              <w:rPr>
                <w:rFonts w:ascii="Arial" w:hAnsi="Arial" w:cs="Arial"/>
                <w:b/>
              </w:rPr>
              <w:t>10</w:t>
            </w:r>
            <w:r>
              <w:rPr>
                <w:rFonts w:ascii="Arial" w:hAnsi="Arial" w:cs="Arial"/>
                <w:b/>
              </w:rPr>
              <w:t xml:space="preserve"> minutes</w:t>
            </w:r>
          </w:p>
        </w:tc>
      </w:tr>
    </w:tbl>
    <w:p w:rsidR="00D47376" w:rsidRPr="002F4043" w:rsidRDefault="00D47376" w:rsidP="00D47376">
      <w:pPr>
        <w:rPr>
          <w:rFonts w:ascii="Arial" w:hAnsi="Arial" w:cs="Arial"/>
          <w:b/>
        </w:rPr>
      </w:pPr>
    </w:p>
    <w:p w:rsidR="00A5456E" w:rsidRDefault="00215753" w:rsidP="00D7500E">
      <w:pPr>
        <w:pStyle w:val="ListParagraph"/>
        <w:numPr>
          <w:ilvl w:val="0"/>
          <w:numId w:val="22"/>
        </w:numPr>
        <w:ind w:left="426"/>
        <w:rPr>
          <w:rFonts w:cs="Arial"/>
          <w:b/>
          <w:sz w:val="23"/>
          <w:szCs w:val="23"/>
        </w:rPr>
      </w:pPr>
      <w:r>
        <w:rPr>
          <w:rFonts w:cs="Arial"/>
          <w:b/>
          <w:sz w:val="23"/>
          <w:szCs w:val="23"/>
        </w:rPr>
        <w:t>Transition Support Funding</w:t>
      </w:r>
      <w:r w:rsidR="00634030">
        <w:rPr>
          <w:rFonts w:cs="Arial"/>
          <w:b/>
          <w:sz w:val="23"/>
          <w:szCs w:val="23"/>
        </w:rPr>
        <w:t xml:space="preserve"> </w:t>
      </w:r>
      <w:r>
        <w:rPr>
          <w:rFonts w:cs="Arial"/>
          <w:b/>
          <w:sz w:val="23"/>
          <w:szCs w:val="23"/>
        </w:rPr>
        <w:t>– Background</w:t>
      </w:r>
    </w:p>
    <w:p w:rsidR="00215753" w:rsidRDefault="00215753" w:rsidP="00215753">
      <w:pPr>
        <w:rPr>
          <w:rFonts w:cs="Arial"/>
        </w:rPr>
      </w:pPr>
    </w:p>
    <w:p w:rsidR="00215753" w:rsidRPr="00215753" w:rsidRDefault="00215753" w:rsidP="00215753">
      <w:pPr>
        <w:rPr>
          <w:rFonts w:ascii="Arial" w:hAnsi="Arial" w:cs="Arial"/>
          <w:sz w:val="23"/>
          <w:szCs w:val="23"/>
        </w:rPr>
      </w:pPr>
      <w:r w:rsidRPr="00215753">
        <w:rPr>
          <w:rFonts w:ascii="Arial" w:hAnsi="Arial" w:cs="Arial"/>
          <w:sz w:val="23"/>
          <w:szCs w:val="23"/>
        </w:rPr>
        <w:t xml:space="preserve">Transition Support Funding </w:t>
      </w:r>
      <w:r w:rsidR="00634030">
        <w:rPr>
          <w:rFonts w:ascii="Arial" w:hAnsi="Arial" w:cs="Arial"/>
          <w:sz w:val="23"/>
          <w:szCs w:val="23"/>
        </w:rPr>
        <w:t xml:space="preserve">(TSF) </w:t>
      </w:r>
      <w:r w:rsidRPr="00215753">
        <w:rPr>
          <w:rFonts w:ascii="Arial" w:hAnsi="Arial" w:cs="Arial"/>
          <w:sz w:val="23"/>
          <w:szCs w:val="23"/>
        </w:rPr>
        <w:t xml:space="preserve">was introduced in 2011.  This funding mechanism was originally designed to support children with </w:t>
      </w:r>
      <w:r w:rsidR="00A85F7D">
        <w:rPr>
          <w:rFonts w:ascii="Arial" w:hAnsi="Arial" w:cs="Arial"/>
          <w:sz w:val="23"/>
          <w:szCs w:val="23"/>
        </w:rPr>
        <w:t>complex and high-</w:t>
      </w:r>
      <w:r w:rsidRPr="00215753">
        <w:rPr>
          <w:rFonts w:ascii="Arial" w:hAnsi="Arial" w:cs="Arial"/>
          <w:sz w:val="23"/>
          <w:szCs w:val="23"/>
        </w:rPr>
        <w:t>level special educational needs and disabilities</w:t>
      </w:r>
      <w:r w:rsidR="009337DF">
        <w:rPr>
          <w:rFonts w:ascii="Arial" w:hAnsi="Arial" w:cs="Arial"/>
          <w:sz w:val="23"/>
          <w:szCs w:val="23"/>
        </w:rPr>
        <w:t xml:space="preserve"> (SEND)</w:t>
      </w:r>
      <w:r w:rsidRPr="00215753">
        <w:rPr>
          <w:rFonts w:ascii="Arial" w:hAnsi="Arial" w:cs="Arial"/>
          <w:sz w:val="23"/>
          <w:szCs w:val="23"/>
        </w:rPr>
        <w:t xml:space="preserve"> who were likely to meet the threshold for a statutory assessment, but in their pre-school year might not present with the level of evidence required for a statutory plan to be in place by the time they started school.  TSF was also developed as part of a preventative SEN strategy, providing support at a crucial transition time in order to reduce the likelihood of a statutory plan being required at a later date.  Ev</w:t>
      </w:r>
      <w:r>
        <w:rPr>
          <w:rFonts w:ascii="Arial" w:hAnsi="Arial" w:cs="Arial"/>
          <w:sz w:val="23"/>
          <w:szCs w:val="23"/>
        </w:rPr>
        <w:t>idence collected over the last 5</w:t>
      </w:r>
      <w:r w:rsidRPr="00215753">
        <w:rPr>
          <w:rFonts w:ascii="Arial" w:hAnsi="Arial" w:cs="Arial"/>
          <w:sz w:val="23"/>
          <w:szCs w:val="23"/>
        </w:rPr>
        <w:t xml:space="preserve"> years has shown that arou</w:t>
      </w:r>
      <w:r w:rsidR="00A85F7D">
        <w:rPr>
          <w:rFonts w:ascii="Arial" w:hAnsi="Arial" w:cs="Arial"/>
          <w:sz w:val="23"/>
          <w:szCs w:val="23"/>
        </w:rPr>
        <w:t>nd 50% of TSF funded children did</w:t>
      </w:r>
      <w:r w:rsidRPr="00215753">
        <w:rPr>
          <w:rFonts w:ascii="Arial" w:hAnsi="Arial" w:cs="Arial"/>
          <w:sz w:val="23"/>
          <w:szCs w:val="23"/>
        </w:rPr>
        <w:t xml:space="preserve"> not require a st</w:t>
      </w:r>
      <w:r w:rsidR="007C70E9">
        <w:rPr>
          <w:rFonts w:ascii="Arial" w:hAnsi="Arial" w:cs="Arial"/>
          <w:sz w:val="23"/>
          <w:szCs w:val="23"/>
        </w:rPr>
        <w:t>atutory plan (Statement or EHC p</w:t>
      </w:r>
      <w:r w:rsidRPr="00215753">
        <w:rPr>
          <w:rFonts w:ascii="Arial" w:hAnsi="Arial" w:cs="Arial"/>
          <w:sz w:val="23"/>
          <w:szCs w:val="23"/>
        </w:rPr>
        <w:t>lan) once in school.</w:t>
      </w:r>
    </w:p>
    <w:p w:rsidR="000529AB" w:rsidRDefault="000529AB" w:rsidP="00A5456E">
      <w:pPr>
        <w:rPr>
          <w:rFonts w:ascii="Arial" w:hAnsi="Arial" w:cs="Arial"/>
          <w:sz w:val="23"/>
          <w:szCs w:val="23"/>
        </w:rPr>
      </w:pPr>
    </w:p>
    <w:p w:rsidR="00351B31" w:rsidRDefault="00351B31" w:rsidP="00D7500E">
      <w:pPr>
        <w:pStyle w:val="ListParagraph"/>
        <w:numPr>
          <w:ilvl w:val="0"/>
          <w:numId w:val="26"/>
        </w:numPr>
        <w:ind w:left="426"/>
        <w:rPr>
          <w:rFonts w:cs="Arial"/>
          <w:b/>
          <w:sz w:val="23"/>
          <w:szCs w:val="23"/>
        </w:rPr>
      </w:pPr>
      <w:r>
        <w:rPr>
          <w:rFonts w:cs="Arial"/>
          <w:b/>
          <w:sz w:val="23"/>
          <w:szCs w:val="23"/>
        </w:rPr>
        <w:t>The need for extra funding</w:t>
      </w:r>
      <w:r w:rsidR="00AC5A81">
        <w:rPr>
          <w:rFonts w:cs="Arial"/>
          <w:b/>
          <w:sz w:val="23"/>
          <w:szCs w:val="23"/>
        </w:rPr>
        <w:t xml:space="preserve"> and changes</w:t>
      </w:r>
    </w:p>
    <w:p w:rsidR="00D91235" w:rsidRDefault="00D91235" w:rsidP="00D91235">
      <w:pPr>
        <w:rPr>
          <w:rFonts w:cs="Arial"/>
          <w:b/>
          <w:sz w:val="23"/>
          <w:szCs w:val="23"/>
        </w:rPr>
      </w:pPr>
    </w:p>
    <w:p w:rsidR="00215753" w:rsidRPr="00215753" w:rsidRDefault="00215753" w:rsidP="00215753">
      <w:pPr>
        <w:rPr>
          <w:rFonts w:ascii="Arial" w:hAnsi="Arial" w:cs="Arial"/>
          <w:sz w:val="23"/>
          <w:szCs w:val="23"/>
        </w:rPr>
      </w:pPr>
      <w:r w:rsidRPr="00215753">
        <w:rPr>
          <w:rFonts w:ascii="Arial" w:hAnsi="Arial" w:cs="Arial"/>
          <w:sz w:val="23"/>
          <w:szCs w:val="23"/>
        </w:rPr>
        <w:t>The LA is proposing</w:t>
      </w:r>
      <w:r>
        <w:rPr>
          <w:rFonts w:ascii="Arial" w:hAnsi="Arial" w:cs="Arial"/>
          <w:sz w:val="23"/>
          <w:szCs w:val="23"/>
        </w:rPr>
        <w:t xml:space="preserve"> to make</w:t>
      </w:r>
      <w:r w:rsidR="006039EB">
        <w:rPr>
          <w:rFonts w:ascii="Arial" w:hAnsi="Arial" w:cs="Arial"/>
          <w:sz w:val="23"/>
          <w:szCs w:val="23"/>
        </w:rPr>
        <w:t xml:space="preserve"> enhanced</w:t>
      </w:r>
      <w:r>
        <w:rPr>
          <w:rFonts w:ascii="Arial" w:hAnsi="Arial" w:cs="Arial"/>
          <w:sz w:val="23"/>
          <w:szCs w:val="23"/>
        </w:rPr>
        <w:t xml:space="preserve"> changes to TSF for 2017</w:t>
      </w:r>
      <w:r w:rsidRPr="00215753">
        <w:rPr>
          <w:rFonts w:ascii="Arial" w:hAnsi="Arial" w:cs="Arial"/>
          <w:sz w:val="23"/>
          <w:szCs w:val="23"/>
        </w:rPr>
        <w:t xml:space="preserve">.  The need for change </w:t>
      </w:r>
      <w:r w:rsidR="00AC5A81">
        <w:rPr>
          <w:rFonts w:ascii="Arial" w:hAnsi="Arial" w:cs="Arial"/>
          <w:sz w:val="23"/>
          <w:szCs w:val="23"/>
        </w:rPr>
        <w:t>results from a</w:t>
      </w:r>
      <w:r w:rsidRPr="00215753">
        <w:rPr>
          <w:rFonts w:ascii="Arial" w:hAnsi="Arial" w:cs="Arial"/>
          <w:sz w:val="23"/>
          <w:szCs w:val="23"/>
        </w:rPr>
        <w:t xml:space="preserve"> significant increase in the numbers of </w:t>
      </w:r>
      <w:r w:rsidR="00AC5A81">
        <w:rPr>
          <w:rFonts w:ascii="Arial" w:hAnsi="Arial" w:cs="Arial"/>
          <w:sz w:val="23"/>
          <w:szCs w:val="23"/>
        </w:rPr>
        <w:t>chil</w:t>
      </w:r>
      <w:r w:rsidR="00AC5A81" w:rsidRPr="00215753">
        <w:rPr>
          <w:rFonts w:ascii="Arial" w:hAnsi="Arial" w:cs="Arial"/>
          <w:sz w:val="23"/>
          <w:szCs w:val="23"/>
        </w:rPr>
        <w:t xml:space="preserve">dren with complex and high level </w:t>
      </w:r>
      <w:r w:rsidR="00AC5A81">
        <w:rPr>
          <w:rFonts w:ascii="Arial" w:hAnsi="Arial" w:cs="Arial"/>
          <w:sz w:val="23"/>
          <w:szCs w:val="23"/>
        </w:rPr>
        <w:t>SEND</w:t>
      </w:r>
      <w:r w:rsidR="00A85F7D">
        <w:rPr>
          <w:rFonts w:ascii="Arial" w:hAnsi="Arial" w:cs="Arial"/>
          <w:sz w:val="23"/>
          <w:szCs w:val="23"/>
        </w:rPr>
        <w:t xml:space="preserve"> identified in the early years.</w:t>
      </w:r>
      <w:r w:rsidRPr="00215753">
        <w:rPr>
          <w:rFonts w:ascii="Arial" w:hAnsi="Arial" w:cs="Arial"/>
          <w:sz w:val="23"/>
          <w:szCs w:val="23"/>
        </w:rPr>
        <w:t xml:space="preserve"> </w:t>
      </w:r>
      <w:r w:rsidR="00A85F7D">
        <w:rPr>
          <w:rFonts w:ascii="Arial" w:hAnsi="Arial" w:cs="Arial"/>
          <w:sz w:val="23"/>
          <w:szCs w:val="23"/>
        </w:rPr>
        <w:t>T</w:t>
      </w:r>
      <w:r w:rsidRPr="00215753">
        <w:rPr>
          <w:rFonts w:ascii="Arial" w:hAnsi="Arial" w:cs="Arial"/>
          <w:sz w:val="23"/>
          <w:szCs w:val="23"/>
        </w:rPr>
        <w:t xml:space="preserve">he corresponding year-on-year increase in TSF requests has informed the development of this new model.  The key changes </w:t>
      </w:r>
      <w:r w:rsidR="00A85F7D">
        <w:rPr>
          <w:rFonts w:ascii="Arial" w:hAnsi="Arial" w:cs="Arial"/>
          <w:sz w:val="23"/>
          <w:szCs w:val="23"/>
        </w:rPr>
        <w:t xml:space="preserve">are </w:t>
      </w:r>
      <w:r w:rsidRPr="00215753">
        <w:rPr>
          <w:rFonts w:ascii="Arial" w:hAnsi="Arial" w:cs="Arial"/>
          <w:sz w:val="23"/>
          <w:szCs w:val="23"/>
        </w:rPr>
        <w:t>as follows</w:t>
      </w:r>
      <w:r w:rsidR="00A85F7D">
        <w:rPr>
          <w:rFonts w:ascii="Arial" w:hAnsi="Arial" w:cs="Arial"/>
          <w:sz w:val="23"/>
          <w:szCs w:val="23"/>
        </w:rPr>
        <w:t xml:space="preserve"> (if agreed)</w:t>
      </w:r>
      <w:r w:rsidRPr="00215753">
        <w:rPr>
          <w:rFonts w:ascii="Arial" w:hAnsi="Arial" w:cs="Arial"/>
          <w:sz w:val="23"/>
          <w:szCs w:val="23"/>
        </w:rPr>
        <w:t>:</w:t>
      </w:r>
    </w:p>
    <w:p w:rsidR="00215753" w:rsidRPr="00215753" w:rsidRDefault="00215753" w:rsidP="00215753">
      <w:pPr>
        <w:rPr>
          <w:rFonts w:ascii="Arial" w:hAnsi="Arial" w:cs="Arial"/>
          <w:sz w:val="23"/>
          <w:szCs w:val="23"/>
        </w:rPr>
      </w:pPr>
    </w:p>
    <w:p w:rsidR="00B10243" w:rsidRDefault="00A85F7D" w:rsidP="00B10243">
      <w:pPr>
        <w:pStyle w:val="ListParagraph"/>
        <w:numPr>
          <w:ilvl w:val="0"/>
          <w:numId w:val="31"/>
        </w:numPr>
        <w:ind w:left="426" w:hanging="426"/>
        <w:rPr>
          <w:rFonts w:cs="Arial"/>
          <w:sz w:val="23"/>
          <w:szCs w:val="23"/>
        </w:rPr>
      </w:pPr>
      <w:r>
        <w:rPr>
          <w:rFonts w:cs="Arial"/>
          <w:sz w:val="23"/>
          <w:szCs w:val="23"/>
        </w:rPr>
        <w:t>Early years settings and parents/carers</w:t>
      </w:r>
      <w:r w:rsidR="00215753" w:rsidRPr="00215753">
        <w:rPr>
          <w:rFonts w:cs="Arial"/>
          <w:sz w:val="23"/>
          <w:szCs w:val="23"/>
        </w:rPr>
        <w:t xml:space="preserve"> will </w:t>
      </w:r>
      <w:r w:rsidR="009337DF">
        <w:rPr>
          <w:rFonts w:cs="Arial"/>
          <w:sz w:val="23"/>
          <w:szCs w:val="23"/>
        </w:rPr>
        <w:t xml:space="preserve">continue to </w:t>
      </w:r>
      <w:r>
        <w:rPr>
          <w:rFonts w:cs="Arial"/>
          <w:sz w:val="23"/>
          <w:szCs w:val="23"/>
        </w:rPr>
        <w:t>be able to make EHC needs assessment</w:t>
      </w:r>
      <w:r w:rsidR="00215753" w:rsidRPr="00215753">
        <w:rPr>
          <w:rFonts w:cs="Arial"/>
          <w:sz w:val="23"/>
          <w:szCs w:val="23"/>
        </w:rPr>
        <w:t xml:space="preserve"> requests for young children, having due regard to Local Authority thresholds and in accordance with the 2014 Code of Practice.  There is no longer a requirement for such requests to take place on</w:t>
      </w:r>
      <w:r w:rsidR="009337DF">
        <w:rPr>
          <w:rFonts w:cs="Arial"/>
          <w:sz w:val="23"/>
          <w:szCs w:val="23"/>
        </w:rPr>
        <w:t>ce a child is attending school.</w:t>
      </w:r>
    </w:p>
    <w:p w:rsidR="00B10243" w:rsidRDefault="00B10243" w:rsidP="00B10243">
      <w:pPr>
        <w:pStyle w:val="ListParagraph"/>
        <w:ind w:left="426"/>
        <w:rPr>
          <w:rFonts w:cs="Arial"/>
          <w:sz w:val="23"/>
          <w:szCs w:val="23"/>
        </w:rPr>
      </w:pPr>
    </w:p>
    <w:p w:rsidR="00B10243" w:rsidRPr="00B10243" w:rsidRDefault="009337DF" w:rsidP="00B10243">
      <w:pPr>
        <w:pStyle w:val="ListParagraph"/>
        <w:numPr>
          <w:ilvl w:val="0"/>
          <w:numId w:val="31"/>
        </w:numPr>
        <w:ind w:left="426" w:hanging="426"/>
        <w:rPr>
          <w:rFonts w:cs="Arial"/>
          <w:sz w:val="23"/>
          <w:szCs w:val="23"/>
        </w:rPr>
      </w:pPr>
      <w:r w:rsidRPr="00B10243">
        <w:rPr>
          <w:rFonts w:cs="Arial"/>
          <w:sz w:val="23"/>
          <w:szCs w:val="23"/>
        </w:rPr>
        <w:t>Transition Support Funding will continue over the full reception year with an extra £1,</w:t>
      </w:r>
      <w:r w:rsidR="00DF3F06">
        <w:rPr>
          <w:rFonts w:cs="Arial"/>
          <w:sz w:val="23"/>
          <w:szCs w:val="23"/>
        </w:rPr>
        <w:t>830</w:t>
      </w:r>
      <w:r w:rsidRPr="00B10243">
        <w:rPr>
          <w:rFonts w:cs="Arial"/>
          <w:sz w:val="23"/>
          <w:szCs w:val="23"/>
        </w:rPr>
        <w:t xml:space="preserve"> allocated per child</w:t>
      </w:r>
      <w:r w:rsidR="007C70E9">
        <w:rPr>
          <w:rFonts w:cs="Arial"/>
          <w:sz w:val="23"/>
          <w:szCs w:val="23"/>
        </w:rPr>
        <w:t xml:space="preserve">, a total of </w:t>
      </w:r>
      <w:r w:rsidR="00DF3F06">
        <w:rPr>
          <w:rFonts w:cs="Arial"/>
          <w:b/>
          <w:sz w:val="23"/>
          <w:szCs w:val="23"/>
        </w:rPr>
        <w:t>£4,83</w:t>
      </w:r>
      <w:r w:rsidR="007C70E9" w:rsidRPr="007C70E9">
        <w:rPr>
          <w:rFonts w:cs="Arial"/>
          <w:b/>
          <w:sz w:val="23"/>
          <w:szCs w:val="23"/>
        </w:rPr>
        <w:t>0</w:t>
      </w:r>
      <w:r w:rsidRPr="00B10243">
        <w:rPr>
          <w:rFonts w:cs="Arial"/>
          <w:sz w:val="23"/>
          <w:szCs w:val="23"/>
        </w:rPr>
        <w:t xml:space="preserve"> (up </w:t>
      </w:r>
      <w:r w:rsidR="00D7500E" w:rsidRPr="00B10243">
        <w:rPr>
          <w:rFonts w:cs="Arial"/>
          <w:sz w:val="23"/>
          <w:szCs w:val="23"/>
        </w:rPr>
        <w:t>from £3,000).</w:t>
      </w:r>
      <w:r w:rsidR="00B10243" w:rsidRPr="00B10243">
        <w:rPr>
          <w:rFonts w:cs="Arial"/>
          <w:sz w:val="23"/>
          <w:szCs w:val="23"/>
        </w:rPr>
        <w:t xml:space="preserve"> Previously, </w:t>
      </w:r>
      <w:r w:rsidR="00D35CA7">
        <w:rPr>
          <w:rFonts w:cs="Arial"/>
          <w:sz w:val="23"/>
          <w:szCs w:val="23"/>
        </w:rPr>
        <w:t>TSF ended in term 4 which meant</w:t>
      </w:r>
      <w:r w:rsidR="007B0465">
        <w:rPr>
          <w:rFonts w:cs="Arial"/>
          <w:sz w:val="23"/>
          <w:szCs w:val="23"/>
        </w:rPr>
        <w:t xml:space="preserve"> </w:t>
      </w:r>
      <w:r w:rsidR="00B10243" w:rsidRPr="00B10243">
        <w:rPr>
          <w:rFonts w:cs="Arial"/>
          <w:sz w:val="23"/>
          <w:szCs w:val="23"/>
        </w:rPr>
        <w:t>schools had to apply for an EHC</w:t>
      </w:r>
      <w:r w:rsidR="007C70E9">
        <w:rPr>
          <w:rFonts w:cs="Arial"/>
          <w:sz w:val="23"/>
          <w:szCs w:val="23"/>
        </w:rPr>
        <w:t xml:space="preserve"> needs assessment</w:t>
      </w:r>
      <w:r w:rsidR="00B10243" w:rsidRPr="00B10243">
        <w:rPr>
          <w:rFonts w:cs="Arial"/>
          <w:sz w:val="23"/>
          <w:szCs w:val="23"/>
        </w:rPr>
        <w:t xml:space="preserve"> by </w:t>
      </w:r>
      <w:r w:rsidR="00D35CA7">
        <w:rPr>
          <w:rFonts w:cs="Arial"/>
          <w:sz w:val="23"/>
          <w:szCs w:val="23"/>
        </w:rPr>
        <w:t>October/</w:t>
      </w:r>
      <w:r w:rsidR="00B10243" w:rsidRPr="00B10243">
        <w:rPr>
          <w:rFonts w:cs="Arial"/>
          <w:sz w:val="23"/>
          <w:szCs w:val="23"/>
        </w:rPr>
        <w:t>November or there may have been a gap in funding between terms 5 and 6.</w:t>
      </w:r>
    </w:p>
    <w:p w:rsidR="00215753" w:rsidRPr="00215753" w:rsidRDefault="00215753" w:rsidP="00A7282D">
      <w:pPr>
        <w:pStyle w:val="ListParagraph"/>
        <w:ind w:left="426"/>
        <w:rPr>
          <w:rFonts w:cs="Arial"/>
          <w:sz w:val="23"/>
          <w:szCs w:val="23"/>
        </w:rPr>
      </w:pPr>
    </w:p>
    <w:p w:rsidR="00215753" w:rsidRPr="00A7282D" w:rsidRDefault="00215753" w:rsidP="00A7282D">
      <w:pPr>
        <w:pStyle w:val="ListParagraph"/>
        <w:numPr>
          <w:ilvl w:val="0"/>
          <w:numId w:val="31"/>
        </w:numPr>
        <w:ind w:left="426" w:hanging="426"/>
        <w:rPr>
          <w:rFonts w:cs="Arial"/>
          <w:sz w:val="23"/>
          <w:szCs w:val="23"/>
        </w:rPr>
      </w:pPr>
      <w:r w:rsidRPr="00215753">
        <w:rPr>
          <w:rFonts w:cs="Arial"/>
          <w:sz w:val="23"/>
          <w:szCs w:val="23"/>
        </w:rPr>
        <w:t>Transition Support Funding will continue as a preventative funding strategy for children in mainstream schools with</w:t>
      </w:r>
      <w:r w:rsidR="00AC5A81">
        <w:rPr>
          <w:rFonts w:cs="Arial"/>
          <w:sz w:val="23"/>
          <w:szCs w:val="23"/>
        </w:rPr>
        <w:t xml:space="preserve"> complex and</w:t>
      </w:r>
      <w:r w:rsidR="00A85F7D">
        <w:rPr>
          <w:rFonts w:cs="Arial"/>
          <w:sz w:val="23"/>
          <w:szCs w:val="23"/>
        </w:rPr>
        <w:t xml:space="preserve"> high-</w:t>
      </w:r>
      <w:r w:rsidRPr="00215753">
        <w:rPr>
          <w:rFonts w:cs="Arial"/>
          <w:sz w:val="23"/>
          <w:szCs w:val="23"/>
        </w:rPr>
        <w:t>levels of SEND</w:t>
      </w:r>
      <w:r w:rsidR="00AC5A81">
        <w:rPr>
          <w:rFonts w:cs="Arial"/>
          <w:sz w:val="23"/>
          <w:szCs w:val="23"/>
        </w:rPr>
        <w:t>,</w:t>
      </w:r>
      <w:r w:rsidRPr="00215753">
        <w:rPr>
          <w:rFonts w:cs="Arial"/>
          <w:sz w:val="23"/>
          <w:szCs w:val="23"/>
        </w:rPr>
        <w:t xml:space="preserve"> who are not in receipt of an EHC </w:t>
      </w:r>
      <w:r w:rsidR="007C70E9">
        <w:rPr>
          <w:rFonts w:cs="Arial"/>
          <w:sz w:val="23"/>
          <w:szCs w:val="23"/>
        </w:rPr>
        <w:t>p</w:t>
      </w:r>
      <w:r w:rsidRPr="00215753">
        <w:rPr>
          <w:rFonts w:cs="Arial"/>
          <w:sz w:val="23"/>
          <w:szCs w:val="23"/>
        </w:rPr>
        <w:t xml:space="preserve">lan.  For schools, TSF will continue as a </w:t>
      </w:r>
      <w:r w:rsidR="00A7282D">
        <w:rPr>
          <w:rFonts w:cs="Arial"/>
          <w:sz w:val="23"/>
          <w:szCs w:val="23"/>
        </w:rPr>
        <w:t xml:space="preserve">‘top-up’ to delegated funding.  </w:t>
      </w:r>
      <w:r w:rsidRPr="00A7282D">
        <w:rPr>
          <w:rFonts w:cs="Arial"/>
          <w:sz w:val="23"/>
          <w:szCs w:val="23"/>
        </w:rPr>
        <w:t>The maximum sum payable to a school for a ch</w:t>
      </w:r>
      <w:r w:rsidR="00A7282D" w:rsidRPr="00A7282D">
        <w:rPr>
          <w:rFonts w:cs="Arial"/>
          <w:sz w:val="23"/>
          <w:szCs w:val="23"/>
        </w:rPr>
        <w:t xml:space="preserve">ild in receipt of TSF will be </w:t>
      </w:r>
      <w:r w:rsidR="00DF3F06">
        <w:rPr>
          <w:rFonts w:cs="Arial"/>
          <w:sz w:val="23"/>
          <w:szCs w:val="23"/>
        </w:rPr>
        <w:t>£4,83</w:t>
      </w:r>
      <w:r w:rsidR="00A7282D" w:rsidRPr="007C70E9">
        <w:rPr>
          <w:rFonts w:cs="Arial"/>
          <w:sz w:val="23"/>
          <w:szCs w:val="23"/>
        </w:rPr>
        <w:t>0</w:t>
      </w:r>
      <w:r w:rsidR="00A7282D">
        <w:rPr>
          <w:rFonts w:cs="Arial"/>
          <w:sz w:val="23"/>
          <w:szCs w:val="23"/>
        </w:rPr>
        <w:t>.  This is based on £9.</w:t>
      </w:r>
      <w:r w:rsidR="00DF3F06">
        <w:rPr>
          <w:rFonts w:cs="Arial"/>
          <w:sz w:val="23"/>
          <w:szCs w:val="23"/>
        </w:rPr>
        <w:t>5</w:t>
      </w:r>
      <w:r w:rsidR="00A7282D">
        <w:rPr>
          <w:rFonts w:cs="Arial"/>
          <w:sz w:val="23"/>
          <w:szCs w:val="23"/>
        </w:rPr>
        <w:t xml:space="preserve">0 per hour and a child attending for 30 hours per week over 38 weeks of the </w:t>
      </w:r>
      <w:r w:rsidR="00AC5A81">
        <w:rPr>
          <w:rFonts w:cs="Arial"/>
          <w:sz w:val="23"/>
          <w:szCs w:val="23"/>
        </w:rPr>
        <w:t xml:space="preserve">school </w:t>
      </w:r>
      <w:r w:rsidR="00A7282D">
        <w:rPr>
          <w:rFonts w:cs="Arial"/>
          <w:sz w:val="23"/>
          <w:szCs w:val="23"/>
        </w:rPr>
        <w:t>year</w:t>
      </w:r>
      <w:r w:rsidR="00AC5A81">
        <w:rPr>
          <w:rFonts w:cs="Arial"/>
          <w:sz w:val="23"/>
          <w:szCs w:val="23"/>
        </w:rPr>
        <w:t xml:space="preserve"> (£10,</w:t>
      </w:r>
      <w:r w:rsidR="00DF3F06">
        <w:rPr>
          <w:rFonts w:cs="Arial"/>
          <w:sz w:val="23"/>
          <w:szCs w:val="23"/>
        </w:rPr>
        <w:t>830</w:t>
      </w:r>
      <w:r w:rsidR="00AC5A81">
        <w:rPr>
          <w:rFonts w:cs="Arial"/>
          <w:sz w:val="23"/>
          <w:szCs w:val="23"/>
        </w:rPr>
        <w:t>)</w:t>
      </w:r>
      <w:r w:rsidR="00A7282D">
        <w:rPr>
          <w:rFonts w:cs="Arial"/>
          <w:sz w:val="23"/>
          <w:szCs w:val="23"/>
        </w:rPr>
        <w:t>.  Delegated funding of £6,000 is the</w:t>
      </w:r>
      <w:r w:rsidR="00AC5A81">
        <w:rPr>
          <w:rFonts w:cs="Arial"/>
          <w:sz w:val="23"/>
          <w:szCs w:val="23"/>
        </w:rPr>
        <w:t>n</w:t>
      </w:r>
      <w:r w:rsidR="00A7282D">
        <w:rPr>
          <w:rFonts w:cs="Arial"/>
          <w:sz w:val="23"/>
          <w:szCs w:val="23"/>
        </w:rPr>
        <w:t xml:space="preserve"> deducted from this amount.  </w:t>
      </w:r>
      <w:r w:rsidRPr="00A7282D">
        <w:rPr>
          <w:rFonts w:cs="Arial"/>
          <w:sz w:val="23"/>
          <w:szCs w:val="23"/>
        </w:rPr>
        <w:lastRenderedPageBreak/>
        <w:t>Setting the funding at this level means that no child with TSF can receive</w:t>
      </w:r>
      <w:r w:rsidR="007C70E9">
        <w:rPr>
          <w:rFonts w:cs="Arial"/>
          <w:sz w:val="23"/>
          <w:szCs w:val="23"/>
        </w:rPr>
        <w:t xml:space="preserve"> more than a child with an EHC p</w:t>
      </w:r>
      <w:r w:rsidRPr="00A7282D">
        <w:rPr>
          <w:rFonts w:cs="Arial"/>
          <w:sz w:val="23"/>
          <w:szCs w:val="23"/>
        </w:rPr>
        <w:t>lan with the highest level of matrix funding in place.</w:t>
      </w:r>
    </w:p>
    <w:p w:rsidR="00215753" w:rsidRPr="00215753" w:rsidRDefault="00215753" w:rsidP="00A7282D">
      <w:pPr>
        <w:pStyle w:val="ListParagraph"/>
        <w:numPr>
          <w:ilvl w:val="0"/>
          <w:numId w:val="31"/>
        </w:numPr>
        <w:ind w:left="426" w:hanging="426"/>
        <w:rPr>
          <w:rFonts w:cs="Arial"/>
          <w:sz w:val="23"/>
          <w:szCs w:val="23"/>
        </w:rPr>
      </w:pPr>
      <w:r w:rsidRPr="00215753">
        <w:rPr>
          <w:rFonts w:cs="Arial"/>
          <w:sz w:val="23"/>
          <w:szCs w:val="23"/>
        </w:rPr>
        <w:t xml:space="preserve">Children in their pre-school year who already receive early </w:t>
      </w:r>
      <w:proofErr w:type="gramStart"/>
      <w:r w:rsidRPr="00215753">
        <w:rPr>
          <w:rFonts w:cs="Arial"/>
          <w:sz w:val="23"/>
          <w:szCs w:val="23"/>
        </w:rPr>
        <w:t>years</w:t>
      </w:r>
      <w:proofErr w:type="gramEnd"/>
      <w:r w:rsidRPr="00215753">
        <w:rPr>
          <w:rFonts w:cs="Arial"/>
          <w:sz w:val="23"/>
          <w:szCs w:val="23"/>
        </w:rPr>
        <w:t xml:space="preserve"> inclusion support funding at the highest level (tier 3) will </w:t>
      </w:r>
      <w:r w:rsidR="00D7500E">
        <w:rPr>
          <w:rFonts w:cs="Arial"/>
          <w:sz w:val="23"/>
          <w:szCs w:val="23"/>
        </w:rPr>
        <w:t xml:space="preserve">continue to </w:t>
      </w:r>
      <w:r w:rsidRPr="00215753">
        <w:rPr>
          <w:rFonts w:cs="Arial"/>
          <w:sz w:val="23"/>
          <w:szCs w:val="23"/>
        </w:rPr>
        <w:t xml:space="preserve">automatically receive </w:t>
      </w:r>
      <w:r w:rsidR="00D7500E">
        <w:rPr>
          <w:rFonts w:cs="Arial"/>
          <w:sz w:val="23"/>
          <w:szCs w:val="23"/>
        </w:rPr>
        <w:t>TSF</w:t>
      </w:r>
      <w:r w:rsidRPr="00215753">
        <w:rPr>
          <w:rFonts w:cs="Arial"/>
          <w:sz w:val="23"/>
          <w:szCs w:val="23"/>
        </w:rPr>
        <w:t>, subject to review informatio</w:t>
      </w:r>
      <w:r w:rsidR="00DF16BC">
        <w:rPr>
          <w:rFonts w:cs="Arial"/>
          <w:sz w:val="23"/>
          <w:szCs w:val="23"/>
        </w:rPr>
        <w:t>n being submitted to the Early Y</w:t>
      </w:r>
      <w:r w:rsidRPr="00215753">
        <w:rPr>
          <w:rFonts w:cs="Arial"/>
          <w:sz w:val="23"/>
          <w:szCs w:val="23"/>
        </w:rPr>
        <w:t>ears SEND and Inclusion Panel (SENDIP)</w:t>
      </w:r>
      <w:r w:rsidR="00D7500E">
        <w:rPr>
          <w:rFonts w:cs="Arial"/>
          <w:sz w:val="23"/>
          <w:szCs w:val="23"/>
        </w:rPr>
        <w:t>.</w:t>
      </w:r>
      <w:r w:rsidR="00C31B1B">
        <w:rPr>
          <w:rFonts w:cs="Arial"/>
          <w:sz w:val="23"/>
          <w:szCs w:val="23"/>
        </w:rPr>
        <w:t xml:space="preserve">  Children in receipt of tier 1 and 2 inclusion support funding will not receive TSF in schools, as their needs should be met through delegated funding arrangements.  </w:t>
      </w:r>
      <w:r w:rsidR="00C31B1B" w:rsidRPr="00215753">
        <w:rPr>
          <w:rFonts w:cs="Arial"/>
          <w:sz w:val="23"/>
          <w:szCs w:val="23"/>
        </w:rPr>
        <w:t>Early Years Settings will, however, receive funds to support transition planning for each child, up to a maximum of £2</w:t>
      </w:r>
      <w:r w:rsidR="00C31B1B">
        <w:rPr>
          <w:rFonts w:cs="Arial"/>
          <w:sz w:val="23"/>
          <w:szCs w:val="23"/>
        </w:rPr>
        <w:t>5</w:t>
      </w:r>
      <w:r w:rsidR="00C31B1B" w:rsidRPr="00215753">
        <w:rPr>
          <w:rFonts w:cs="Arial"/>
          <w:sz w:val="23"/>
          <w:szCs w:val="23"/>
        </w:rPr>
        <w:t>0 per child (as at present).</w:t>
      </w:r>
    </w:p>
    <w:p w:rsidR="00215753" w:rsidRPr="00215753" w:rsidRDefault="00215753" w:rsidP="00A7282D">
      <w:pPr>
        <w:pStyle w:val="ListParagraph"/>
        <w:ind w:left="426"/>
        <w:rPr>
          <w:rFonts w:cs="Arial"/>
          <w:sz w:val="23"/>
          <w:szCs w:val="23"/>
        </w:rPr>
      </w:pPr>
    </w:p>
    <w:p w:rsidR="00215753" w:rsidRPr="00215753" w:rsidRDefault="00215753" w:rsidP="00A7282D">
      <w:pPr>
        <w:pStyle w:val="ListParagraph"/>
        <w:numPr>
          <w:ilvl w:val="0"/>
          <w:numId w:val="31"/>
        </w:numPr>
        <w:ind w:left="426" w:hanging="426"/>
        <w:rPr>
          <w:rFonts w:cs="Arial"/>
          <w:sz w:val="23"/>
          <w:szCs w:val="23"/>
        </w:rPr>
      </w:pPr>
      <w:r w:rsidRPr="00215753">
        <w:rPr>
          <w:rFonts w:cs="Arial"/>
          <w:sz w:val="23"/>
          <w:szCs w:val="23"/>
        </w:rPr>
        <w:t xml:space="preserve">SENDIP will accept TSF requests for children not currently </w:t>
      </w:r>
      <w:r w:rsidR="00A7282D">
        <w:rPr>
          <w:rFonts w:cs="Arial"/>
          <w:sz w:val="23"/>
          <w:szCs w:val="23"/>
        </w:rPr>
        <w:t>in receipt of</w:t>
      </w:r>
      <w:r w:rsidRPr="00215753">
        <w:rPr>
          <w:rFonts w:cs="Arial"/>
          <w:sz w:val="23"/>
          <w:szCs w:val="23"/>
        </w:rPr>
        <w:t xml:space="preserve"> inclusion support funding in the early years, in exceptional circumstances only.  Such children are likely to be ‘movers in’ to Bath &amp; N</w:t>
      </w:r>
      <w:r w:rsidR="00D7500E">
        <w:rPr>
          <w:rFonts w:cs="Arial"/>
          <w:sz w:val="23"/>
          <w:szCs w:val="23"/>
        </w:rPr>
        <w:t>orth</w:t>
      </w:r>
      <w:r w:rsidRPr="00215753">
        <w:rPr>
          <w:rFonts w:cs="Arial"/>
          <w:sz w:val="23"/>
          <w:szCs w:val="23"/>
        </w:rPr>
        <w:t xml:space="preserve"> E</w:t>
      </w:r>
      <w:r w:rsidR="00D7500E">
        <w:rPr>
          <w:rFonts w:cs="Arial"/>
          <w:sz w:val="23"/>
          <w:szCs w:val="23"/>
        </w:rPr>
        <w:t>ast</w:t>
      </w:r>
      <w:r w:rsidRPr="00215753">
        <w:rPr>
          <w:rFonts w:cs="Arial"/>
          <w:sz w:val="23"/>
          <w:szCs w:val="23"/>
        </w:rPr>
        <w:t xml:space="preserve"> Somerset, children who have deteriorating conditions, or children in trauma.</w:t>
      </w:r>
    </w:p>
    <w:p w:rsidR="00215753" w:rsidRDefault="00215753" w:rsidP="00D91235">
      <w:pPr>
        <w:rPr>
          <w:rFonts w:cs="Arial"/>
          <w:b/>
          <w:sz w:val="23"/>
          <w:szCs w:val="23"/>
        </w:rPr>
      </w:pPr>
    </w:p>
    <w:p w:rsidR="00A7282D" w:rsidRPr="00A7282D" w:rsidRDefault="00A7282D" w:rsidP="00D7500E">
      <w:pPr>
        <w:pStyle w:val="ListParagraph"/>
        <w:numPr>
          <w:ilvl w:val="0"/>
          <w:numId w:val="26"/>
        </w:numPr>
        <w:ind w:left="426"/>
        <w:rPr>
          <w:rFonts w:cs="Arial"/>
          <w:b/>
          <w:sz w:val="23"/>
          <w:szCs w:val="23"/>
        </w:rPr>
      </w:pPr>
      <w:r w:rsidRPr="00A7282D">
        <w:rPr>
          <w:rFonts w:cs="Arial"/>
          <w:b/>
          <w:sz w:val="23"/>
          <w:szCs w:val="23"/>
        </w:rPr>
        <w:t>Advantages for Schools of the Proposed Changes</w:t>
      </w:r>
    </w:p>
    <w:p w:rsidR="00A7282D" w:rsidRPr="00A7282D" w:rsidRDefault="00A7282D" w:rsidP="00A7282D">
      <w:pPr>
        <w:rPr>
          <w:rFonts w:ascii="Arial" w:hAnsi="Arial" w:cs="Arial"/>
          <w:sz w:val="23"/>
          <w:szCs w:val="23"/>
        </w:rPr>
      </w:pPr>
    </w:p>
    <w:p w:rsidR="00A7282D" w:rsidRPr="00A7282D" w:rsidRDefault="00A7282D" w:rsidP="00D7500E">
      <w:pPr>
        <w:pStyle w:val="ListParagraph"/>
        <w:numPr>
          <w:ilvl w:val="0"/>
          <w:numId w:val="32"/>
        </w:numPr>
        <w:ind w:left="426"/>
        <w:rPr>
          <w:rFonts w:cs="Arial"/>
          <w:sz w:val="23"/>
          <w:szCs w:val="23"/>
        </w:rPr>
      </w:pPr>
      <w:r w:rsidRPr="00A7282D">
        <w:rPr>
          <w:rFonts w:cs="Arial"/>
          <w:sz w:val="23"/>
          <w:szCs w:val="23"/>
        </w:rPr>
        <w:t xml:space="preserve">Children who have very high level SEND will, if appropriate requests are made and thresholds met, </w:t>
      </w:r>
      <w:r w:rsidR="007C70E9">
        <w:rPr>
          <w:rFonts w:cs="Arial"/>
          <w:sz w:val="23"/>
          <w:szCs w:val="23"/>
        </w:rPr>
        <w:t>have EHC p</w:t>
      </w:r>
      <w:r w:rsidRPr="00A7282D">
        <w:rPr>
          <w:rFonts w:cs="Arial"/>
          <w:sz w:val="23"/>
          <w:szCs w:val="23"/>
        </w:rPr>
        <w:t>lans set up before they commence school.  The likelihood is that an increasing number of such plans will be set up, given the increase in early identification</w:t>
      </w:r>
      <w:r w:rsidR="00A85F7D">
        <w:rPr>
          <w:rFonts w:cs="Arial"/>
          <w:sz w:val="23"/>
          <w:szCs w:val="23"/>
        </w:rPr>
        <w:t xml:space="preserve"> of these children.</w:t>
      </w:r>
    </w:p>
    <w:p w:rsidR="00A7282D" w:rsidRPr="00A7282D" w:rsidRDefault="00A7282D" w:rsidP="00D7500E">
      <w:pPr>
        <w:ind w:left="426"/>
        <w:rPr>
          <w:rFonts w:ascii="Arial" w:hAnsi="Arial" w:cs="Arial"/>
          <w:sz w:val="23"/>
          <w:szCs w:val="23"/>
        </w:rPr>
      </w:pPr>
    </w:p>
    <w:p w:rsidR="00A7282D" w:rsidRPr="00A7282D" w:rsidRDefault="00A7282D" w:rsidP="00D7500E">
      <w:pPr>
        <w:pStyle w:val="ListParagraph"/>
        <w:numPr>
          <w:ilvl w:val="0"/>
          <w:numId w:val="32"/>
        </w:numPr>
        <w:ind w:left="426"/>
        <w:rPr>
          <w:rFonts w:cs="Arial"/>
          <w:sz w:val="23"/>
          <w:szCs w:val="23"/>
        </w:rPr>
      </w:pPr>
      <w:r w:rsidRPr="00A7282D">
        <w:rPr>
          <w:rFonts w:cs="Arial"/>
          <w:sz w:val="23"/>
          <w:szCs w:val="23"/>
        </w:rPr>
        <w:t>The LA’s preventative strategy and implementation will mean that children</w:t>
      </w:r>
      <w:r w:rsidR="00A85F7D">
        <w:rPr>
          <w:rFonts w:cs="Arial"/>
          <w:sz w:val="23"/>
          <w:szCs w:val="23"/>
        </w:rPr>
        <w:t xml:space="preserve"> with high-level additional needs</w:t>
      </w:r>
      <w:r w:rsidRPr="00A7282D">
        <w:rPr>
          <w:rFonts w:cs="Arial"/>
          <w:sz w:val="23"/>
          <w:szCs w:val="23"/>
        </w:rPr>
        <w:t xml:space="preserve"> who do not meet the statutory thresholds will be supported through transition and have better outcomes.  Schools are more likely to know sooner rather than later who these children might be, and the level of funding for each</w:t>
      </w:r>
      <w:r w:rsidR="00A85F7D">
        <w:rPr>
          <w:rFonts w:cs="Arial"/>
          <w:sz w:val="23"/>
          <w:szCs w:val="23"/>
        </w:rPr>
        <w:t xml:space="preserve"> child</w:t>
      </w:r>
      <w:r w:rsidRPr="00A7282D">
        <w:rPr>
          <w:rFonts w:cs="Arial"/>
          <w:sz w:val="23"/>
          <w:szCs w:val="23"/>
        </w:rPr>
        <w:t>, as most will already be in receipt of early years inclusion</w:t>
      </w:r>
      <w:r w:rsidR="00B10243">
        <w:rPr>
          <w:rFonts w:cs="Arial"/>
          <w:sz w:val="23"/>
          <w:szCs w:val="23"/>
        </w:rPr>
        <w:t xml:space="preserve"> support</w:t>
      </w:r>
      <w:r w:rsidRPr="00A7282D">
        <w:rPr>
          <w:rFonts w:cs="Arial"/>
          <w:sz w:val="23"/>
          <w:szCs w:val="23"/>
        </w:rPr>
        <w:t xml:space="preserve"> funding.  This should make planning their provision easier.</w:t>
      </w:r>
    </w:p>
    <w:p w:rsidR="00A7282D" w:rsidRPr="00A7282D" w:rsidRDefault="00A7282D" w:rsidP="00D7500E">
      <w:pPr>
        <w:pStyle w:val="ListParagraph"/>
        <w:ind w:left="426"/>
        <w:rPr>
          <w:rFonts w:cs="Arial"/>
          <w:sz w:val="23"/>
          <w:szCs w:val="23"/>
        </w:rPr>
      </w:pPr>
    </w:p>
    <w:p w:rsidR="00A7282D" w:rsidRDefault="00A7282D" w:rsidP="00D7500E">
      <w:pPr>
        <w:pStyle w:val="ListParagraph"/>
        <w:numPr>
          <w:ilvl w:val="0"/>
          <w:numId w:val="32"/>
        </w:numPr>
        <w:ind w:left="426"/>
        <w:rPr>
          <w:rFonts w:cs="Arial"/>
          <w:sz w:val="23"/>
          <w:szCs w:val="23"/>
        </w:rPr>
      </w:pPr>
      <w:r w:rsidRPr="00A7282D">
        <w:rPr>
          <w:rFonts w:cs="Arial"/>
          <w:sz w:val="23"/>
          <w:szCs w:val="23"/>
        </w:rPr>
        <w:t xml:space="preserve">Schools will know that the </w:t>
      </w:r>
      <w:r w:rsidR="00A85F7D">
        <w:rPr>
          <w:rFonts w:cs="Arial"/>
          <w:sz w:val="23"/>
          <w:szCs w:val="23"/>
        </w:rPr>
        <w:t>children with the highest needs</w:t>
      </w:r>
      <w:r w:rsidRPr="00A7282D">
        <w:rPr>
          <w:rFonts w:cs="Arial"/>
          <w:sz w:val="23"/>
          <w:szCs w:val="23"/>
        </w:rPr>
        <w:t xml:space="preserve"> are being targeted for </w:t>
      </w:r>
      <w:r w:rsidR="00D7500E">
        <w:rPr>
          <w:rFonts w:cs="Arial"/>
          <w:sz w:val="23"/>
          <w:szCs w:val="23"/>
        </w:rPr>
        <w:t>TSF</w:t>
      </w:r>
      <w:r w:rsidRPr="00A7282D">
        <w:rPr>
          <w:rFonts w:cs="Arial"/>
          <w:sz w:val="23"/>
          <w:szCs w:val="23"/>
        </w:rPr>
        <w:t>, and that the financial resources allocated through Schools’ Forum are being used efficiently.</w:t>
      </w:r>
    </w:p>
    <w:p w:rsidR="00A7282D" w:rsidRPr="00A7282D" w:rsidRDefault="00A7282D" w:rsidP="00D7500E">
      <w:pPr>
        <w:pStyle w:val="ListParagraph"/>
        <w:ind w:left="426"/>
        <w:rPr>
          <w:rFonts w:cs="Arial"/>
          <w:sz w:val="23"/>
          <w:szCs w:val="23"/>
        </w:rPr>
      </w:pPr>
    </w:p>
    <w:p w:rsidR="00B10243" w:rsidRDefault="00A7282D" w:rsidP="00D7500E">
      <w:pPr>
        <w:pStyle w:val="ListParagraph"/>
        <w:numPr>
          <w:ilvl w:val="0"/>
          <w:numId w:val="32"/>
        </w:numPr>
        <w:ind w:left="426"/>
        <w:rPr>
          <w:rFonts w:cs="Arial"/>
          <w:sz w:val="23"/>
          <w:szCs w:val="23"/>
        </w:rPr>
      </w:pPr>
      <w:r>
        <w:rPr>
          <w:rFonts w:cs="Arial"/>
          <w:sz w:val="23"/>
          <w:szCs w:val="23"/>
        </w:rPr>
        <w:t>The funding will now continue over the full reception year</w:t>
      </w:r>
      <w:r w:rsidR="00685BF9">
        <w:rPr>
          <w:rFonts w:cs="Arial"/>
          <w:sz w:val="23"/>
          <w:szCs w:val="23"/>
        </w:rPr>
        <w:t xml:space="preserve"> with an extra £1,260 allocated per child</w:t>
      </w:r>
      <w:r>
        <w:rPr>
          <w:rFonts w:cs="Arial"/>
          <w:sz w:val="23"/>
          <w:szCs w:val="23"/>
        </w:rPr>
        <w:t xml:space="preserve">.  Previously, </w:t>
      </w:r>
      <w:r w:rsidR="00D7500E">
        <w:rPr>
          <w:rFonts w:cs="Arial"/>
          <w:sz w:val="23"/>
          <w:szCs w:val="23"/>
        </w:rPr>
        <w:t>TSF</w:t>
      </w:r>
      <w:r>
        <w:rPr>
          <w:rFonts w:cs="Arial"/>
          <w:sz w:val="23"/>
          <w:szCs w:val="23"/>
        </w:rPr>
        <w:t xml:space="preserve"> </w:t>
      </w:r>
      <w:r w:rsidR="00DF16BC">
        <w:rPr>
          <w:rFonts w:cs="Arial"/>
          <w:sz w:val="23"/>
          <w:szCs w:val="23"/>
        </w:rPr>
        <w:t xml:space="preserve">was a maximum of £3,000 and </w:t>
      </w:r>
      <w:r>
        <w:rPr>
          <w:rFonts w:cs="Arial"/>
          <w:sz w:val="23"/>
          <w:szCs w:val="23"/>
        </w:rPr>
        <w:t>ended in term 4.</w:t>
      </w:r>
      <w:r w:rsidR="00685BF9">
        <w:rPr>
          <w:rFonts w:cs="Arial"/>
          <w:sz w:val="23"/>
          <w:szCs w:val="23"/>
        </w:rPr>
        <w:t xml:space="preserve">  Theref</w:t>
      </w:r>
      <w:r w:rsidR="00DF16BC">
        <w:rPr>
          <w:rFonts w:cs="Arial"/>
          <w:sz w:val="23"/>
          <w:szCs w:val="23"/>
        </w:rPr>
        <w:t xml:space="preserve">ore, this </w:t>
      </w:r>
      <w:r w:rsidR="00B10243">
        <w:rPr>
          <w:rFonts w:cs="Arial"/>
          <w:sz w:val="23"/>
          <w:szCs w:val="23"/>
        </w:rPr>
        <w:t>means schools will have longer t</w:t>
      </w:r>
      <w:r w:rsidR="007C70E9">
        <w:rPr>
          <w:rFonts w:cs="Arial"/>
          <w:sz w:val="23"/>
          <w:szCs w:val="23"/>
        </w:rPr>
        <w:t>o consider applying for an EHC needs assessment</w:t>
      </w:r>
      <w:r w:rsidR="00B10243">
        <w:rPr>
          <w:rFonts w:cs="Arial"/>
          <w:sz w:val="23"/>
          <w:szCs w:val="23"/>
        </w:rPr>
        <w:t xml:space="preserve"> and there will be no gap in funding for terms 5 and 6.</w:t>
      </w:r>
    </w:p>
    <w:p w:rsidR="00A7282D" w:rsidRPr="00B10243" w:rsidRDefault="00A7282D" w:rsidP="00B10243">
      <w:pPr>
        <w:rPr>
          <w:rFonts w:cs="Arial"/>
          <w:sz w:val="23"/>
          <w:szCs w:val="23"/>
        </w:rPr>
      </w:pPr>
    </w:p>
    <w:p w:rsidR="00D7500E" w:rsidRPr="00953D3F" w:rsidRDefault="00D7500E" w:rsidP="00D7500E">
      <w:pPr>
        <w:pStyle w:val="ListParagraph"/>
        <w:numPr>
          <w:ilvl w:val="0"/>
          <w:numId w:val="26"/>
        </w:numPr>
        <w:ind w:left="426"/>
        <w:rPr>
          <w:rFonts w:cs="Arial"/>
          <w:b/>
          <w:sz w:val="23"/>
          <w:szCs w:val="23"/>
        </w:rPr>
      </w:pPr>
      <w:r>
        <w:rPr>
          <w:rFonts w:cs="Arial"/>
          <w:b/>
          <w:sz w:val="23"/>
          <w:szCs w:val="23"/>
        </w:rPr>
        <w:t>Budget pressure</w:t>
      </w:r>
    </w:p>
    <w:p w:rsidR="00D7500E" w:rsidRPr="00A85F7D" w:rsidRDefault="00D7500E" w:rsidP="00D7500E">
      <w:pPr>
        <w:rPr>
          <w:rFonts w:ascii="Arial" w:hAnsi="Arial" w:cs="Arial"/>
          <w:sz w:val="14"/>
          <w:szCs w:val="23"/>
        </w:rPr>
      </w:pPr>
    </w:p>
    <w:tbl>
      <w:tblPr>
        <w:tblStyle w:val="TableGrid"/>
        <w:tblW w:w="10031" w:type="dxa"/>
        <w:tblLook w:val="04A0" w:firstRow="1" w:lastRow="0" w:firstColumn="1" w:lastColumn="0" w:noHBand="0" w:noVBand="1"/>
      </w:tblPr>
      <w:tblGrid>
        <w:gridCol w:w="10031"/>
      </w:tblGrid>
      <w:tr w:rsidR="00D7500E" w:rsidTr="00F56AC9">
        <w:trPr>
          <w:trHeight w:val="451"/>
        </w:trPr>
        <w:tc>
          <w:tcPr>
            <w:tcW w:w="10031" w:type="dxa"/>
          </w:tcPr>
          <w:p w:rsidR="00D7500E" w:rsidRPr="0002650D" w:rsidRDefault="00D7500E" w:rsidP="00F56AC9">
            <w:pPr>
              <w:pStyle w:val="ListParagraph"/>
              <w:ind w:left="0"/>
              <w:jc w:val="center"/>
              <w:rPr>
                <w:rFonts w:cs="Arial"/>
                <w:color w:val="FF0000"/>
                <w:sz w:val="30"/>
                <w:szCs w:val="30"/>
              </w:rPr>
            </w:pPr>
            <w:r w:rsidRPr="0002650D">
              <w:rPr>
                <w:rFonts w:cs="Arial"/>
                <w:b/>
                <w:color w:val="FF0000"/>
                <w:sz w:val="30"/>
                <w:szCs w:val="30"/>
              </w:rPr>
              <w:t>** Budget pressure of £</w:t>
            </w:r>
            <w:r w:rsidR="00DF3F06">
              <w:rPr>
                <w:rFonts w:cs="Arial"/>
                <w:b/>
                <w:color w:val="FF0000"/>
                <w:sz w:val="30"/>
                <w:szCs w:val="30"/>
              </w:rPr>
              <w:t>105</w:t>
            </w:r>
            <w:r w:rsidRPr="0002650D">
              <w:rPr>
                <w:rFonts w:cs="Arial"/>
                <w:b/>
                <w:color w:val="FF0000"/>
                <w:sz w:val="30"/>
                <w:szCs w:val="30"/>
              </w:rPr>
              <w:t>,000 **</w:t>
            </w:r>
          </w:p>
          <w:p w:rsidR="00D7500E" w:rsidRDefault="00D7500E" w:rsidP="00B10243">
            <w:pPr>
              <w:pStyle w:val="ListParagraph"/>
              <w:ind w:left="0"/>
              <w:jc w:val="center"/>
              <w:rPr>
                <w:rFonts w:cs="Arial"/>
                <w:sz w:val="23"/>
                <w:szCs w:val="23"/>
              </w:rPr>
            </w:pPr>
            <w:proofErr w:type="gramStart"/>
            <w:r>
              <w:rPr>
                <w:rFonts w:cs="Arial"/>
                <w:sz w:val="18"/>
                <w:szCs w:val="23"/>
              </w:rPr>
              <w:t>b</w:t>
            </w:r>
            <w:r w:rsidRPr="002702BC">
              <w:rPr>
                <w:rFonts w:cs="Arial"/>
                <w:sz w:val="18"/>
                <w:szCs w:val="23"/>
              </w:rPr>
              <w:t>ased</w:t>
            </w:r>
            <w:proofErr w:type="gramEnd"/>
            <w:r w:rsidRPr="002702BC">
              <w:rPr>
                <w:rFonts w:cs="Arial"/>
                <w:sz w:val="18"/>
                <w:szCs w:val="23"/>
              </w:rPr>
              <w:t xml:space="preserve"> on </w:t>
            </w:r>
            <w:r w:rsidR="00B10243">
              <w:rPr>
                <w:rFonts w:cs="Arial"/>
                <w:sz w:val="18"/>
                <w:szCs w:val="23"/>
              </w:rPr>
              <w:t>46</w:t>
            </w:r>
            <w:r w:rsidRPr="002702BC">
              <w:rPr>
                <w:rFonts w:cs="Arial"/>
                <w:sz w:val="18"/>
                <w:szCs w:val="23"/>
              </w:rPr>
              <w:t xml:space="preserve"> children receiving </w:t>
            </w:r>
            <w:r w:rsidR="00B10243">
              <w:rPr>
                <w:rFonts w:cs="Arial"/>
                <w:sz w:val="18"/>
                <w:szCs w:val="23"/>
              </w:rPr>
              <w:t>transition support funding</w:t>
            </w:r>
            <w:r w:rsidR="00DF3F06">
              <w:rPr>
                <w:rFonts w:cs="Arial"/>
                <w:sz w:val="18"/>
                <w:szCs w:val="23"/>
              </w:rPr>
              <w:t xml:space="preserve"> at £9.5</w:t>
            </w:r>
            <w:r w:rsidRPr="002702BC">
              <w:rPr>
                <w:rFonts w:cs="Arial"/>
                <w:sz w:val="18"/>
                <w:szCs w:val="23"/>
              </w:rPr>
              <w:t xml:space="preserve">0 per hour at </w:t>
            </w:r>
            <w:r w:rsidR="00B10243">
              <w:rPr>
                <w:rFonts w:cs="Arial"/>
                <w:sz w:val="18"/>
                <w:szCs w:val="23"/>
              </w:rPr>
              <w:t>30 hours over 38</w:t>
            </w:r>
            <w:r w:rsidRPr="002702BC">
              <w:rPr>
                <w:rFonts w:cs="Arial"/>
                <w:sz w:val="18"/>
                <w:szCs w:val="23"/>
              </w:rPr>
              <w:t xml:space="preserve"> weeks</w:t>
            </w:r>
            <w:r w:rsidR="00B10243">
              <w:rPr>
                <w:rFonts w:cs="Arial"/>
                <w:sz w:val="18"/>
                <w:szCs w:val="23"/>
              </w:rPr>
              <w:t xml:space="preserve"> </w:t>
            </w:r>
            <w:r w:rsidR="00B10243" w:rsidRPr="002702BC">
              <w:rPr>
                <w:rFonts w:cs="Arial"/>
                <w:sz w:val="18"/>
                <w:szCs w:val="23"/>
              </w:rPr>
              <w:t>from Sept 1</w:t>
            </w:r>
            <w:r w:rsidR="00B10243">
              <w:rPr>
                <w:rFonts w:cs="Arial"/>
                <w:sz w:val="18"/>
                <w:szCs w:val="23"/>
              </w:rPr>
              <w:t>7 to July 18</w:t>
            </w:r>
            <w:r w:rsidRPr="002702BC">
              <w:rPr>
                <w:rFonts w:cs="Arial"/>
                <w:sz w:val="18"/>
                <w:szCs w:val="23"/>
              </w:rPr>
              <w:t xml:space="preserve"> </w:t>
            </w:r>
            <w:r w:rsidR="00B10243">
              <w:rPr>
                <w:rFonts w:cs="Arial"/>
                <w:sz w:val="18"/>
                <w:szCs w:val="23"/>
              </w:rPr>
              <w:t>(deducting delegated funding of £6,000 per child)</w:t>
            </w:r>
            <w:r>
              <w:rPr>
                <w:rFonts w:cs="Arial"/>
                <w:sz w:val="18"/>
                <w:szCs w:val="23"/>
              </w:rPr>
              <w:t>.</w:t>
            </w:r>
          </w:p>
        </w:tc>
      </w:tr>
    </w:tbl>
    <w:p w:rsidR="00215753" w:rsidRPr="00A85F7D" w:rsidRDefault="00215753" w:rsidP="00D91235">
      <w:pPr>
        <w:rPr>
          <w:rFonts w:ascii="Arial" w:hAnsi="Arial" w:cs="Arial"/>
          <w:sz w:val="18"/>
          <w:szCs w:val="23"/>
        </w:rPr>
      </w:pPr>
    </w:p>
    <w:p w:rsidR="00B10243" w:rsidRPr="00B10243" w:rsidRDefault="00B10243" w:rsidP="00B10243">
      <w:pPr>
        <w:pStyle w:val="ListParagraph"/>
        <w:numPr>
          <w:ilvl w:val="0"/>
          <w:numId w:val="26"/>
        </w:numPr>
        <w:ind w:left="426"/>
        <w:rPr>
          <w:rFonts w:cs="Arial"/>
          <w:b/>
          <w:sz w:val="23"/>
          <w:szCs w:val="23"/>
        </w:rPr>
      </w:pPr>
      <w:r w:rsidRPr="00B10243">
        <w:rPr>
          <w:rFonts w:cs="Arial"/>
          <w:b/>
          <w:sz w:val="23"/>
          <w:szCs w:val="23"/>
        </w:rPr>
        <w:t>Additional information</w:t>
      </w:r>
    </w:p>
    <w:p w:rsidR="00B10243" w:rsidRPr="00A85F7D" w:rsidRDefault="00B10243" w:rsidP="00D91235">
      <w:pPr>
        <w:rPr>
          <w:rFonts w:ascii="Arial" w:hAnsi="Arial" w:cs="Arial"/>
          <w:sz w:val="10"/>
          <w:szCs w:val="23"/>
        </w:rPr>
      </w:pPr>
    </w:p>
    <w:p w:rsidR="00B10243" w:rsidRDefault="005F718E" w:rsidP="00B10243">
      <w:pPr>
        <w:rPr>
          <w:rFonts w:ascii="Arial" w:hAnsi="Arial" w:cs="Arial"/>
          <w:sz w:val="23"/>
          <w:szCs w:val="23"/>
        </w:rPr>
      </w:pPr>
      <w:r>
        <w:rPr>
          <w:rFonts w:ascii="Arial" w:hAnsi="Arial" w:cs="Arial"/>
          <w:sz w:val="23"/>
          <w:szCs w:val="23"/>
        </w:rPr>
        <w:t>TSF</w:t>
      </w:r>
      <w:r w:rsidR="00B10243">
        <w:rPr>
          <w:rFonts w:ascii="Arial" w:hAnsi="Arial" w:cs="Arial"/>
          <w:sz w:val="23"/>
          <w:szCs w:val="23"/>
        </w:rPr>
        <w:t xml:space="preserve"> budget:</w:t>
      </w:r>
    </w:p>
    <w:p w:rsidR="00A85F7D" w:rsidRPr="00A85F7D" w:rsidRDefault="00A85F7D" w:rsidP="00B10243">
      <w:pPr>
        <w:rPr>
          <w:rFonts w:ascii="Arial" w:hAnsi="Arial" w:cs="Arial"/>
          <w:sz w:val="6"/>
          <w:szCs w:val="23"/>
        </w:rPr>
      </w:pPr>
    </w:p>
    <w:tbl>
      <w:tblPr>
        <w:tblStyle w:val="TableGrid"/>
        <w:tblW w:w="10065" w:type="dxa"/>
        <w:tblInd w:w="-34" w:type="dxa"/>
        <w:tblLook w:val="04A0" w:firstRow="1" w:lastRow="0" w:firstColumn="1" w:lastColumn="0" w:noHBand="0" w:noVBand="1"/>
      </w:tblPr>
      <w:tblGrid>
        <w:gridCol w:w="1843"/>
        <w:gridCol w:w="1276"/>
        <w:gridCol w:w="6946"/>
      </w:tblGrid>
      <w:tr w:rsidR="00B10243" w:rsidTr="00F56AC9">
        <w:tc>
          <w:tcPr>
            <w:tcW w:w="1843" w:type="dxa"/>
            <w:shd w:val="clear" w:color="auto" w:fill="FDE9D9" w:themeFill="accent6" w:themeFillTint="33"/>
          </w:tcPr>
          <w:p w:rsidR="00B10243" w:rsidRPr="0002650D" w:rsidRDefault="00B10243" w:rsidP="00F56AC9">
            <w:pPr>
              <w:jc w:val="center"/>
              <w:rPr>
                <w:rFonts w:ascii="Arial" w:hAnsi="Arial" w:cs="Arial"/>
                <w:b/>
                <w:szCs w:val="23"/>
              </w:rPr>
            </w:pPr>
            <w:r w:rsidRPr="0002650D">
              <w:rPr>
                <w:rFonts w:ascii="Arial" w:hAnsi="Arial" w:cs="Arial"/>
                <w:b/>
                <w:szCs w:val="23"/>
              </w:rPr>
              <w:t>Financial Year</w:t>
            </w:r>
          </w:p>
        </w:tc>
        <w:tc>
          <w:tcPr>
            <w:tcW w:w="1276" w:type="dxa"/>
            <w:shd w:val="clear" w:color="auto" w:fill="FDE9D9" w:themeFill="accent6" w:themeFillTint="33"/>
          </w:tcPr>
          <w:p w:rsidR="00B10243" w:rsidRPr="0002650D" w:rsidRDefault="00B10243" w:rsidP="00F56AC9">
            <w:pPr>
              <w:jc w:val="center"/>
              <w:rPr>
                <w:rFonts w:ascii="Arial" w:hAnsi="Arial" w:cs="Arial"/>
                <w:b/>
                <w:szCs w:val="23"/>
              </w:rPr>
            </w:pPr>
            <w:r w:rsidRPr="0002650D">
              <w:rPr>
                <w:rFonts w:ascii="Arial" w:hAnsi="Arial" w:cs="Arial"/>
                <w:b/>
                <w:szCs w:val="23"/>
              </w:rPr>
              <w:t>Budget</w:t>
            </w:r>
          </w:p>
        </w:tc>
        <w:tc>
          <w:tcPr>
            <w:tcW w:w="6946" w:type="dxa"/>
            <w:shd w:val="clear" w:color="auto" w:fill="FDE9D9" w:themeFill="accent6" w:themeFillTint="33"/>
          </w:tcPr>
          <w:p w:rsidR="00B10243" w:rsidRPr="0002650D" w:rsidRDefault="00B10243" w:rsidP="00F56AC9">
            <w:pPr>
              <w:jc w:val="center"/>
              <w:rPr>
                <w:rFonts w:ascii="Arial" w:hAnsi="Arial" w:cs="Arial"/>
                <w:b/>
                <w:szCs w:val="23"/>
              </w:rPr>
            </w:pPr>
            <w:r w:rsidRPr="0002650D">
              <w:rPr>
                <w:rFonts w:ascii="Arial" w:hAnsi="Arial" w:cs="Arial"/>
                <w:b/>
                <w:szCs w:val="23"/>
              </w:rPr>
              <w:t>Notes</w:t>
            </w:r>
          </w:p>
        </w:tc>
      </w:tr>
      <w:tr w:rsidR="00B10243" w:rsidTr="00C31B1B">
        <w:trPr>
          <w:trHeight w:val="283"/>
        </w:trPr>
        <w:tc>
          <w:tcPr>
            <w:tcW w:w="1843" w:type="dxa"/>
          </w:tcPr>
          <w:p w:rsidR="00B10243" w:rsidRPr="00E26A88" w:rsidRDefault="00B10243" w:rsidP="00F56AC9">
            <w:pPr>
              <w:rPr>
                <w:rFonts w:ascii="Arial" w:hAnsi="Arial" w:cs="Arial"/>
                <w:b/>
                <w:szCs w:val="23"/>
              </w:rPr>
            </w:pPr>
            <w:r w:rsidRPr="00E26A88">
              <w:rPr>
                <w:rFonts w:ascii="Arial" w:hAnsi="Arial" w:cs="Arial"/>
                <w:b/>
                <w:szCs w:val="23"/>
              </w:rPr>
              <w:t>2016-17</w:t>
            </w:r>
          </w:p>
        </w:tc>
        <w:tc>
          <w:tcPr>
            <w:tcW w:w="1276" w:type="dxa"/>
          </w:tcPr>
          <w:p w:rsidR="00B10243" w:rsidRPr="00DD0C8F" w:rsidRDefault="00B10243" w:rsidP="00B10243">
            <w:pPr>
              <w:rPr>
                <w:rFonts w:ascii="Arial" w:hAnsi="Arial" w:cs="Arial"/>
                <w:b/>
                <w:szCs w:val="23"/>
              </w:rPr>
            </w:pPr>
            <w:r w:rsidRPr="00DD0C8F">
              <w:rPr>
                <w:rFonts w:ascii="Arial" w:hAnsi="Arial" w:cs="Arial"/>
                <w:b/>
                <w:szCs w:val="23"/>
              </w:rPr>
              <w:t>£</w:t>
            </w:r>
            <w:r>
              <w:rPr>
                <w:rFonts w:ascii="Arial" w:hAnsi="Arial" w:cs="Arial"/>
                <w:b/>
                <w:szCs w:val="23"/>
              </w:rPr>
              <w:t>120</w:t>
            </w:r>
            <w:r w:rsidR="005F718E">
              <w:rPr>
                <w:rFonts w:ascii="Arial" w:hAnsi="Arial" w:cs="Arial"/>
                <w:b/>
                <w:szCs w:val="23"/>
              </w:rPr>
              <w:t>,000</w:t>
            </w:r>
          </w:p>
        </w:tc>
        <w:tc>
          <w:tcPr>
            <w:tcW w:w="6946" w:type="dxa"/>
          </w:tcPr>
          <w:p w:rsidR="005F718E" w:rsidRDefault="00B10243" w:rsidP="00F56AC9">
            <w:pPr>
              <w:rPr>
                <w:rFonts w:ascii="Arial" w:hAnsi="Arial" w:cs="Arial"/>
                <w:sz w:val="21"/>
                <w:szCs w:val="21"/>
              </w:rPr>
            </w:pPr>
            <w:r>
              <w:rPr>
                <w:rFonts w:ascii="Arial" w:hAnsi="Arial" w:cs="Arial"/>
                <w:sz w:val="21"/>
                <w:szCs w:val="21"/>
              </w:rPr>
              <w:t>45</w:t>
            </w:r>
            <w:r w:rsidRPr="0002650D">
              <w:rPr>
                <w:rFonts w:ascii="Arial" w:hAnsi="Arial" w:cs="Arial"/>
                <w:sz w:val="21"/>
                <w:szCs w:val="21"/>
              </w:rPr>
              <w:t xml:space="preserve"> children with </w:t>
            </w:r>
            <w:r w:rsidR="00A85F7D">
              <w:rPr>
                <w:rFonts w:ascii="Arial" w:hAnsi="Arial" w:cs="Arial"/>
                <w:sz w:val="21"/>
                <w:szCs w:val="21"/>
              </w:rPr>
              <w:t>complex and high-</w:t>
            </w:r>
            <w:r w:rsidR="005F718E">
              <w:rPr>
                <w:rFonts w:ascii="Arial" w:hAnsi="Arial" w:cs="Arial"/>
                <w:sz w:val="21"/>
                <w:szCs w:val="21"/>
              </w:rPr>
              <w:t xml:space="preserve">level </w:t>
            </w:r>
            <w:r w:rsidRPr="0002650D">
              <w:rPr>
                <w:rFonts w:ascii="Arial" w:hAnsi="Arial" w:cs="Arial"/>
                <w:sz w:val="21"/>
                <w:szCs w:val="21"/>
              </w:rPr>
              <w:t xml:space="preserve">SEND supported through </w:t>
            </w:r>
            <w:r w:rsidR="005F718E">
              <w:rPr>
                <w:rFonts w:ascii="Arial" w:hAnsi="Arial" w:cs="Arial"/>
                <w:sz w:val="21"/>
                <w:szCs w:val="21"/>
              </w:rPr>
              <w:t>transition support funding.</w:t>
            </w:r>
          </w:p>
          <w:p w:rsidR="005F718E" w:rsidRDefault="005F718E" w:rsidP="00F56AC9">
            <w:pPr>
              <w:rPr>
                <w:rFonts w:ascii="Arial" w:hAnsi="Arial" w:cs="Arial"/>
                <w:sz w:val="21"/>
                <w:szCs w:val="21"/>
              </w:rPr>
            </w:pPr>
          </w:p>
          <w:p w:rsidR="005F718E" w:rsidRDefault="005F718E" w:rsidP="00634030">
            <w:pPr>
              <w:rPr>
                <w:rFonts w:ascii="Arial" w:hAnsi="Arial" w:cs="Arial"/>
                <w:sz w:val="21"/>
                <w:szCs w:val="21"/>
              </w:rPr>
            </w:pPr>
            <w:r>
              <w:rPr>
                <w:rFonts w:ascii="Arial" w:hAnsi="Arial" w:cs="Arial"/>
                <w:sz w:val="21"/>
                <w:szCs w:val="21"/>
              </w:rPr>
              <w:t xml:space="preserve">Evidence shows an average </w:t>
            </w:r>
            <w:r w:rsidR="00634030">
              <w:rPr>
                <w:rFonts w:ascii="Arial" w:hAnsi="Arial" w:cs="Arial"/>
                <w:sz w:val="21"/>
                <w:szCs w:val="21"/>
              </w:rPr>
              <w:t xml:space="preserve">total point score </w:t>
            </w:r>
            <w:r>
              <w:rPr>
                <w:rFonts w:ascii="Arial" w:hAnsi="Arial" w:cs="Arial"/>
                <w:sz w:val="21"/>
                <w:szCs w:val="21"/>
              </w:rPr>
              <w:t xml:space="preserve">increase of </w:t>
            </w:r>
            <w:r w:rsidR="00634030">
              <w:rPr>
                <w:rFonts w:ascii="Arial" w:hAnsi="Arial" w:cs="Arial"/>
                <w:sz w:val="21"/>
                <w:szCs w:val="21"/>
              </w:rPr>
              <w:t>2.2 (EYFS profile score) for children who received TSF over the past three years.</w:t>
            </w:r>
          </w:p>
          <w:p w:rsidR="00634030" w:rsidRPr="00634030" w:rsidRDefault="00634030" w:rsidP="00634030">
            <w:pPr>
              <w:rPr>
                <w:rFonts w:ascii="Arial" w:hAnsi="Arial" w:cs="Arial"/>
                <w:sz w:val="12"/>
                <w:szCs w:val="21"/>
              </w:rPr>
            </w:pPr>
          </w:p>
          <w:p w:rsidR="00634030" w:rsidRDefault="00634030" w:rsidP="00634030">
            <w:pPr>
              <w:rPr>
                <w:rFonts w:ascii="Arial" w:hAnsi="Arial" w:cs="Arial"/>
                <w:b/>
                <w:sz w:val="21"/>
                <w:szCs w:val="21"/>
              </w:rPr>
            </w:pPr>
            <w:r>
              <w:rPr>
                <w:rFonts w:ascii="Arial" w:hAnsi="Arial" w:cs="Arial"/>
                <w:sz w:val="21"/>
                <w:szCs w:val="21"/>
              </w:rPr>
              <w:t xml:space="preserve">  </w:t>
            </w:r>
            <w:r w:rsidRPr="00634030">
              <w:rPr>
                <w:rFonts w:ascii="Arial" w:hAnsi="Arial" w:cs="Arial"/>
                <w:b/>
                <w:sz w:val="21"/>
                <w:szCs w:val="21"/>
              </w:rPr>
              <w:t>2013 – 19.5                        2014 – 23.2                         2015 – 23.9</w:t>
            </w:r>
          </w:p>
          <w:p w:rsidR="00634030" w:rsidRPr="00634030" w:rsidRDefault="00634030" w:rsidP="00634030">
            <w:pPr>
              <w:rPr>
                <w:rFonts w:ascii="Arial" w:hAnsi="Arial" w:cs="Arial"/>
                <w:b/>
                <w:sz w:val="4"/>
                <w:szCs w:val="21"/>
              </w:rPr>
            </w:pPr>
          </w:p>
        </w:tc>
      </w:tr>
      <w:tr w:rsidR="00B10243" w:rsidTr="00F56AC9">
        <w:trPr>
          <w:trHeight w:val="946"/>
        </w:trPr>
        <w:tc>
          <w:tcPr>
            <w:tcW w:w="1843" w:type="dxa"/>
          </w:tcPr>
          <w:p w:rsidR="00B10243" w:rsidRPr="00E26A88" w:rsidRDefault="00B10243" w:rsidP="00F56AC9">
            <w:pPr>
              <w:rPr>
                <w:rFonts w:ascii="Arial" w:hAnsi="Arial" w:cs="Arial"/>
                <w:b/>
                <w:szCs w:val="23"/>
              </w:rPr>
            </w:pPr>
            <w:r>
              <w:rPr>
                <w:rFonts w:ascii="Arial" w:hAnsi="Arial" w:cs="Arial"/>
                <w:b/>
                <w:szCs w:val="23"/>
              </w:rPr>
              <w:lastRenderedPageBreak/>
              <w:t>2017-18</w:t>
            </w:r>
          </w:p>
        </w:tc>
        <w:tc>
          <w:tcPr>
            <w:tcW w:w="1276" w:type="dxa"/>
          </w:tcPr>
          <w:p w:rsidR="00B10243" w:rsidRDefault="00B10243" w:rsidP="00F56AC9">
            <w:pPr>
              <w:rPr>
                <w:rFonts w:ascii="Arial" w:hAnsi="Arial" w:cs="Arial"/>
                <w:b/>
                <w:szCs w:val="23"/>
              </w:rPr>
            </w:pPr>
            <w:r>
              <w:rPr>
                <w:rFonts w:ascii="Arial" w:hAnsi="Arial" w:cs="Arial"/>
                <w:b/>
                <w:szCs w:val="23"/>
              </w:rPr>
              <w:t>£</w:t>
            </w:r>
            <w:r w:rsidR="005F718E">
              <w:rPr>
                <w:rFonts w:ascii="Arial" w:hAnsi="Arial" w:cs="Arial"/>
                <w:b/>
                <w:szCs w:val="23"/>
              </w:rPr>
              <w:t>120,000</w:t>
            </w:r>
          </w:p>
          <w:p w:rsidR="00B10243" w:rsidRPr="0002650D" w:rsidRDefault="00B10243" w:rsidP="00F56AC9">
            <w:pPr>
              <w:rPr>
                <w:rFonts w:ascii="Arial" w:hAnsi="Arial" w:cs="Arial"/>
                <w:b/>
                <w:sz w:val="6"/>
                <w:szCs w:val="23"/>
              </w:rPr>
            </w:pPr>
          </w:p>
          <w:p w:rsidR="00B10243" w:rsidRPr="0049765A" w:rsidRDefault="00D35CA7" w:rsidP="00F56AC9">
            <w:pPr>
              <w:rPr>
                <w:rFonts w:ascii="Arial" w:hAnsi="Arial" w:cs="Arial"/>
                <w:b/>
                <w:szCs w:val="23"/>
              </w:rPr>
            </w:pPr>
            <w:r>
              <w:rPr>
                <w:rFonts w:ascii="Arial" w:hAnsi="Arial" w:cs="Arial"/>
                <w:b/>
                <w:color w:val="FF0000"/>
                <w:sz w:val="18"/>
                <w:szCs w:val="23"/>
              </w:rPr>
              <w:t>Require £105</w:t>
            </w:r>
            <w:r w:rsidR="00B10243" w:rsidRPr="00A85F7D">
              <w:rPr>
                <w:rFonts w:ascii="Arial" w:hAnsi="Arial" w:cs="Arial"/>
                <w:b/>
                <w:color w:val="FF0000"/>
                <w:sz w:val="18"/>
                <w:szCs w:val="23"/>
              </w:rPr>
              <w:t>,000 increase in budget</w:t>
            </w:r>
          </w:p>
        </w:tc>
        <w:tc>
          <w:tcPr>
            <w:tcW w:w="6946" w:type="dxa"/>
          </w:tcPr>
          <w:p w:rsidR="00B10243" w:rsidRPr="0002650D" w:rsidRDefault="00B10243" w:rsidP="00D35CA7">
            <w:pPr>
              <w:rPr>
                <w:rFonts w:ascii="Arial" w:hAnsi="Arial" w:cs="Arial"/>
                <w:sz w:val="21"/>
                <w:szCs w:val="21"/>
              </w:rPr>
            </w:pPr>
            <w:r w:rsidRPr="0002650D">
              <w:rPr>
                <w:rFonts w:ascii="Arial" w:hAnsi="Arial" w:cs="Arial"/>
                <w:sz w:val="21"/>
                <w:szCs w:val="21"/>
              </w:rPr>
              <w:t>Ant</w:t>
            </w:r>
            <w:r w:rsidR="00D35CA7">
              <w:rPr>
                <w:rFonts w:ascii="Arial" w:hAnsi="Arial" w:cs="Arial"/>
                <w:sz w:val="21"/>
                <w:szCs w:val="21"/>
              </w:rPr>
              <w:t>icipating budget pressure of £105</w:t>
            </w:r>
            <w:r w:rsidRPr="0002650D">
              <w:rPr>
                <w:rFonts w:ascii="Arial" w:hAnsi="Arial" w:cs="Arial"/>
                <w:sz w:val="21"/>
                <w:szCs w:val="21"/>
              </w:rPr>
              <w:t>,000 for this financial year</w:t>
            </w:r>
            <w:r w:rsidR="005F718E">
              <w:rPr>
                <w:rFonts w:ascii="Arial" w:hAnsi="Arial" w:cs="Arial"/>
                <w:sz w:val="21"/>
                <w:szCs w:val="21"/>
              </w:rPr>
              <w:t xml:space="preserve"> if changes agreed by Schools’ Forum.</w:t>
            </w:r>
          </w:p>
        </w:tc>
      </w:tr>
    </w:tbl>
    <w:p w:rsidR="00215753" w:rsidRDefault="00215753" w:rsidP="00A85F7D">
      <w:pPr>
        <w:rPr>
          <w:rFonts w:cs="Arial"/>
          <w:b/>
          <w:sz w:val="23"/>
          <w:szCs w:val="23"/>
        </w:rPr>
      </w:pPr>
    </w:p>
    <w:sectPr w:rsidR="00215753" w:rsidSect="00A85F7D">
      <w:headerReference w:type="default" r:id="rId11"/>
      <w:footerReference w:type="default" r:id="rId12"/>
      <w:pgSz w:w="11906" w:h="16838"/>
      <w:pgMar w:top="567"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D71" w:rsidRDefault="00831D71" w:rsidP="00362F7E">
      <w:r>
        <w:separator/>
      </w:r>
    </w:p>
  </w:endnote>
  <w:endnote w:type="continuationSeparator" w:id="0">
    <w:p w:rsidR="00831D71" w:rsidRDefault="00831D71" w:rsidP="0036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830919"/>
      <w:docPartObj>
        <w:docPartGallery w:val="Page Numbers (Bottom of Page)"/>
        <w:docPartUnique/>
      </w:docPartObj>
    </w:sdtPr>
    <w:sdtEndPr>
      <w:rPr>
        <w:noProof/>
      </w:rPr>
    </w:sdtEndPr>
    <w:sdtContent>
      <w:p w:rsidR="00A5456E" w:rsidRDefault="00A5456E">
        <w:pPr>
          <w:pStyle w:val="Footer"/>
          <w:jc w:val="right"/>
        </w:pPr>
        <w:r>
          <w:fldChar w:fldCharType="begin"/>
        </w:r>
        <w:r>
          <w:instrText xml:space="preserve"> PAGE   \* MERGEFORMAT </w:instrText>
        </w:r>
        <w:r>
          <w:fldChar w:fldCharType="separate"/>
        </w:r>
        <w:r w:rsidR="00F27167">
          <w:rPr>
            <w:noProof/>
          </w:rPr>
          <w:t>1</w:t>
        </w:r>
        <w:r>
          <w:rPr>
            <w:noProof/>
          </w:rPr>
          <w:fldChar w:fldCharType="end"/>
        </w:r>
      </w:p>
    </w:sdtContent>
  </w:sdt>
  <w:p w:rsidR="00B47147" w:rsidRPr="00A85F7D" w:rsidRDefault="00B47147">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D71" w:rsidRDefault="00831D71" w:rsidP="00362F7E">
      <w:r>
        <w:separator/>
      </w:r>
    </w:p>
  </w:footnote>
  <w:footnote w:type="continuationSeparator" w:id="0">
    <w:p w:rsidR="00831D71" w:rsidRDefault="00831D71" w:rsidP="00362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348182"/>
      <w:docPartObj>
        <w:docPartGallery w:val="Watermarks"/>
        <w:docPartUnique/>
      </w:docPartObj>
    </w:sdtPr>
    <w:sdtEndPr/>
    <w:sdtContent>
      <w:p w:rsidR="00633667" w:rsidRDefault="00F2716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5BB"/>
    <w:multiLevelType w:val="hybridMultilevel"/>
    <w:tmpl w:val="B838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65026"/>
    <w:multiLevelType w:val="hybridMultilevel"/>
    <w:tmpl w:val="F09C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464F2A"/>
    <w:multiLevelType w:val="hybridMultilevel"/>
    <w:tmpl w:val="BD16651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035664A"/>
    <w:multiLevelType w:val="hybridMultilevel"/>
    <w:tmpl w:val="8FC02B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C54D38"/>
    <w:multiLevelType w:val="hybridMultilevel"/>
    <w:tmpl w:val="C26E9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843EF9"/>
    <w:multiLevelType w:val="hybridMultilevel"/>
    <w:tmpl w:val="4812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9D4E68"/>
    <w:multiLevelType w:val="hybridMultilevel"/>
    <w:tmpl w:val="964A24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CC6CE2"/>
    <w:multiLevelType w:val="multilevel"/>
    <w:tmpl w:val="AE50A2AE"/>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F0B18F1"/>
    <w:multiLevelType w:val="hybridMultilevel"/>
    <w:tmpl w:val="BC604008"/>
    <w:lvl w:ilvl="0" w:tplc="48A682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F061FA"/>
    <w:multiLevelType w:val="hybridMultilevel"/>
    <w:tmpl w:val="20B4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570B8C"/>
    <w:multiLevelType w:val="hybridMultilevel"/>
    <w:tmpl w:val="8258F386"/>
    <w:lvl w:ilvl="0" w:tplc="062032B2">
      <w:start w:val="1"/>
      <w:numFmt w:val="bullet"/>
      <w:lvlText w:val=""/>
      <w:lvlJc w:val="left"/>
      <w:pPr>
        <w:ind w:left="1440" w:hanging="360"/>
      </w:pPr>
      <w:rPr>
        <w:rFonts w:ascii="Wingdings" w:hAnsi="Wingdings"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9914C40"/>
    <w:multiLevelType w:val="hybridMultilevel"/>
    <w:tmpl w:val="D970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59080A"/>
    <w:multiLevelType w:val="hybridMultilevel"/>
    <w:tmpl w:val="36ACE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CD6384"/>
    <w:multiLevelType w:val="hybridMultilevel"/>
    <w:tmpl w:val="366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9140BF"/>
    <w:multiLevelType w:val="hybridMultilevel"/>
    <w:tmpl w:val="9352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1B39E6"/>
    <w:multiLevelType w:val="hybridMultilevel"/>
    <w:tmpl w:val="BC604008"/>
    <w:lvl w:ilvl="0" w:tplc="48A682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314AE9"/>
    <w:multiLevelType w:val="hybridMultilevel"/>
    <w:tmpl w:val="2B38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CA1444"/>
    <w:multiLevelType w:val="hybridMultilevel"/>
    <w:tmpl w:val="BC604008"/>
    <w:lvl w:ilvl="0" w:tplc="48A682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7E515F"/>
    <w:multiLevelType w:val="hybridMultilevel"/>
    <w:tmpl w:val="CB90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5A04C6"/>
    <w:multiLevelType w:val="hybridMultilevel"/>
    <w:tmpl w:val="AFEC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A21BE3"/>
    <w:multiLevelType w:val="hybridMultilevel"/>
    <w:tmpl w:val="FE3E3BBE"/>
    <w:lvl w:ilvl="0" w:tplc="32E4A6CA">
      <w:numFmt w:val="bullet"/>
      <w:lvlText w:val=""/>
      <w:lvlJc w:val="left"/>
      <w:pPr>
        <w:ind w:left="495" w:hanging="360"/>
      </w:pPr>
      <w:rPr>
        <w:rFonts w:ascii="Symbol" w:eastAsia="Times New Roman" w:hAnsi="Symbo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1">
    <w:nsid w:val="5893412B"/>
    <w:multiLevelType w:val="hybridMultilevel"/>
    <w:tmpl w:val="91F0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33202F"/>
    <w:multiLevelType w:val="hybridMultilevel"/>
    <w:tmpl w:val="AED2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4339C8"/>
    <w:multiLevelType w:val="hybridMultilevel"/>
    <w:tmpl w:val="40881A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8DB7242"/>
    <w:multiLevelType w:val="hybridMultilevel"/>
    <w:tmpl w:val="4704FC0A"/>
    <w:lvl w:ilvl="0" w:tplc="52588E8E">
      <w:numFmt w:val="bullet"/>
      <w:lvlText w:val=""/>
      <w:lvlJc w:val="left"/>
      <w:pPr>
        <w:ind w:left="855" w:hanging="360"/>
      </w:pPr>
      <w:rPr>
        <w:rFonts w:ascii="Symbol" w:eastAsia="Times New Roman" w:hAnsi="Symbol" w:cs="Arial" w:hint="default"/>
        <w:b w:val="0"/>
        <w:i w:val="0"/>
        <w:u w:val="none"/>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5">
    <w:nsid w:val="69F4039B"/>
    <w:multiLevelType w:val="hybridMultilevel"/>
    <w:tmpl w:val="E29CF5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6BCA6448"/>
    <w:multiLevelType w:val="hybridMultilevel"/>
    <w:tmpl w:val="38F2281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6DDE3A1F"/>
    <w:multiLevelType w:val="hybridMultilevel"/>
    <w:tmpl w:val="4812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5F0BB1"/>
    <w:multiLevelType w:val="hybridMultilevel"/>
    <w:tmpl w:val="5AE2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CF3CD3"/>
    <w:multiLevelType w:val="hybridMultilevel"/>
    <w:tmpl w:val="49968424"/>
    <w:lvl w:ilvl="0" w:tplc="DBDC12AA">
      <w:start w:val="8"/>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491EF9"/>
    <w:multiLevelType w:val="hybridMultilevel"/>
    <w:tmpl w:val="BC604008"/>
    <w:lvl w:ilvl="0" w:tplc="48A682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2F312D"/>
    <w:multiLevelType w:val="hybridMultilevel"/>
    <w:tmpl w:val="9DC65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8"/>
  </w:num>
  <w:num w:numId="4">
    <w:abstractNumId w:val="1"/>
  </w:num>
  <w:num w:numId="5">
    <w:abstractNumId w:val="19"/>
  </w:num>
  <w:num w:numId="6">
    <w:abstractNumId w:val="16"/>
  </w:num>
  <w:num w:numId="7">
    <w:abstractNumId w:val="13"/>
  </w:num>
  <w:num w:numId="8">
    <w:abstractNumId w:val="28"/>
  </w:num>
  <w:num w:numId="9">
    <w:abstractNumId w:val="12"/>
  </w:num>
  <w:num w:numId="10">
    <w:abstractNumId w:val="31"/>
  </w:num>
  <w:num w:numId="11">
    <w:abstractNumId w:val="11"/>
  </w:num>
  <w:num w:numId="12">
    <w:abstractNumId w:val="9"/>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14"/>
  </w:num>
  <w:num w:numId="17">
    <w:abstractNumId w:val="7"/>
  </w:num>
  <w:num w:numId="18">
    <w:abstractNumId w:val="25"/>
  </w:num>
  <w:num w:numId="19">
    <w:abstractNumId w:val="29"/>
  </w:num>
  <w:num w:numId="20">
    <w:abstractNumId w:val="2"/>
  </w:num>
  <w:num w:numId="21">
    <w:abstractNumId w:val="23"/>
  </w:num>
  <w:num w:numId="22">
    <w:abstractNumId w:val="5"/>
  </w:num>
  <w:num w:numId="23">
    <w:abstractNumId w:val="20"/>
  </w:num>
  <w:num w:numId="24">
    <w:abstractNumId w:val="24"/>
  </w:num>
  <w:num w:numId="25">
    <w:abstractNumId w:val="27"/>
  </w:num>
  <w:num w:numId="26">
    <w:abstractNumId w:val="30"/>
  </w:num>
  <w:num w:numId="27">
    <w:abstractNumId w:val="17"/>
  </w:num>
  <w:num w:numId="28">
    <w:abstractNumId w:val="3"/>
  </w:num>
  <w:num w:numId="29">
    <w:abstractNumId w:val="10"/>
  </w:num>
  <w:num w:numId="30">
    <w:abstractNumId w:val="8"/>
  </w:num>
  <w:num w:numId="31">
    <w:abstractNumId w:val="4"/>
  </w:num>
  <w:num w:numId="32">
    <w:abstractNumId w:val="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D47376"/>
    <w:rsid w:val="0002650D"/>
    <w:rsid w:val="00034956"/>
    <w:rsid w:val="0003528B"/>
    <w:rsid w:val="00046D9A"/>
    <w:rsid w:val="000529AB"/>
    <w:rsid w:val="0005335C"/>
    <w:rsid w:val="00072B65"/>
    <w:rsid w:val="00074C7B"/>
    <w:rsid w:val="000A0B56"/>
    <w:rsid w:val="000E75B5"/>
    <w:rsid w:val="000F4DB3"/>
    <w:rsid w:val="00125D8A"/>
    <w:rsid w:val="00130B40"/>
    <w:rsid w:val="0013406C"/>
    <w:rsid w:val="001502D3"/>
    <w:rsid w:val="00151A18"/>
    <w:rsid w:val="001711D3"/>
    <w:rsid w:val="001728D0"/>
    <w:rsid w:val="001863EA"/>
    <w:rsid w:val="00215753"/>
    <w:rsid w:val="00234F59"/>
    <w:rsid w:val="002635D8"/>
    <w:rsid w:val="002702BC"/>
    <w:rsid w:val="0027051C"/>
    <w:rsid w:val="00282FB8"/>
    <w:rsid w:val="00293E54"/>
    <w:rsid w:val="002C05E7"/>
    <w:rsid w:val="002D3CED"/>
    <w:rsid w:val="002E2169"/>
    <w:rsid w:val="002F4043"/>
    <w:rsid w:val="002F7311"/>
    <w:rsid w:val="0034683E"/>
    <w:rsid w:val="00351B31"/>
    <w:rsid w:val="00362F7E"/>
    <w:rsid w:val="00381C45"/>
    <w:rsid w:val="003C5C7C"/>
    <w:rsid w:val="003D0DFE"/>
    <w:rsid w:val="003E01B0"/>
    <w:rsid w:val="004028E5"/>
    <w:rsid w:val="00402F32"/>
    <w:rsid w:val="00410A12"/>
    <w:rsid w:val="0043109D"/>
    <w:rsid w:val="004719A5"/>
    <w:rsid w:val="0047550D"/>
    <w:rsid w:val="00487BFB"/>
    <w:rsid w:val="0049765A"/>
    <w:rsid w:val="004A54B7"/>
    <w:rsid w:val="004B0DA1"/>
    <w:rsid w:val="004C15E1"/>
    <w:rsid w:val="00511F8D"/>
    <w:rsid w:val="0052655B"/>
    <w:rsid w:val="00531D0E"/>
    <w:rsid w:val="00581CCE"/>
    <w:rsid w:val="005A6171"/>
    <w:rsid w:val="005A6ADC"/>
    <w:rsid w:val="005A6C4D"/>
    <w:rsid w:val="005C34DC"/>
    <w:rsid w:val="005D7967"/>
    <w:rsid w:val="005E41B1"/>
    <w:rsid w:val="005F718E"/>
    <w:rsid w:val="006039EB"/>
    <w:rsid w:val="006122D0"/>
    <w:rsid w:val="00613230"/>
    <w:rsid w:val="00633667"/>
    <w:rsid w:val="00634030"/>
    <w:rsid w:val="00634513"/>
    <w:rsid w:val="00634915"/>
    <w:rsid w:val="006369B8"/>
    <w:rsid w:val="00636C98"/>
    <w:rsid w:val="00645989"/>
    <w:rsid w:val="00685BF9"/>
    <w:rsid w:val="006A33C1"/>
    <w:rsid w:val="006B0A37"/>
    <w:rsid w:val="006B1B35"/>
    <w:rsid w:val="006B531F"/>
    <w:rsid w:val="006F327A"/>
    <w:rsid w:val="006F65FA"/>
    <w:rsid w:val="0073534D"/>
    <w:rsid w:val="007473B9"/>
    <w:rsid w:val="007713A8"/>
    <w:rsid w:val="007870FB"/>
    <w:rsid w:val="007B0465"/>
    <w:rsid w:val="007C70E9"/>
    <w:rsid w:val="007D4B2B"/>
    <w:rsid w:val="007E1DF3"/>
    <w:rsid w:val="008122FC"/>
    <w:rsid w:val="00831D71"/>
    <w:rsid w:val="00835D06"/>
    <w:rsid w:val="008459A1"/>
    <w:rsid w:val="00853A22"/>
    <w:rsid w:val="0086410B"/>
    <w:rsid w:val="008D54FB"/>
    <w:rsid w:val="008E328E"/>
    <w:rsid w:val="008E6CEE"/>
    <w:rsid w:val="00912EE8"/>
    <w:rsid w:val="009230DD"/>
    <w:rsid w:val="009337DF"/>
    <w:rsid w:val="00934F40"/>
    <w:rsid w:val="00952774"/>
    <w:rsid w:val="00953D3F"/>
    <w:rsid w:val="009551E4"/>
    <w:rsid w:val="00975696"/>
    <w:rsid w:val="00996741"/>
    <w:rsid w:val="009C3973"/>
    <w:rsid w:val="009E4FD5"/>
    <w:rsid w:val="00A27788"/>
    <w:rsid w:val="00A3074D"/>
    <w:rsid w:val="00A5456E"/>
    <w:rsid w:val="00A6308E"/>
    <w:rsid w:val="00A7282D"/>
    <w:rsid w:val="00A85F7D"/>
    <w:rsid w:val="00AC0192"/>
    <w:rsid w:val="00AC1153"/>
    <w:rsid w:val="00AC4CDB"/>
    <w:rsid w:val="00AC5A81"/>
    <w:rsid w:val="00AD5165"/>
    <w:rsid w:val="00AD765A"/>
    <w:rsid w:val="00AE727A"/>
    <w:rsid w:val="00B10243"/>
    <w:rsid w:val="00B363F9"/>
    <w:rsid w:val="00B47147"/>
    <w:rsid w:val="00B47E35"/>
    <w:rsid w:val="00B748D3"/>
    <w:rsid w:val="00B80173"/>
    <w:rsid w:val="00BA055D"/>
    <w:rsid w:val="00BD5AF6"/>
    <w:rsid w:val="00C12CC1"/>
    <w:rsid w:val="00C27858"/>
    <w:rsid w:val="00C31B1B"/>
    <w:rsid w:val="00C37293"/>
    <w:rsid w:val="00C76DE9"/>
    <w:rsid w:val="00C87E3F"/>
    <w:rsid w:val="00C92D43"/>
    <w:rsid w:val="00CA685E"/>
    <w:rsid w:val="00CB08BF"/>
    <w:rsid w:val="00CB0D23"/>
    <w:rsid w:val="00CC14F9"/>
    <w:rsid w:val="00CD3F6E"/>
    <w:rsid w:val="00CF3B17"/>
    <w:rsid w:val="00D01124"/>
    <w:rsid w:val="00D1277C"/>
    <w:rsid w:val="00D35CA7"/>
    <w:rsid w:val="00D36DE7"/>
    <w:rsid w:val="00D47376"/>
    <w:rsid w:val="00D61590"/>
    <w:rsid w:val="00D7500E"/>
    <w:rsid w:val="00D82F03"/>
    <w:rsid w:val="00D91235"/>
    <w:rsid w:val="00DA40A1"/>
    <w:rsid w:val="00DB5EA2"/>
    <w:rsid w:val="00DB7878"/>
    <w:rsid w:val="00DD0C8F"/>
    <w:rsid w:val="00DD363F"/>
    <w:rsid w:val="00DF16BC"/>
    <w:rsid w:val="00DF3F06"/>
    <w:rsid w:val="00E26A88"/>
    <w:rsid w:val="00E43552"/>
    <w:rsid w:val="00E457CE"/>
    <w:rsid w:val="00E82768"/>
    <w:rsid w:val="00E94328"/>
    <w:rsid w:val="00EA0603"/>
    <w:rsid w:val="00EF4BB6"/>
    <w:rsid w:val="00F1789F"/>
    <w:rsid w:val="00F27167"/>
    <w:rsid w:val="00F72A82"/>
    <w:rsid w:val="00FD0168"/>
    <w:rsid w:val="00FF072D"/>
    <w:rsid w:val="00FF1FE8"/>
    <w:rsid w:val="00FF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76"/>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CF3B1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4737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F3B17"/>
    <w:rPr>
      <w:rFonts w:ascii="Cambria" w:hAnsi="Cambria" w:cs="Times New Roman"/>
      <w:b/>
      <w:bCs/>
      <w:kern w:val="32"/>
      <w:sz w:val="32"/>
      <w:szCs w:val="32"/>
      <w:lang w:val="x-none" w:eastAsia="en-GB"/>
    </w:rPr>
  </w:style>
  <w:style w:type="character" w:customStyle="1" w:styleId="Heading2Char">
    <w:name w:val="Heading 2 Char"/>
    <w:basedOn w:val="DefaultParagraphFont"/>
    <w:link w:val="Heading2"/>
    <w:uiPriority w:val="9"/>
    <w:locked/>
    <w:rsid w:val="00D47376"/>
    <w:rPr>
      <w:rFonts w:ascii="Cambria" w:hAnsi="Cambria" w:cs="Times New Roman"/>
      <w:b/>
      <w:bCs/>
      <w:i/>
      <w:iCs/>
      <w:sz w:val="28"/>
      <w:szCs w:val="28"/>
      <w:lang w:val="x-none" w:eastAsia="en-GB"/>
    </w:rPr>
  </w:style>
  <w:style w:type="paragraph" w:styleId="ListParagraph">
    <w:name w:val="List Paragraph"/>
    <w:basedOn w:val="Normal"/>
    <w:uiPriority w:val="34"/>
    <w:qFormat/>
    <w:rsid w:val="00D47376"/>
    <w:pPr>
      <w:ind w:left="720"/>
      <w:contextualSpacing/>
    </w:pPr>
    <w:rPr>
      <w:rFonts w:ascii="Arial" w:hAnsi="Arial"/>
      <w:sz w:val="22"/>
      <w:szCs w:val="20"/>
    </w:rPr>
  </w:style>
  <w:style w:type="paragraph" w:customStyle="1" w:styleId="CharChar1CharCharCharCharCharCharCharCharChar">
    <w:name w:val="Char Char1 Char Char Char Char Char Char Char Char Char"/>
    <w:basedOn w:val="Normal"/>
    <w:rsid w:val="00D47376"/>
    <w:pPr>
      <w:spacing w:after="160" w:line="240" w:lineRule="exact"/>
    </w:pPr>
    <w:rPr>
      <w:rFonts w:ascii="Verdana" w:hAnsi="Verdana"/>
      <w:sz w:val="20"/>
      <w:szCs w:val="20"/>
      <w:lang w:val="en-US" w:eastAsia="en-US"/>
    </w:rPr>
  </w:style>
  <w:style w:type="character" w:styleId="Hyperlink">
    <w:name w:val="Hyperlink"/>
    <w:basedOn w:val="DefaultParagraphFont"/>
    <w:uiPriority w:val="99"/>
    <w:rsid w:val="00D47376"/>
    <w:rPr>
      <w:rFonts w:cs="Times New Roman"/>
      <w:color w:val="0000FF"/>
      <w:u w:val="single"/>
    </w:rPr>
  </w:style>
  <w:style w:type="paragraph" w:styleId="Title">
    <w:name w:val="Title"/>
    <w:basedOn w:val="Normal"/>
    <w:link w:val="TitleChar"/>
    <w:uiPriority w:val="10"/>
    <w:qFormat/>
    <w:rsid w:val="00D47376"/>
    <w:pPr>
      <w:ind w:left="720" w:hanging="720"/>
      <w:jc w:val="center"/>
    </w:pPr>
    <w:rPr>
      <w:rFonts w:ascii="Comic Sans MS" w:hAnsi="Comic Sans MS"/>
      <w:b/>
      <w:szCs w:val="20"/>
      <w:lang w:eastAsia="en-US"/>
    </w:rPr>
  </w:style>
  <w:style w:type="character" w:customStyle="1" w:styleId="TitleChar">
    <w:name w:val="Title Char"/>
    <w:basedOn w:val="DefaultParagraphFont"/>
    <w:link w:val="Title"/>
    <w:uiPriority w:val="10"/>
    <w:locked/>
    <w:rsid w:val="00D47376"/>
    <w:rPr>
      <w:rFonts w:ascii="Comic Sans MS" w:hAnsi="Comic Sans MS" w:cs="Times New Roman"/>
      <w:b/>
      <w:sz w:val="20"/>
      <w:szCs w:val="20"/>
    </w:rPr>
  </w:style>
  <w:style w:type="table" w:styleId="TableGrid">
    <w:name w:val="Table Grid"/>
    <w:basedOn w:val="TableNormal"/>
    <w:rsid w:val="00D4737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B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4B2B"/>
    <w:rPr>
      <w:rFonts w:ascii="Tahoma" w:hAnsi="Tahoma" w:cs="Tahoma"/>
      <w:sz w:val="16"/>
      <w:szCs w:val="16"/>
      <w:lang w:val="x-none" w:eastAsia="en-GB"/>
    </w:rPr>
  </w:style>
  <w:style w:type="paragraph" w:customStyle="1" w:styleId="CharChar1CharCharCharCharCharCharCharCharChar1">
    <w:name w:val="Char Char1 Char Char Char Char Char Char Char Char Char1"/>
    <w:basedOn w:val="Normal"/>
    <w:rsid w:val="00487BFB"/>
    <w:pPr>
      <w:spacing w:after="160" w:line="240" w:lineRule="exact"/>
    </w:pPr>
    <w:rPr>
      <w:rFonts w:ascii="Verdana" w:hAnsi="Verdana"/>
      <w:sz w:val="20"/>
      <w:szCs w:val="20"/>
      <w:lang w:val="en-US" w:eastAsia="en-US"/>
    </w:rPr>
  </w:style>
  <w:style w:type="paragraph" w:styleId="NormalWeb">
    <w:name w:val="Normal (Web)"/>
    <w:basedOn w:val="Normal"/>
    <w:uiPriority w:val="99"/>
    <w:semiHidden/>
    <w:unhideWhenUsed/>
    <w:rsid w:val="002635D8"/>
    <w:pPr>
      <w:spacing w:before="100" w:beforeAutospacing="1" w:after="100" w:afterAutospacing="1"/>
    </w:pPr>
  </w:style>
  <w:style w:type="paragraph" w:styleId="PlainText">
    <w:name w:val="Plain Text"/>
    <w:basedOn w:val="Normal"/>
    <w:link w:val="PlainTextChar"/>
    <w:uiPriority w:val="99"/>
    <w:unhideWhenUsed/>
    <w:rsid w:val="00046D9A"/>
    <w:pPr>
      <w:spacing w:after="200" w:line="276" w:lineRule="auto"/>
      <w:jc w:val="both"/>
    </w:pPr>
    <w:rPr>
      <w:rFonts w:ascii="Calibri" w:hAnsi="Calibri" w:cs="Calibri"/>
      <w:sz w:val="20"/>
      <w:szCs w:val="20"/>
      <w:lang w:eastAsia="en-US"/>
    </w:rPr>
  </w:style>
  <w:style w:type="character" w:customStyle="1" w:styleId="PlainTextChar">
    <w:name w:val="Plain Text Char"/>
    <w:basedOn w:val="DefaultParagraphFont"/>
    <w:link w:val="PlainText"/>
    <w:uiPriority w:val="99"/>
    <w:locked/>
    <w:rsid w:val="00046D9A"/>
    <w:rPr>
      <w:rFonts w:ascii="Calibri" w:hAnsi="Calibri" w:cs="Calibri"/>
      <w:sz w:val="20"/>
      <w:szCs w:val="20"/>
    </w:rPr>
  </w:style>
  <w:style w:type="paragraph" w:styleId="Header">
    <w:name w:val="header"/>
    <w:basedOn w:val="Normal"/>
    <w:link w:val="HeaderChar"/>
    <w:uiPriority w:val="99"/>
    <w:unhideWhenUsed/>
    <w:rsid w:val="00362F7E"/>
    <w:pPr>
      <w:tabs>
        <w:tab w:val="center" w:pos="4513"/>
        <w:tab w:val="right" w:pos="9026"/>
      </w:tabs>
    </w:pPr>
  </w:style>
  <w:style w:type="character" w:customStyle="1" w:styleId="HeaderChar">
    <w:name w:val="Header Char"/>
    <w:basedOn w:val="DefaultParagraphFont"/>
    <w:link w:val="Header"/>
    <w:uiPriority w:val="99"/>
    <w:locked/>
    <w:rsid w:val="00362F7E"/>
    <w:rPr>
      <w:rFonts w:ascii="Times New Roman" w:hAnsi="Times New Roman" w:cs="Times New Roman"/>
      <w:sz w:val="24"/>
      <w:szCs w:val="24"/>
      <w:lang w:val="x-none" w:eastAsia="en-GB"/>
    </w:rPr>
  </w:style>
  <w:style w:type="paragraph" w:styleId="Footer">
    <w:name w:val="footer"/>
    <w:basedOn w:val="Normal"/>
    <w:link w:val="FooterChar"/>
    <w:uiPriority w:val="99"/>
    <w:unhideWhenUsed/>
    <w:rsid w:val="00362F7E"/>
    <w:pPr>
      <w:tabs>
        <w:tab w:val="center" w:pos="4513"/>
        <w:tab w:val="right" w:pos="9026"/>
      </w:tabs>
    </w:pPr>
  </w:style>
  <w:style w:type="character" w:customStyle="1" w:styleId="FooterChar">
    <w:name w:val="Footer Char"/>
    <w:basedOn w:val="DefaultParagraphFont"/>
    <w:link w:val="Footer"/>
    <w:uiPriority w:val="99"/>
    <w:locked/>
    <w:rsid w:val="00362F7E"/>
    <w:rPr>
      <w:rFonts w:ascii="Times New Roman" w:hAnsi="Times New Roman" w:cs="Times New Roman"/>
      <w:sz w:val="24"/>
      <w:szCs w:val="24"/>
      <w:lang w:val="x-none" w:eastAsia="en-GB"/>
    </w:rPr>
  </w:style>
  <w:style w:type="table" w:customStyle="1" w:styleId="TableGrid1">
    <w:name w:val="Table Grid1"/>
    <w:basedOn w:val="TableNormal"/>
    <w:next w:val="TableGrid"/>
    <w:uiPriority w:val="59"/>
    <w:rsid w:val="00A5456E"/>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718E"/>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34030"/>
    <w:rPr>
      <w:b/>
      <w:bCs/>
      <w:i w:val="0"/>
      <w:iCs w:val="0"/>
    </w:rPr>
  </w:style>
  <w:style w:type="character" w:customStyle="1" w:styleId="st1">
    <w:name w:val="st1"/>
    <w:basedOn w:val="DefaultParagraphFont"/>
    <w:rsid w:val="00634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4305">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0">
          <w:marLeft w:val="0"/>
          <w:marRight w:val="0"/>
          <w:marTop w:val="0"/>
          <w:marBottom w:val="0"/>
          <w:divBdr>
            <w:top w:val="none" w:sz="0" w:space="0" w:color="auto"/>
            <w:left w:val="none" w:sz="0" w:space="0" w:color="auto"/>
            <w:bottom w:val="none" w:sz="0" w:space="0" w:color="auto"/>
            <w:right w:val="none" w:sz="0" w:space="0" w:color="auto"/>
          </w:divBdr>
          <w:divsChild>
            <w:div w:id="324016745">
              <w:marLeft w:val="0"/>
              <w:marRight w:val="0"/>
              <w:marTop w:val="0"/>
              <w:marBottom w:val="0"/>
              <w:divBdr>
                <w:top w:val="none" w:sz="0" w:space="0" w:color="auto"/>
                <w:left w:val="none" w:sz="0" w:space="0" w:color="auto"/>
                <w:bottom w:val="none" w:sz="0" w:space="0" w:color="auto"/>
                <w:right w:val="none" w:sz="0" w:space="0" w:color="auto"/>
              </w:divBdr>
              <w:divsChild>
                <w:div w:id="385645133">
                  <w:marLeft w:val="0"/>
                  <w:marRight w:val="0"/>
                  <w:marTop w:val="0"/>
                  <w:marBottom w:val="0"/>
                  <w:divBdr>
                    <w:top w:val="none" w:sz="0" w:space="0" w:color="auto"/>
                    <w:left w:val="none" w:sz="0" w:space="0" w:color="auto"/>
                    <w:bottom w:val="none" w:sz="0" w:space="0" w:color="auto"/>
                    <w:right w:val="none" w:sz="0" w:space="0" w:color="auto"/>
                  </w:divBdr>
                  <w:divsChild>
                    <w:div w:id="1050542844">
                      <w:marLeft w:val="0"/>
                      <w:marRight w:val="0"/>
                      <w:marTop w:val="0"/>
                      <w:marBottom w:val="0"/>
                      <w:divBdr>
                        <w:top w:val="none" w:sz="0" w:space="0" w:color="auto"/>
                        <w:left w:val="none" w:sz="0" w:space="0" w:color="auto"/>
                        <w:bottom w:val="none" w:sz="0" w:space="0" w:color="auto"/>
                        <w:right w:val="none" w:sz="0" w:space="0" w:color="auto"/>
                      </w:divBdr>
                      <w:divsChild>
                        <w:div w:id="1498228373">
                          <w:marLeft w:val="0"/>
                          <w:marRight w:val="0"/>
                          <w:marTop w:val="0"/>
                          <w:marBottom w:val="0"/>
                          <w:divBdr>
                            <w:top w:val="none" w:sz="0" w:space="0" w:color="auto"/>
                            <w:left w:val="none" w:sz="0" w:space="0" w:color="auto"/>
                            <w:bottom w:val="none" w:sz="0" w:space="0" w:color="auto"/>
                            <w:right w:val="none" w:sz="0" w:space="0" w:color="auto"/>
                          </w:divBdr>
                          <w:divsChild>
                            <w:div w:id="1281838855">
                              <w:marLeft w:val="0"/>
                              <w:marRight w:val="0"/>
                              <w:marTop w:val="0"/>
                              <w:marBottom w:val="0"/>
                              <w:divBdr>
                                <w:top w:val="none" w:sz="0" w:space="0" w:color="auto"/>
                                <w:left w:val="none" w:sz="0" w:space="0" w:color="auto"/>
                                <w:bottom w:val="none" w:sz="0" w:space="0" w:color="auto"/>
                                <w:right w:val="none" w:sz="0" w:space="0" w:color="auto"/>
                              </w:divBdr>
                              <w:divsChild>
                                <w:div w:id="1628926596">
                                  <w:marLeft w:val="0"/>
                                  <w:marRight w:val="0"/>
                                  <w:marTop w:val="0"/>
                                  <w:marBottom w:val="0"/>
                                  <w:divBdr>
                                    <w:top w:val="none" w:sz="0" w:space="0" w:color="auto"/>
                                    <w:left w:val="none" w:sz="0" w:space="0" w:color="auto"/>
                                    <w:bottom w:val="none" w:sz="0" w:space="0" w:color="auto"/>
                                    <w:right w:val="none" w:sz="0" w:space="0" w:color="auto"/>
                                  </w:divBdr>
                                  <w:divsChild>
                                    <w:div w:id="25760148">
                                      <w:marLeft w:val="0"/>
                                      <w:marRight w:val="0"/>
                                      <w:marTop w:val="0"/>
                                      <w:marBottom w:val="0"/>
                                      <w:divBdr>
                                        <w:top w:val="none" w:sz="0" w:space="0" w:color="auto"/>
                                        <w:left w:val="none" w:sz="0" w:space="0" w:color="auto"/>
                                        <w:bottom w:val="none" w:sz="0" w:space="0" w:color="auto"/>
                                        <w:right w:val="none" w:sz="0" w:space="0" w:color="auto"/>
                                      </w:divBdr>
                                      <w:divsChild>
                                        <w:div w:id="502016423">
                                          <w:marLeft w:val="0"/>
                                          <w:marRight w:val="0"/>
                                          <w:marTop w:val="0"/>
                                          <w:marBottom w:val="0"/>
                                          <w:divBdr>
                                            <w:top w:val="none" w:sz="0" w:space="0" w:color="auto"/>
                                            <w:left w:val="none" w:sz="0" w:space="0" w:color="auto"/>
                                            <w:bottom w:val="none" w:sz="0" w:space="0" w:color="auto"/>
                                            <w:right w:val="none" w:sz="0" w:space="0" w:color="auto"/>
                                          </w:divBdr>
                                          <w:divsChild>
                                            <w:div w:id="1885672487">
                                              <w:marLeft w:val="0"/>
                                              <w:marRight w:val="0"/>
                                              <w:marTop w:val="0"/>
                                              <w:marBottom w:val="0"/>
                                              <w:divBdr>
                                                <w:top w:val="none" w:sz="0" w:space="0" w:color="auto"/>
                                                <w:left w:val="none" w:sz="0" w:space="0" w:color="auto"/>
                                                <w:bottom w:val="none" w:sz="0" w:space="0" w:color="auto"/>
                                                <w:right w:val="none" w:sz="0" w:space="0" w:color="auto"/>
                                              </w:divBdr>
                                              <w:divsChild>
                                                <w:div w:id="15463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40991">
      <w:marLeft w:val="0"/>
      <w:marRight w:val="0"/>
      <w:marTop w:val="0"/>
      <w:marBottom w:val="0"/>
      <w:divBdr>
        <w:top w:val="none" w:sz="0" w:space="0" w:color="auto"/>
        <w:left w:val="none" w:sz="0" w:space="0" w:color="auto"/>
        <w:bottom w:val="none" w:sz="0" w:space="0" w:color="auto"/>
        <w:right w:val="none" w:sz="0" w:space="0" w:color="auto"/>
      </w:divBdr>
    </w:div>
    <w:div w:id="158540992">
      <w:marLeft w:val="0"/>
      <w:marRight w:val="0"/>
      <w:marTop w:val="0"/>
      <w:marBottom w:val="0"/>
      <w:divBdr>
        <w:top w:val="none" w:sz="0" w:space="0" w:color="auto"/>
        <w:left w:val="none" w:sz="0" w:space="0" w:color="auto"/>
        <w:bottom w:val="none" w:sz="0" w:space="0" w:color="auto"/>
        <w:right w:val="none" w:sz="0" w:space="0" w:color="auto"/>
      </w:divBdr>
    </w:div>
    <w:div w:id="158540993">
      <w:marLeft w:val="0"/>
      <w:marRight w:val="0"/>
      <w:marTop w:val="0"/>
      <w:marBottom w:val="0"/>
      <w:divBdr>
        <w:top w:val="none" w:sz="0" w:space="0" w:color="auto"/>
        <w:left w:val="none" w:sz="0" w:space="0" w:color="auto"/>
        <w:bottom w:val="none" w:sz="0" w:space="0" w:color="auto"/>
        <w:right w:val="none" w:sz="0" w:space="0" w:color="auto"/>
      </w:divBdr>
    </w:div>
    <w:div w:id="158540994">
      <w:marLeft w:val="0"/>
      <w:marRight w:val="0"/>
      <w:marTop w:val="0"/>
      <w:marBottom w:val="0"/>
      <w:divBdr>
        <w:top w:val="none" w:sz="0" w:space="0" w:color="auto"/>
        <w:left w:val="none" w:sz="0" w:space="0" w:color="auto"/>
        <w:bottom w:val="none" w:sz="0" w:space="0" w:color="auto"/>
        <w:right w:val="none" w:sz="0" w:space="0" w:color="auto"/>
      </w:divBdr>
    </w:div>
    <w:div w:id="158540995">
      <w:marLeft w:val="0"/>
      <w:marRight w:val="0"/>
      <w:marTop w:val="0"/>
      <w:marBottom w:val="0"/>
      <w:divBdr>
        <w:top w:val="none" w:sz="0" w:space="0" w:color="auto"/>
        <w:left w:val="none" w:sz="0" w:space="0" w:color="auto"/>
        <w:bottom w:val="none" w:sz="0" w:space="0" w:color="auto"/>
        <w:right w:val="none" w:sz="0" w:space="0" w:color="auto"/>
      </w:divBdr>
    </w:div>
    <w:div w:id="158540996">
      <w:marLeft w:val="0"/>
      <w:marRight w:val="0"/>
      <w:marTop w:val="0"/>
      <w:marBottom w:val="0"/>
      <w:divBdr>
        <w:top w:val="none" w:sz="0" w:space="0" w:color="auto"/>
        <w:left w:val="none" w:sz="0" w:space="0" w:color="auto"/>
        <w:bottom w:val="none" w:sz="0" w:space="0" w:color="auto"/>
        <w:right w:val="none" w:sz="0" w:space="0" w:color="auto"/>
      </w:divBdr>
    </w:div>
    <w:div w:id="158540997">
      <w:marLeft w:val="0"/>
      <w:marRight w:val="0"/>
      <w:marTop w:val="0"/>
      <w:marBottom w:val="0"/>
      <w:divBdr>
        <w:top w:val="none" w:sz="0" w:space="0" w:color="auto"/>
        <w:left w:val="none" w:sz="0" w:space="0" w:color="auto"/>
        <w:bottom w:val="none" w:sz="0" w:space="0" w:color="auto"/>
        <w:right w:val="none" w:sz="0" w:space="0" w:color="auto"/>
      </w:divBdr>
    </w:div>
    <w:div w:id="158540998">
      <w:marLeft w:val="0"/>
      <w:marRight w:val="0"/>
      <w:marTop w:val="0"/>
      <w:marBottom w:val="0"/>
      <w:divBdr>
        <w:top w:val="none" w:sz="0" w:space="0" w:color="auto"/>
        <w:left w:val="none" w:sz="0" w:space="0" w:color="auto"/>
        <w:bottom w:val="none" w:sz="0" w:space="0" w:color="auto"/>
        <w:right w:val="none" w:sz="0" w:space="0" w:color="auto"/>
      </w:divBdr>
    </w:div>
    <w:div w:id="158540999">
      <w:marLeft w:val="0"/>
      <w:marRight w:val="0"/>
      <w:marTop w:val="0"/>
      <w:marBottom w:val="0"/>
      <w:divBdr>
        <w:top w:val="none" w:sz="0" w:space="0" w:color="auto"/>
        <w:left w:val="none" w:sz="0" w:space="0" w:color="auto"/>
        <w:bottom w:val="none" w:sz="0" w:space="0" w:color="auto"/>
        <w:right w:val="none" w:sz="0" w:space="0" w:color="auto"/>
      </w:divBdr>
    </w:div>
    <w:div w:id="158541000">
      <w:marLeft w:val="0"/>
      <w:marRight w:val="0"/>
      <w:marTop w:val="0"/>
      <w:marBottom w:val="0"/>
      <w:divBdr>
        <w:top w:val="none" w:sz="0" w:space="0" w:color="auto"/>
        <w:left w:val="none" w:sz="0" w:space="0" w:color="auto"/>
        <w:bottom w:val="none" w:sz="0" w:space="0" w:color="auto"/>
        <w:right w:val="none" w:sz="0" w:space="0" w:color="auto"/>
      </w:divBdr>
    </w:div>
    <w:div w:id="235558346">
      <w:bodyDiv w:val="1"/>
      <w:marLeft w:val="0"/>
      <w:marRight w:val="0"/>
      <w:marTop w:val="0"/>
      <w:marBottom w:val="0"/>
      <w:divBdr>
        <w:top w:val="none" w:sz="0" w:space="0" w:color="auto"/>
        <w:left w:val="none" w:sz="0" w:space="0" w:color="auto"/>
        <w:bottom w:val="none" w:sz="0" w:space="0" w:color="auto"/>
        <w:right w:val="none" w:sz="0" w:space="0" w:color="auto"/>
      </w:divBdr>
    </w:div>
    <w:div w:id="606160080">
      <w:bodyDiv w:val="1"/>
      <w:marLeft w:val="0"/>
      <w:marRight w:val="0"/>
      <w:marTop w:val="0"/>
      <w:marBottom w:val="0"/>
      <w:divBdr>
        <w:top w:val="none" w:sz="0" w:space="0" w:color="auto"/>
        <w:left w:val="none" w:sz="0" w:space="0" w:color="auto"/>
        <w:bottom w:val="none" w:sz="0" w:space="0" w:color="auto"/>
        <w:right w:val="none" w:sz="0" w:space="0" w:color="auto"/>
      </w:divBdr>
      <w:divsChild>
        <w:div w:id="911112722">
          <w:marLeft w:val="0"/>
          <w:marRight w:val="0"/>
          <w:marTop w:val="0"/>
          <w:marBottom w:val="0"/>
          <w:divBdr>
            <w:top w:val="none" w:sz="0" w:space="0" w:color="auto"/>
            <w:left w:val="none" w:sz="0" w:space="0" w:color="auto"/>
            <w:bottom w:val="none" w:sz="0" w:space="0" w:color="auto"/>
            <w:right w:val="none" w:sz="0" w:space="0" w:color="auto"/>
          </w:divBdr>
          <w:divsChild>
            <w:div w:id="243685230">
              <w:marLeft w:val="0"/>
              <w:marRight w:val="0"/>
              <w:marTop w:val="0"/>
              <w:marBottom w:val="0"/>
              <w:divBdr>
                <w:top w:val="none" w:sz="0" w:space="0" w:color="auto"/>
                <w:left w:val="none" w:sz="0" w:space="0" w:color="auto"/>
                <w:bottom w:val="none" w:sz="0" w:space="0" w:color="auto"/>
                <w:right w:val="none" w:sz="0" w:space="0" w:color="auto"/>
              </w:divBdr>
              <w:divsChild>
                <w:div w:id="1314523787">
                  <w:marLeft w:val="0"/>
                  <w:marRight w:val="0"/>
                  <w:marTop w:val="0"/>
                  <w:marBottom w:val="0"/>
                  <w:divBdr>
                    <w:top w:val="none" w:sz="0" w:space="0" w:color="auto"/>
                    <w:left w:val="none" w:sz="0" w:space="0" w:color="auto"/>
                    <w:bottom w:val="none" w:sz="0" w:space="0" w:color="auto"/>
                    <w:right w:val="none" w:sz="0" w:space="0" w:color="auto"/>
                  </w:divBdr>
                  <w:divsChild>
                    <w:div w:id="1098909425">
                      <w:marLeft w:val="0"/>
                      <w:marRight w:val="0"/>
                      <w:marTop w:val="0"/>
                      <w:marBottom w:val="0"/>
                      <w:divBdr>
                        <w:top w:val="none" w:sz="0" w:space="0" w:color="auto"/>
                        <w:left w:val="none" w:sz="0" w:space="0" w:color="auto"/>
                        <w:bottom w:val="none" w:sz="0" w:space="0" w:color="auto"/>
                        <w:right w:val="none" w:sz="0" w:space="0" w:color="auto"/>
                      </w:divBdr>
                      <w:divsChild>
                        <w:div w:id="848445209">
                          <w:marLeft w:val="0"/>
                          <w:marRight w:val="0"/>
                          <w:marTop w:val="0"/>
                          <w:marBottom w:val="0"/>
                          <w:divBdr>
                            <w:top w:val="none" w:sz="0" w:space="0" w:color="auto"/>
                            <w:left w:val="none" w:sz="0" w:space="0" w:color="auto"/>
                            <w:bottom w:val="none" w:sz="0" w:space="0" w:color="auto"/>
                            <w:right w:val="none" w:sz="0" w:space="0" w:color="auto"/>
                          </w:divBdr>
                          <w:divsChild>
                            <w:div w:id="3499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72251">
      <w:bodyDiv w:val="1"/>
      <w:marLeft w:val="0"/>
      <w:marRight w:val="0"/>
      <w:marTop w:val="0"/>
      <w:marBottom w:val="0"/>
      <w:divBdr>
        <w:top w:val="none" w:sz="0" w:space="0" w:color="auto"/>
        <w:left w:val="none" w:sz="0" w:space="0" w:color="auto"/>
        <w:bottom w:val="none" w:sz="0" w:space="0" w:color="auto"/>
        <w:right w:val="none" w:sz="0" w:space="0" w:color="auto"/>
      </w:divBdr>
    </w:div>
    <w:div w:id="1506699841">
      <w:bodyDiv w:val="1"/>
      <w:marLeft w:val="0"/>
      <w:marRight w:val="0"/>
      <w:marTop w:val="0"/>
      <w:marBottom w:val="0"/>
      <w:divBdr>
        <w:top w:val="none" w:sz="0" w:space="0" w:color="auto"/>
        <w:left w:val="none" w:sz="0" w:space="0" w:color="auto"/>
        <w:bottom w:val="none" w:sz="0" w:space="0" w:color="auto"/>
        <w:right w:val="none" w:sz="0" w:space="0" w:color="auto"/>
      </w:divBdr>
      <w:divsChild>
        <w:div w:id="949435252">
          <w:marLeft w:val="0"/>
          <w:marRight w:val="0"/>
          <w:marTop w:val="0"/>
          <w:marBottom w:val="0"/>
          <w:divBdr>
            <w:top w:val="none" w:sz="0" w:space="0" w:color="auto"/>
            <w:left w:val="none" w:sz="0" w:space="0" w:color="auto"/>
            <w:bottom w:val="none" w:sz="0" w:space="0" w:color="auto"/>
            <w:right w:val="none" w:sz="0" w:space="0" w:color="auto"/>
          </w:divBdr>
          <w:divsChild>
            <w:div w:id="74284663">
              <w:marLeft w:val="0"/>
              <w:marRight w:val="0"/>
              <w:marTop w:val="0"/>
              <w:marBottom w:val="0"/>
              <w:divBdr>
                <w:top w:val="none" w:sz="0" w:space="0" w:color="auto"/>
                <w:left w:val="none" w:sz="0" w:space="0" w:color="auto"/>
                <w:bottom w:val="none" w:sz="0" w:space="0" w:color="auto"/>
                <w:right w:val="none" w:sz="0" w:space="0" w:color="auto"/>
              </w:divBdr>
              <w:divsChild>
                <w:div w:id="1849173325">
                  <w:marLeft w:val="0"/>
                  <w:marRight w:val="0"/>
                  <w:marTop w:val="0"/>
                  <w:marBottom w:val="0"/>
                  <w:divBdr>
                    <w:top w:val="none" w:sz="0" w:space="0" w:color="auto"/>
                    <w:left w:val="none" w:sz="0" w:space="0" w:color="auto"/>
                    <w:bottom w:val="none" w:sz="0" w:space="0" w:color="auto"/>
                    <w:right w:val="none" w:sz="0" w:space="0" w:color="auto"/>
                  </w:divBdr>
                  <w:divsChild>
                    <w:div w:id="2012760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5938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icholas_fortt@bathnes.gov.uk" TargetMode="External"/><Relationship Id="rId4" Type="http://schemas.microsoft.com/office/2007/relationships/stylesWithEffects" Target="stylesWithEffects.xml"/><Relationship Id="rId9" Type="http://schemas.openxmlformats.org/officeDocument/2006/relationships/hyperlink" Target="mailto:Christopher_wilford@bathne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34B7-3C1A-45DD-A643-C651E39F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53EE5579</Template>
  <TotalTime>2</TotalTime>
  <Pages>3</Pages>
  <Words>998</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mccolla</dc:creator>
  <cp:lastModifiedBy>Marie Lane</cp:lastModifiedBy>
  <cp:revision>4</cp:revision>
  <cp:lastPrinted>2016-11-14T17:06:00Z</cp:lastPrinted>
  <dcterms:created xsi:type="dcterms:W3CDTF">2017-01-05T16:55:00Z</dcterms:created>
  <dcterms:modified xsi:type="dcterms:W3CDTF">2017-01-10T13:57:00Z</dcterms:modified>
</cp:coreProperties>
</file>