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37" w:rsidRPr="00CF2937" w:rsidRDefault="00CF2937" w:rsidP="00CF2937">
      <w:pPr>
        <w:rPr>
          <w:rFonts w:ascii="Century Gothic" w:hAnsi="Century Gothic"/>
          <w:color w:val="073254"/>
          <w:sz w:val="18"/>
          <w:szCs w:val="18"/>
          <w:lang w:eastAsia="en-US"/>
        </w:rPr>
      </w:pPr>
    </w:p>
    <w:tbl>
      <w:tblPr>
        <w:tblW w:w="10308" w:type="dxa"/>
        <w:tblBorders>
          <w:top w:val="single" w:sz="4" w:space="0" w:color="auto"/>
          <w:bottom w:val="single" w:sz="4" w:space="0" w:color="auto"/>
        </w:tblBorders>
        <w:tblLayout w:type="fixed"/>
        <w:tblLook w:val="0000" w:firstRow="0" w:lastRow="0" w:firstColumn="0" w:lastColumn="0" w:noHBand="0" w:noVBand="0"/>
      </w:tblPr>
      <w:tblGrid>
        <w:gridCol w:w="1278"/>
        <w:gridCol w:w="4710"/>
        <w:gridCol w:w="3256"/>
        <w:gridCol w:w="1064"/>
      </w:tblGrid>
      <w:tr w:rsidR="00CF2937" w:rsidRPr="00CF2937" w:rsidTr="00AF65D2">
        <w:tc>
          <w:tcPr>
            <w:tcW w:w="5988" w:type="dxa"/>
            <w:gridSpan w:val="2"/>
            <w:tcBorders>
              <w:top w:val="nil"/>
              <w:bottom w:val="nil"/>
            </w:tcBorders>
          </w:tcPr>
          <w:p w:rsidR="00CF2937" w:rsidRPr="00CF2937" w:rsidRDefault="00CF2937" w:rsidP="00CF2937">
            <w:pPr>
              <w:rPr>
                <w:rFonts w:cs="Arial"/>
              </w:rPr>
            </w:pPr>
            <w:r w:rsidRPr="00CF2937">
              <w:rPr>
                <w:rFonts w:cs="Arial"/>
              </w:rPr>
              <w:br w:type="page"/>
            </w:r>
          </w:p>
          <w:p w:rsidR="00CF2937" w:rsidRPr="00CF2937" w:rsidRDefault="00CF2937" w:rsidP="00CF2937">
            <w:pPr>
              <w:rPr>
                <w:rFonts w:cs="Arial"/>
              </w:rPr>
            </w:pPr>
          </w:p>
          <w:p w:rsidR="00CF2937" w:rsidRPr="00CF2937" w:rsidRDefault="00CF2937" w:rsidP="00CF2937">
            <w:pPr>
              <w:rPr>
                <w:rFonts w:cs="Arial"/>
                <w:b/>
                <w:sz w:val="8"/>
                <w:szCs w:val="16"/>
              </w:rPr>
            </w:pPr>
            <w:r w:rsidRPr="00CF2937">
              <w:rPr>
                <w:rFonts w:cs="Arial"/>
                <w:noProof/>
              </w:rPr>
              <w:drawing>
                <wp:anchor distT="0" distB="0" distL="114300" distR="114300" simplePos="0" relativeHeight="251661312" behindDoc="0" locked="0" layoutInCell="1" allowOverlap="1" wp14:anchorId="4B3D69B5" wp14:editId="0E0D342D">
                  <wp:simplePos x="0" y="0"/>
                  <wp:positionH relativeFrom="column">
                    <wp:posOffset>-76200</wp:posOffset>
                  </wp:positionH>
                  <wp:positionV relativeFrom="paragraph">
                    <wp:posOffset>13335</wp:posOffset>
                  </wp:positionV>
                  <wp:extent cx="1905000" cy="744220"/>
                  <wp:effectExtent l="0" t="0" r="0" b="0"/>
                  <wp:wrapNone/>
                  <wp:docPr id="5" name="Picture 5" descr="B&amp;NES-PC-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mp;NES-PC-Sp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744220"/>
                          </a:xfrm>
                          <a:prstGeom prst="rect">
                            <a:avLst/>
                          </a:prstGeom>
                          <a:noFill/>
                        </pic:spPr>
                      </pic:pic>
                    </a:graphicData>
                  </a:graphic>
                  <wp14:sizeRelH relativeFrom="page">
                    <wp14:pctWidth>0</wp14:pctWidth>
                  </wp14:sizeRelH>
                  <wp14:sizeRelV relativeFrom="page">
                    <wp14:pctHeight>0</wp14:pctHeight>
                  </wp14:sizeRelV>
                </wp:anchor>
              </w:drawing>
            </w:r>
          </w:p>
          <w:p w:rsidR="00CF2937" w:rsidRPr="00CF2937" w:rsidRDefault="00CF2937" w:rsidP="00CF2937">
            <w:pPr>
              <w:keepNext/>
              <w:ind w:left="720"/>
              <w:outlineLvl w:val="0"/>
              <w:rPr>
                <w:rFonts w:cs="Arial"/>
                <w:b/>
              </w:rPr>
            </w:pPr>
          </w:p>
          <w:p w:rsidR="00CF2937" w:rsidRPr="00CF2937" w:rsidRDefault="00CF2937" w:rsidP="00CF2937">
            <w:pPr>
              <w:keepNext/>
              <w:outlineLvl w:val="0"/>
              <w:rPr>
                <w:rFonts w:cs="Arial"/>
                <w:b/>
              </w:rPr>
            </w:pPr>
          </w:p>
          <w:p w:rsidR="00CF2937" w:rsidRPr="00CF2937" w:rsidRDefault="00CF2937" w:rsidP="00CF2937">
            <w:pPr>
              <w:keepNext/>
              <w:outlineLvl w:val="0"/>
              <w:rPr>
                <w:rFonts w:cs="Arial"/>
                <w:b/>
              </w:rPr>
            </w:pPr>
          </w:p>
          <w:p w:rsidR="00CF2937" w:rsidRPr="00CF2937" w:rsidRDefault="00CF2937" w:rsidP="00CF2937">
            <w:pPr>
              <w:keepNext/>
              <w:outlineLvl w:val="0"/>
              <w:rPr>
                <w:rFonts w:cs="Arial"/>
                <w:b/>
              </w:rPr>
            </w:pPr>
          </w:p>
          <w:p w:rsidR="00CF2937" w:rsidRPr="00CF2937" w:rsidRDefault="00CF2937" w:rsidP="00CF2937">
            <w:pPr>
              <w:keepNext/>
              <w:outlineLvl w:val="0"/>
              <w:rPr>
                <w:rFonts w:cs="Arial"/>
                <w:b/>
              </w:rPr>
            </w:pPr>
          </w:p>
          <w:p w:rsidR="00CF2937" w:rsidRPr="00CF2937" w:rsidRDefault="00CF2937" w:rsidP="00CF2937">
            <w:pPr>
              <w:keepNext/>
              <w:outlineLvl w:val="0"/>
              <w:rPr>
                <w:rFonts w:cs="Arial"/>
                <w:b/>
              </w:rPr>
            </w:pPr>
            <w:r w:rsidRPr="00CF2937">
              <w:rPr>
                <w:rFonts w:cs="Arial"/>
                <w:b/>
              </w:rPr>
              <w:t>People and Communities Department</w:t>
            </w:r>
          </w:p>
        </w:tc>
        <w:tc>
          <w:tcPr>
            <w:tcW w:w="4320" w:type="dxa"/>
            <w:gridSpan w:val="2"/>
            <w:tcBorders>
              <w:top w:val="nil"/>
              <w:bottom w:val="nil"/>
            </w:tcBorders>
          </w:tcPr>
          <w:p w:rsidR="00CF2937" w:rsidRPr="00CF2937" w:rsidRDefault="00CF2937" w:rsidP="00CF2937">
            <w:pPr>
              <w:rPr>
                <w:rFonts w:cs="Arial"/>
                <w:b/>
              </w:rPr>
            </w:pPr>
            <w:r w:rsidRPr="00CF2937">
              <w:rPr>
                <w:rFonts w:ascii="Times New Roman" w:hAnsi="Times New Roman"/>
                <w:noProof/>
              </w:rPr>
              <mc:AlternateContent>
                <mc:Choice Requires="wps">
                  <w:drawing>
                    <wp:anchor distT="0" distB="0" distL="114300" distR="114300" simplePos="0" relativeHeight="251662336" behindDoc="0" locked="0" layoutInCell="1" allowOverlap="1" wp14:anchorId="2B9759A5" wp14:editId="6856EABA">
                      <wp:simplePos x="0" y="0"/>
                      <wp:positionH relativeFrom="column">
                        <wp:posOffset>1423889</wp:posOffset>
                      </wp:positionH>
                      <wp:positionV relativeFrom="paragraph">
                        <wp:posOffset>1267285</wp:posOffset>
                      </wp:positionV>
                      <wp:extent cx="767562" cy="496570"/>
                      <wp:effectExtent l="0" t="0" r="13970"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562" cy="496570"/>
                              </a:xfrm>
                              <a:prstGeom prst="rect">
                                <a:avLst/>
                              </a:prstGeom>
                              <a:solidFill>
                                <a:srgbClr val="FFFFFF"/>
                              </a:solidFill>
                              <a:ln w="9525">
                                <a:solidFill>
                                  <a:srgbClr val="000000"/>
                                </a:solidFill>
                                <a:miter lim="800000"/>
                                <a:headEnd/>
                                <a:tailEnd/>
                              </a:ln>
                            </wps:spPr>
                            <wps:txbx>
                              <w:txbxContent>
                                <w:p w:rsidR="00CF2937" w:rsidRPr="004C3528" w:rsidRDefault="00102297" w:rsidP="00CF2937">
                                  <w:pPr>
                                    <w:rPr>
                                      <w:rFonts w:cs="Arial"/>
                                      <w:sz w:val="56"/>
                                      <w:szCs w:val="56"/>
                                    </w:rPr>
                                  </w:pPr>
                                  <w:r>
                                    <w:rPr>
                                      <w:rFonts w:cs="Arial"/>
                                      <w:sz w:val="56"/>
                                      <w:szCs w:val="5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2.1pt;margin-top:99.8pt;width:60.45pt;height:3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">
                      <v:textbox>
                        <w:txbxContent>
                          <w:p w:rsidR="00CF2937" w:rsidRPr="004C3528" w:rsidRDefault="00102297" w:rsidP="00CF2937">
                            <w:pPr>
                              <w:rPr>
                                <w:rFonts w:cs="Arial"/>
                                <w:sz w:val="56"/>
                                <w:szCs w:val="56"/>
                              </w:rPr>
                            </w:pPr>
                            <w:r>
                              <w:rPr>
                                <w:rFonts w:cs="Arial"/>
                                <w:sz w:val="56"/>
                                <w:szCs w:val="56"/>
                              </w:rPr>
                              <w:t>11</w:t>
                            </w:r>
                          </w:p>
                        </w:txbxContent>
                      </v:textbox>
                    </v:shape>
                  </w:pict>
                </mc:Fallback>
              </mc:AlternateContent>
            </w:r>
            <w:r w:rsidRPr="00CF2937">
              <w:rPr>
                <w:rFonts w:cs="Arial"/>
                <w:b/>
                <w:noProof/>
              </w:rPr>
              <mc:AlternateContent>
                <mc:Choice Requires="wps">
                  <w:drawing>
                    <wp:anchor distT="0" distB="0" distL="114300" distR="114300" simplePos="0" relativeHeight="251660288" behindDoc="0" locked="0" layoutInCell="1" allowOverlap="1" wp14:anchorId="6977CEF7" wp14:editId="344BBB10">
                      <wp:simplePos x="0" y="0"/>
                      <wp:positionH relativeFrom="column">
                        <wp:posOffset>-68580</wp:posOffset>
                      </wp:positionH>
                      <wp:positionV relativeFrom="paragraph">
                        <wp:posOffset>363855</wp:posOffset>
                      </wp:positionV>
                      <wp:extent cx="2342515" cy="808990"/>
                      <wp:effectExtent l="0" t="0" r="63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80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2937" w:rsidRPr="00A76370" w:rsidRDefault="00CF2937" w:rsidP="00CF2937">
                                  <w:pPr>
                                    <w:ind w:left="1440" w:hanging="960"/>
                                    <w:rPr>
                                      <w:rFonts w:cs="Arial"/>
                                      <w:b/>
                                      <w:bCs/>
                                      <w:sz w:val="32"/>
                                      <w:szCs w:val="32"/>
                                    </w:rPr>
                                  </w:pPr>
                                  <w:r>
                                    <w:rPr>
                                      <w:noProof/>
                                    </w:rPr>
                                    <w:drawing>
                                      <wp:inline distT="0" distB="0" distL="0" distR="0" wp14:anchorId="3A92EE97" wp14:editId="31D7E1EF">
                                        <wp:extent cx="1851660" cy="717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717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4pt;margin-top:28.65pt;width:184.45pt;height:63.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" stroked="f">
                      <v:textbox style="mso-fit-shape-to-text:t">
                        <w:txbxContent>
                          <w:p w:rsidR="00CF2937" w:rsidRPr="00A76370" w:rsidRDefault="00CF2937" w:rsidP="00CF2937">
                            <w:pPr>
                              <w:ind w:left="1440" w:hanging="960"/>
                              <w:rPr>
                                <w:rFonts w:cs="Arial"/>
                                <w:b/>
                                <w:bCs/>
                                <w:sz w:val="32"/>
                                <w:szCs w:val="32"/>
                              </w:rPr>
                            </w:pPr>
                            <w:r>
                              <w:rPr>
                                <w:noProof/>
                              </w:rPr>
                              <w:drawing>
                                <wp:inline distT="0" distB="0" distL="0" distR="0" wp14:anchorId="3A92EE97" wp14:editId="31D7E1EF">
                                  <wp:extent cx="1851660" cy="717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717550"/>
                                          </a:xfrm>
                                          <a:prstGeom prst="rect">
                                            <a:avLst/>
                                          </a:prstGeom>
                                          <a:noFill/>
                                          <a:ln>
                                            <a:noFill/>
                                          </a:ln>
                                        </pic:spPr>
                                      </pic:pic>
                                    </a:graphicData>
                                  </a:graphic>
                                </wp:inline>
                              </w:drawing>
                            </w:r>
                          </w:p>
                        </w:txbxContent>
                      </v:textbox>
                      <w10:wrap type="square"/>
                    </v:shape>
                  </w:pict>
                </mc:Fallback>
              </mc:AlternateContent>
            </w:r>
          </w:p>
        </w:tc>
      </w:tr>
      <w:tr w:rsidR="00CF2937" w:rsidRPr="00CF2937" w:rsidTr="00AF65D2">
        <w:trPr>
          <w:gridAfter w:val="1"/>
          <w:wAfter w:w="1064" w:type="dxa"/>
          <w:trHeight w:val="152"/>
        </w:trPr>
        <w:tc>
          <w:tcPr>
            <w:tcW w:w="1278" w:type="dxa"/>
            <w:tcBorders>
              <w:top w:val="nil"/>
              <w:bottom w:val="nil"/>
            </w:tcBorders>
          </w:tcPr>
          <w:p w:rsidR="00CF2937" w:rsidRPr="00CF2937" w:rsidRDefault="00CF2937" w:rsidP="00CF2937">
            <w:pPr>
              <w:rPr>
                <w:rFonts w:cs="Arial"/>
              </w:rPr>
            </w:pPr>
          </w:p>
        </w:tc>
        <w:tc>
          <w:tcPr>
            <w:tcW w:w="7966" w:type="dxa"/>
            <w:gridSpan w:val="2"/>
            <w:tcBorders>
              <w:top w:val="nil"/>
              <w:bottom w:val="nil"/>
            </w:tcBorders>
          </w:tcPr>
          <w:p w:rsidR="00CF2937" w:rsidRPr="00CF2937" w:rsidRDefault="00CF2937" w:rsidP="00CF2937">
            <w:pPr>
              <w:rPr>
                <w:rFonts w:cs="Arial"/>
                <w:sz w:val="18"/>
                <w:szCs w:val="18"/>
              </w:rPr>
            </w:pPr>
            <w:smartTag w:uri="urn:schemas-microsoft-com:office:smarttags" w:element="address">
              <w:smartTag w:uri="urn:schemas-microsoft-com:office:smarttags" w:element="Street">
                <w:r w:rsidRPr="00CF2937">
                  <w:rPr>
                    <w:rFonts w:cs="Arial"/>
                    <w:sz w:val="18"/>
                    <w:szCs w:val="18"/>
                  </w:rPr>
                  <w:t>PO Box 25</w:t>
                </w:r>
              </w:smartTag>
              <w:r w:rsidRPr="00CF2937">
                <w:rPr>
                  <w:rFonts w:cs="Arial"/>
                  <w:sz w:val="18"/>
                  <w:szCs w:val="18"/>
                </w:rPr>
                <w:t xml:space="preserve">, </w:t>
              </w:r>
              <w:smartTag w:uri="urn:schemas-microsoft-com:office:smarttags" w:element="City">
                <w:r w:rsidRPr="00CF2937">
                  <w:rPr>
                    <w:rFonts w:cs="Arial"/>
                    <w:sz w:val="18"/>
                    <w:szCs w:val="18"/>
                  </w:rPr>
                  <w:t>Riverside</w:t>
                </w:r>
              </w:smartTag>
            </w:smartTag>
            <w:r w:rsidRPr="00CF2937">
              <w:rPr>
                <w:rFonts w:cs="Arial"/>
                <w:sz w:val="18"/>
                <w:szCs w:val="18"/>
              </w:rPr>
              <w:t xml:space="preserve">, </w:t>
            </w:r>
            <w:smartTag w:uri="urn:schemas-microsoft-com:office:smarttags" w:element="Street">
              <w:smartTag w:uri="urn:schemas-microsoft-com:office:smarttags" w:element="address">
                <w:r w:rsidRPr="00CF2937">
                  <w:rPr>
                    <w:rFonts w:cs="Arial"/>
                    <w:sz w:val="18"/>
                    <w:szCs w:val="18"/>
                  </w:rPr>
                  <w:t>Temple Street</w:t>
                </w:r>
              </w:smartTag>
            </w:smartTag>
            <w:r w:rsidRPr="00CF2937">
              <w:rPr>
                <w:rFonts w:cs="Arial"/>
                <w:sz w:val="18"/>
                <w:szCs w:val="18"/>
              </w:rPr>
              <w:t xml:space="preserve">, Keynsham, </w:t>
            </w:r>
            <w:smartTag w:uri="urn:schemas-microsoft-com:office:smarttags" w:element="City">
              <w:smartTag w:uri="urn:schemas-microsoft-com:office:smarttags" w:element="place">
                <w:r w:rsidRPr="00CF2937">
                  <w:rPr>
                    <w:rFonts w:cs="Arial"/>
                    <w:sz w:val="18"/>
                    <w:szCs w:val="18"/>
                  </w:rPr>
                  <w:t>Bristol</w:t>
                </w:r>
              </w:smartTag>
            </w:smartTag>
            <w:r w:rsidRPr="00CF2937">
              <w:rPr>
                <w:rFonts w:cs="Arial"/>
                <w:sz w:val="18"/>
                <w:szCs w:val="18"/>
              </w:rPr>
              <w:t xml:space="preserve">  BS31 1DN</w:t>
            </w:r>
          </w:p>
          <w:p w:rsidR="00CF2937" w:rsidRPr="00CF2937" w:rsidRDefault="00CF2937" w:rsidP="00CF2937">
            <w:pPr>
              <w:rPr>
                <w:rFonts w:cs="Arial"/>
              </w:rPr>
            </w:pPr>
            <w:r w:rsidRPr="00CF2937">
              <w:rPr>
                <w:rFonts w:cs="Arial"/>
                <w:sz w:val="18"/>
                <w:szCs w:val="18"/>
              </w:rPr>
              <w:t>Tel: 01225 395355       Fax: 01225 394011        E-mail: ellie_weyman@bathnes.gov.uk</w:t>
            </w:r>
          </w:p>
        </w:tc>
      </w:tr>
    </w:tbl>
    <w:p w:rsidR="00CF2937" w:rsidRPr="00CF2937" w:rsidRDefault="00CF2937" w:rsidP="00CF2937">
      <w:pPr>
        <w:ind w:left="360"/>
        <w:jc w:val="center"/>
        <w:rPr>
          <w:rFonts w:cs="Arial"/>
          <w:b/>
          <w:sz w:val="28"/>
          <w:szCs w:val="28"/>
          <w:lang w:eastAsia="en-US"/>
        </w:rPr>
      </w:pPr>
    </w:p>
    <w:p w:rsidR="00CF2937" w:rsidRPr="00CF2937" w:rsidRDefault="00CF2937" w:rsidP="00CF2937">
      <w:pPr>
        <w:jc w:val="center"/>
        <w:rPr>
          <w:rFonts w:cs="Arial"/>
          <w:b/>
          <w:sz w:val="28"/>
          <w:szCs w:val="28"/>
          <w:lang w:eastAsia="en-US"/>
        </w:rPr>
      </w:pPr>
      <w:r w:rsidRPr="00CF2937">
        <w:rPr>
          <w:rFonts w:cs="Arial"/>
          <w:b/>
          <w:sz w:val="28"/>
          <w:szCs w:val="28"/>
          <w:lang w:eastAsia="en-US"/>
        </w:rPr>
        <w:t>SCHOOLS FORUM</w:t>
      </w:r>
    </w:p>
    <w:p w:rsidR="00CF2937" w:rsidRPr="00CF2937" w:rsidRDefault="00CF2937" w:rsidP="00CF2937">
      <w:pPr>
        <w:rPr>
          <w:rFonts w:cs="Arial"/>
          <w:b/>
          <w:lang w:eastAsia="en-US"/>
        </w:rPr>
      </w:pPr>
      <w:bookmarkStart w:id="0" w:name="_GoBack"/>
      <w:bookmarkEnd w:id="0"/>
    </w:p>
    <w:p w:rsidR="00CF2937" w:rsidRPr="00CF2937" w:rsidRDefault="00CF2937" w:rsidP="00CF2937">
      <w:pPr>
        <w:jc w:val="center"/>
        <w:rPr>
          <w:rFonts w:ascii="Arial Narrow" w:hAnsi="Arial Narrow"/>
          <w:b/>
          <w:u w:val="thick" w:color="000080"/>
        </w:rPr>
      </w:pPr>
    </w:p>
    <w:p w:rsidR="00CF2937" w:rsidRPr="0094510C" w:rsidRDefault="00CF2937" w:rsidP="00CF2937">
      <w:pPr>
        <w:jc w:val="center"/>
        <w:rPr>
          <w:rFonts w:asciiTheme="minorHAnsi" w:hAnsiTheme="minorHAnsi"/>
          <w:b/>
          <w:sz w:val="32"/>
        </w:rPr>
      </w:pPr>
      <w:r w:rsidRPr="0094510C">
        <w:rPr>
          <w:rFonts w:asciiTheme="minorHAnsi" w:hAnsiTheme="minorHAnsi"/>
          <w:b/>
          <w:sz w:val="32"/>
        </w:rPr>
        <w:t>Schools Carbon Reduction Programme</w:t>
      </w:r>
    </w:p>
    <w:p w:rsidR="00CF2937" w:rsidRPr="00CF2937" w:rsidRDefault="00CF2937" w:rsidP="00CF2937">
      <w:pPr>
        <w:jc w:val="center"/>
        <w:rPr>
          <w:rFonts w:ascii="Arial Narrow" w:hAnsi="Arial Narrow"/>
          <w:b/>
        </w:rPr>
      </w:pPr>
    </w:p>
    <w:tbl>
      <w:tblPr>
        <w:tblW w:w="0" w:type="auto"/>
        <w:tblCellSpacing w:w="20" w:type="dxa"/>
        <w:tblInd w:w="163" w:type="dxa"/>
        <w:tblBorders>
          <w:top w:val="inset" w:sz="12" w:space="0" w:color="000080"/>
          <w:left w:val="inset" w:sz="12" w:space="0" w:color="000080"/>
          <w:bottom w:val="outset" w:sz="12" w:space="0" w:color="000080"/>
          <w:right w:val="outset" w:sz="12" w:space="0" w:color="000080"/>
          <w:insideH w:val="single" w:sz="6" w:space="0" w:color="000080"/>
          <w:insideV w:val="single" w:sz="6" w:space="0" w:color="000080"/>
        </w:tblBorders>
        <w:tblLook w:val="01E0" w:firstRow="1" w:lastRow="1" w:firstColumn="1" w:lastColumn="1" w:noHBand="0" w:noVBand="0"/>
      </w:tblPr>
      <w:tblGrid>
        <w:gridCol w:w="2418"/>
        <w:gridCol w:w="6081"/>
      </w:tblGrid>
      <w:tr w:rsidR="00CF2937" w:rsidRPr="00CF2937" w:rsidTr="00AF65D2">
        <w:trPr>
          <w:tblCellSpacing w:w="20" w:type="dxa"/>
        </w:trPr>
        <w:tc>
          <w:tcPr>
            <w:tcW w:w="2835" w:type="dxa"/>
            <w:shd w:val="clear" w:color="auto" w:fill="E1E1FF"/>
          </w:tcPr>
          <w:p w:rsidR="00CF2937" w:rsidRPr="00CF2937" w:rsidRDefault="00CF2937" w:rsidP="00CF2937">
            <w:pPr>
              <w:rPr>
                <w:rFonts w:ascii="Arial Narrow" w:hAnsi="Arial Narrow"/>
                <w:b/>
                <w:sz w:val="28"/>
                <w:szCs w:val="28"/>
              </w:rPr>
            </w:pPr>
            <w:r w:rsidRPr="00CF2937">
              <w:rPr>
                <w:rFonts w:ascii="Arial Narrow" w:hAnsi="Arial Narrow"/>
                <w:b/>
                <w:sz w:val="28"/>
                <w:szCs w:val="28"/>
              </w:rPr>
              <w:t>Lead Officer</w:t>
            </w:r>
          </w:p>
        </w:tc>
        <w:tc>
          <w:tcPr>
            <w:tcW w:w="7140" w:type="dxa"/>
            <w:shd w:val="clear" w:color="auto" w:fill="auto"/>
          </w:tcPr>
          <w:p w:rsidR="00CF2937" w:rsidRPr="00CF2937" w:rsidRDefault="00CF2937" w:rsidP="00CF2937">
            <w:pPr>
              <w:jc w:val="center"/>
              <w:rPr>
                <w:rFonts w:ascii="Arial Narrow" w:hAnsi="Arial Narrow"/>
                <w:b/>
              </w:rPr>
            </w:pPr>
            <w:r>
              <w:rPr>
                <w:rFonts w:ascii="Arial Narrow" w:hAnsi="Arial Narrow"/>
                <w:b/>
              </w:rPr>
              <w:t>Amy Dartington</w:t>
            </w:r>
          </w:p>
        </w:tc>
      </w:tr>
      <w:tr w:rsidR="00CF2937" w:rsidRPr="00CF2937" w:rsidTr="00AF65D2">
        <w:trPr>
          <w:tblCellSpacing w:w="20" w:type="dxa"/>
        </w:trPr>
        <w:tc>
          <w:tcPr>
            <w:tcW w:w="2835" w:type="dxa"/>
            <w:shd w:val="clear" w:color="auto" w:fill="E1E1FF"/>
          </w:tcPr>
          <w:p w:rsidR="00CF2937" w:rsidRPr="00CF2937" w:rsidRDefault="00CF2937" w:rsidP="00CF2937">
            <w:pPr>
              <w:rPr>
                <w:rFonts w:ascii="Arial Narrow" w:hAnsi="Arial Narrow"/>
                <w:b/>
                <w:sz w:val="28"/>
                <w:szCs w:val="28"/>
              </w:rPr>
            </w:pPr>
            <w:r w:rsidRPr="00CF2937">
              <w:rPr>
                <w:rFonts w:ascii="Arial Narrow" w:hAnsi="Arial Narrow"/>
                <w:b/>
                <w:sz w:val="28"/>
                <w:szCs w:val="28"/>
              </w:rPr>
              <w:t>Contact details</w:t>
            </w:r>
          </w:p>
        </w:tc>
        <w:tc>
          <w:tcPr>
            <w:tcW w:w="7140" w:type="dxa"/>
            <w:shd w:val="clear" w:color="auto" w:fill="auto"/>
          </w:tcPr>
          <w:p w:rsidR="00CF2937" w:rsidRPr="00CF2937" w:rsidRDefault="00102297" w:rsidP="00CF2937">
            <w:pPr>
              <w:jc w:val="center"/>
              <w:rPr>
                <w:rFonts w:ascii="Arial Narrow" w:hAnsi="Arial Narrow"/>
                <w:b/>
              </w:rPr>
            </w:pPr>
            <w:hyperlink r:id="rId10" w:history="1">
              <w:r w:rsidR="00CF2937" w:rsidRPr="00466B31">
                <w:rPr>
                  <w:rStyle w:val="Hyperlink"/>
                  <w:rFonts w:ascii="Arial Narrow" w:hAnsi="Arial Narrow"/>
                  <w:b/>
                </w:rPr>
                <w:t>Amy_dartington@bathnes.gov.uk</w:t>
              </w:r>
            </w:hyperlink>
            <w:r w:rsidR="00CF2937">
              <w:rPr>
                <w:rFonts w:ascii="Arial Narrow" w:hAnsi="Arial Narrow"/>
                <w:b/>
              </w:rPr>
              <w:t xml:space="preserve"> 01225 477054</w:t>
            </w:r>
          </w:p>
        </w:tc>
      </w:tr>
      <w:tr w:rsidR="00CF2937" w:rsidRPr="00CF2937" w:rsidTr="00AF65D2">
        <w:trPr>
          <w:tblCellSpacing w:w="20" w:type="dxa"/>
        </w:trPr>
        <w:tc>
          <w:tcPr>
            <w:tcW w:w="2835" w:type="dxa"/>
            <w:shd w:val="clear" w:color="auto" w:fill="E1E1FF"/>
          </w:tcPr>
          <w:p w:rsidR="00CF2937" w:rsidRPr="00CF2937" w:rsidRDefault="00CF2937" w:rsidP="00CF2937">
            <w:pPr>
              <w:rPr>
                <w:rFonts w:ascii="Arial Narrow" w:hAnsi="Arial Narrow"/>
                <w:b/>
                <w:sz w:val="28"/>
                <w:szCs w:val="28"/>
              </w:rPr>
            </w:pPr>
            <w:r w:rsidRPr="00CF2937">
              <w:rPr>
                <w:rFonts w:ascii="Arial Narrow" w:hAnsi="Arial Narrow"/>
                <w:b/>
                <w:sz w:val="28"/>
                <w:szCs w:val="28"/>
              </w:rPr>
              <w:t>Forum asked to decide / steer / be informed</w:t>
            </w:r>
          </w:p>
        </w:tc>
        <w:tc>
          <w:tcPr>
            <w:tcW w:w="7140" w:type="dxa"/>
            <w:shd w:val="clear" w:color="auto" w:fill="auto"/>
          </w:tcPr>
          <w:p w:rsidR="00CF2937" w:rsidRPr="00CF2937" w:rsidRDefault="00CF2937" w:rsidP="00CF2937">
            <w:pPr>
              <w:jc w:val="center"/>
              <w:rPr>
                <w:rFonts w:ascii="Arial Narrow" w:hAnsi="Arial Narrow"/>
                <w:b/>
              </w:rPr>
            </w:pPr>
            <w:r w:rsidRPr="00CF2937">
              <w:rPr>
                <w:rFonts w:ascii="Arial Narrow" w:hAnsi="Arial Narrow"/>
                <w:b/>
              </w:rPr>
              <w:t xml:space="preserve">For Information </w:t>
            </w:r>
          </w:p>
        </w:tc>
      </w:tr>
      <w:tr w:rsidR="00CF2937" w:rsidRPr="00CF2937" w:rsidTr="00AF65D2">
        <w:trPr>
          <w:tblCellSpacing w:w="20" w:type="dxa"/>
        </w:trPr>
        <w:tc>
          <w:tcPr>
            <w:tcW w:w="2835" w:type="dxa"/>
            <w:shd w:val="clear" w:color="auto" w:fill="E1E1FF"/>
          </w:tcPr>
          <w:p w:rsidR="00CF2937" w:rsidRPr="00CF2937" w:rsidRDefault="00CF2937" w:rsidP="00CF2937">
            <w:pPr>
              <w:rPr>
                <w:rFonts w:ascii="Arial Narrow" w:hAnsi="Arial Narrow"/>
                <w:b/>
                <w:sz w:val="28"/>
                <w:szCs w:val="28"/>
              </w:rPr>
            </w:pPr>
            <w:r w:rsidRPr="00CF2937">
              <w:rPr>
                <w:rFonts w:ascii="Arial Narrow" w:hAnsi="Arial Narrow"/>
                <w:b/>
                <w:sz w:val="28"/>
                <w:szCs w:val="28"/>
              </w:rPr>
              <w:t>Time Needed</w:t>
            </w:r>
          </w:p>
        </w:tc>
        <w:tc>
          <w:tcPr>
            <w:tcW w:w="7140" w:type="dxa"/>
            <w:shd w:val="clear" w:color="auto" w:fill="auto"/>
          </w:tcPr>
          <w:p w:rsidR="00CF2937" w:rsidRPr="00CF2937" w:rsidRDefault="00CF2937" w:rsidP="00CF2937">
            <w:pPr>
              <w:jc w:val="center"/>
              <w:rPr>
                <w:rFonts w:ascii="Arial Narrow" w:hAnsi="Arial Narrow"/>
                <w:b/>
              </w:rPr>
            </w:pPr>
            <w:r w:rsidRPr="00CF2937">
              <w:rPr>
                <w:rFonts w:ascii="Arial Narrow" w:hAnsi="Arial Narrow"/>
                <w:b/>
              </w:rPr>
              <w:t>10mins</w:t>
            </w:r>
          </w:p>
        </w:tc>
      </w:tr>
    </w:tbl>
    <w:p w:rsidR="00CF2937" w:rsidRPr="00CF2937" w:rsidRDefault="00CF2937" w:rsidP="00CF2937">
      <w:pPr>
        <w:rPr>
          <w:rFonts w:ascii="Arial Narrow" w:hAnsi="Arial Narrow"/>
          <w:b/>
        </w:rPr>
      </w:pPr>
    </w:p>
    <w:p w:rsidR="00BF3960" w:rsidRPr="0094510C" w:rsidRDefault="00BF3960">
      <w:pPr>
        <w:rPr>
          <w:rFonts w:asciiTheme="minorHAnsi" w:hAnsiTheme="minorHAnsi"/>
          <w:b/>
          <w:sz w:val="32"/>
        </w:rPr>
      </w:pPr>
      <w:r w:rsidRPr="0094510C">
        <w:rPr>
          <w:rFonts w:asciiTheme="minorHAnsi" w:hAnsiTheme="minorHAnsi"/>
          <w:b/>
          <w:sz w:val="32"/>
        </w:rPr>
        <w:t xml:space="preserve">Progress Report </w:t>
      </w:r>
    </w:p>
    <w:p w:rsidR="00B547C9" w:rsidRPr="0094510C" w:rsidRDefault="00B547C9">
      <w:pPr>
        <w:rPr>
          <w:rFonts w:asciiTheme="minorHAnsi" w:hAnsiTheme="minorHAnsi"/>
          <w:sz w:val="28"/>
        </w:rPr>
      </w:pPr>
    </w:p>
    <w:p w:rsidR="00B6572F" w:rsidRPr="0094510C" w:rsidRDefault="0094510C" w:rsidP="0094510C">
      <w:pPr>
        <w:spacing w:after="120"/>
        <w:rPr>
          <w:rFonts w:asciiTheme="minorHAnsi" w:hAnsiTheme="minorHAnsi"/>
          <w:b/>
          <w:bCs/>
          <w:sz w:val="28"/>
        </w:rPr>
      </w:pPr>
      <w:r w:rsidRPr="0094510C">
        <w:rPr>
          <w:rFonts w:asciiTheme="minorHAnsi" w:hAnsiTheme="minorHAnsi"/>
          <w:b/>
          <w:bCs/>
          <w:sz w:val="28"/>
        </w:rPr>
        <w:t xml:space="preserve">Energy and Carbon </w:t>
      </w:r>
      <w:r w:rsidR="00B6572F" w:rsidRPr="0094510C">
        <w:rPr>
          <w:rFonts w:asciiTheme="minorHAnsi" w:hAnsiTheme="minorHAnsi"/>
          <w:b/>
          <w:bCs/>
          <w:sz w:val="28"/>
        </w:rPr>
        <w:t xml:space="preserve">Savings </w:t>
      </w:r>
    </w:p>
    <w:p w:rsidR="00FC5C01" w:rsidRPr="005B2154" w:rsidRDefault="00FC5C01">
      <w:pPr>
        <w:rPr>
          <w:rFonts w:asciiTheme="minorHAnsi" w:hAnsiTheme="minorHAnsi"/>
        </w:rPr>
      </w:pPr>
      <w:r w:rsidRPr="005B2154">
        <w:rPr>
          <w:rFonts w:asciiTheme="minorHAnsi" w:hAnsiTheme="minorHAnsi"/>
        </w:rPr>
        <w:t xml:space="preserve">In 2013/14 </w:t>
      </w:r>
      <w:r w:rsidR="005B2154" w:rsidRPr="005B2154">
        <w:rPr>
          <w:rFonts w:asciiTheme="minorHAnsi" w:hAnsiTheme="minorHAnsi"/>
        </w:rPr>
        <w:t xml:space="preserve">Schools achieved </w:t>
      </w:r>
      <w:r w:rsidRPr="005B2154">
        <w:rPr>
          <w:rFonts w:asciiTheme="minorHAnsi" w:hAnsiTheme="minorHAnsi"/>
        </w:rPr>
        <w:t xml:space="preserve">some excellent </w:t>
      </w:r>
      <w:r w:rsidR="005B2154" w:rsidRPr="005B2154">
        <w:rPr>
          <w:rFonts w:asciiTheme="minorHAnsi" w:hAnsiTheme="minorHAnsi"/>
        </w:rPr>
        <w:t xml:space="preserve">reductions in energy consumption. </w:t>
      </w:r>
    </w:p>
    <w:p w:rsidR="005B2154" w:rsidRPr="005B2154" w:rsidRDefault="005B2154">
      <w:pPr>
        <w:rPr>
          <w:rFonts w:asciiTheme="minorHAnsi" w:hAnsiTheme="minorHAnsi"/>
        </w:rPr>
      </w:pPr>
    </w:p>
    <w:p w:rsidR="005B2154" w:rsidRDefault="005B2154" w:rsidP="00DA4C4A">
      <w:pPr>
        <w:rPr>
          <w:rFonts w:ascii="Calibri" w:hAnsi="Calibri"/>
        </w:rPr>
      </w:pPr>
      <w:r w:rsidRPr="00DA4C4A">
        <w:rPr>
          <w:rFonts w:ascii="Calibri" w:hAnsi="Calibri"/>
        </w:rPr>
        <w:t>In 2013-14, compared with 2012-13 the total gas use across all 78 schools has reduced by 18%, weather corrected this comes out at 6%. Electricity use has dropped by 2.5%. This is really good news as historically electricity use has risen almost every year since 2008.  </w:t>
      </w: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CF2937" w:rsidRDefault="00CF2937" w:rsidP="00DA4C4A">
      <w:pPr>
        <w:rPr>
          <w:rFonts w:ascii="Calibri" w:hAnsi="Calibri"/>
        </w:rPr>
      </w:pPr>
    </w:p>
    <w:p w:rsidR="002819B0" w:rsidRDefault="002819B0" w:rsidP="00DA4C4A">
      <w:pPr>
        <w:rPr>
          <w:rFonts w:ascii="Calibri" w:hAnsi="Calibri"/>
        </w:rPr>
      </w:pPr>
    </w:p>
    <w:p w:rsidR="002819B0" w:rsidRPr="002819B0" w:rsidRDefault="002819B0" w:rsidP="002819B0">
      <w:pPr>
        <w:jc w:val="center"/>
        <w:rPr>
          <w:rFonts w:ascii="Calibri" w:hAnsi="Calibri"/>
          <w:b/>
          <w:sz w:val="32"/>
        </w:rPr>
      </w:pPr>
      <w:r w:rsidRPr="002819B0">
        <w:rPr>
          <w:rFonts w:ascii="Calibri" w:hAnsi="Calibri"/>
          <w:b/>
          <w:sz w:val="32"/>
        </w:rPr>
        <w:lastRenderedPageBreak/>
        <w:t xml:space="preserve">% Reductions in Energy Consumption </w:t>
      </w:r>
    </w:p>
    <w:p w:rsidR="005B2154" w:rsidRPr="005B2154" w:rsidRDefault="00B6572F" w:rsidP="00427F15">
      <w:pPr>
        <w:jc w:val="center"/>
        <w:rPr>
          <w:rFonts w:ascii="Calibri" w:hAnsi="Calibri"/>
        </w:rPr>
      </w:pPr>
      <w:r>
        <w:rPr>
          <w:noProof/>
        </w:rPr>
        <w:drawing>
          <wp:inline distT="0" distB="0" distL="0" distR="0" wp14:anchorId="5AB52732" wp14:editId="72AD82B3">
            <wp:extent cx="4386943" cy="2460171"/>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2154" w:rsidRPr="00DA4C4A" w:rsidRDefault="005B2154" w:rsidP="00DA4C4A">
      <w:pPr>
        <w:rPr>
          <w:rFonts w:ascii="Calibri" w:hAnsi="Calibri"/>
        </w:rPr>
      </w:pPr>
      <w:r w:rsidRPr="00DA4C4A">
        <w:rPr>
          <w:rFonts w:ascii="Calibri" w:hAnsi="Calibri"/>
        </w:rPr>
        <w:t xml:space="preserve">The biggest overall carbon reduction in a primary or infant school was a 30% </w:t>
      </w:r>
      <w:r w:rsidR="00D60AFA">
        <w:rPr>
          <w:rFonts w:ascii="Calibri" w:hAnsi="Calibri"/>
        </w:rPr>
        <w:t>achieved</w:t>
      </w:r>
      <w:r w:rsidRPr="00DA4C4A">
        <w:rPr>
          <w:rFonts w:ascii="Calibri" w:hAnsi="Calibri"/>
        </w:rPr>
        <w:t xml:space="preserve"> by Saltford Primary School. Saltford reduced gas use by 58% and electricity use by 21%</w:t>
      </w:r>
      <w:r w:rsidRPr="00DA4C4A">
        <w:rPr>
          <w:rFonts w:ascii="Calibri" w:hAnsi="Calibri"/>
          <w:color w:val="1F497D"/>
        </w:rPr>
        <w:t>.</w:t>
      </w:r>
      <w:r w:rsidRPr="00DA4C4A">
        <w:rPr>
          <w:rFonts w:ascii="Calibri" w:hAnsi="Calibri"/>
        </w:rPr>
        <w:t xml:space="preserve"> This was achieved by: enthusiastic use of SystemsLink, installation of a biomass boiler and changing the timings on the electric heating controls for their swimming pool.</w:t>
      </w:r>
    </w:p>
    <w:p w:rsidR="005B2154" w:rsidRPr="005B2154" w:rsidRDefault="005B2154" w:rsidP="005B2154">
      <w:pPr>
        <w:rPr>
          <w:rFonts w:ascii="Calibri" w:hAnsi="Calibri"/>
        </w:rPr>
      </w:pPr>
    </w:p>
    <w:p w:rsidR="00362F51" w:rsidRPr="00DA4C4A" w:rsidRDefault="005B2154" w:rsidP="00DA4C4A">
      <w:pPr>
        <w:rPr>
          <w:rFonts w:ascii="Calibri" w:hAnsi="Calibri"/>
        </w:rPr>
      </w:pPr>
      <w:r w:rsidRPr="00DA4C4A">
        <w:rPr>
          <w:rFonts w:ascii="Calibri" w:hAnsi="Calibri"/>
        </w:rPr>
        <w:t xml:space="preserve">Widcombe Junior School came a close second, with a 29% overall carbon reduction, achieved by cutting their gas use by 48% and electricity use by 4%.Widcombe achieved this by putting in </w:t>
      </w:r>
      <w:r w:rsidR="00362F51" w:rsidRPr="00DA4C4A">
        <w:rPr>
          <w:rFonts w:ascii="Calibri" w:hAnsi="Calibri"/>
        </w:rPr>
        <w:t>place</w:t>
      </w:r>
      <w:r w:rsidRPr="00DA4C4A">
        <w:rPr>
          <w:rFonts w:ascii="Calibri" w:hAnsi="Calibri"/>
        </w:rPr>
        <w:t xml:space="preserve"> a </w:t>
      </w:r>
      <w:r w:rsidR="0094510C">
        <w:rPr>
          <w:rFonts w:ascii="Calibri" w:hAnsi="Calibri"/>
        </w:rPr>
        <w:t>great</w:t>
      </w:r>
      <w:r w:rsidRPr="00DA4C4A">
        <w:rPr>
          <w:rFonts w:ascii="Calibri" w:hAnsi="Calibri"/>
        </w:rPr>
        <w:t xml:space="preserve"> examp</w:t>
      </w:r>
      <w:r w:rsidR="003C1750">
        <w:rPr>
          <w:rFonts w:ascii="Calibri" w:hAnsi="Calibri"/>
        </w:rPr>
        <w:t>le of Schools Energy Management:</w:t>
      </w:r>
    </w:p>
    <w:p w:rsidR="00DA4C4A" w:rsidRDefault="00DA4C4A" w:rsidP="00DA4C4A">
      <w:pPr>
        <w:rPr>
          <w:rFonts w:ascii="Calibri" w:hAnsi="Calibri"/>
        </w:rPr>
      </w:pPr>
    </w:p>
    <w:p w:rsidR="00362F51" w:rsidRPr="003C1750" w:rsidRDefault="005B2154" w:rsidP="00DA4C4A">
      <w:pPr>
        <w:rPr>
          <w:rFonts w:ascii="Calibri" w:hAnsi="Calibri"/>
          <w:i/>
        </w:rPr>
      </w:pPr>
      <w:r w:rsidRPr="003C1750">
        <w:rPr>
          <w:rFonts w:ascii="Calibri" w:hAnsi="Calibri"/>
          <w:i/>
        </w:rPr>
        <w:t xml:space="preserve">Following the advice of their energy survey they fitted new boiler controls, tackled out of hours waste by </w:t>
      </w:r>
      <w:r w:rsidR="00362F51" w:rsidRPr="003C1750">
        <w:rPr>
          <w:rFonts w:ascii="Calibri" w:hAnsi="Calibri"/>
          <w:i/>
        </w:rPr>
        <w:t>setting</w:t>
      </w:r>
      <w:r w:rsidRPr="003C1750">
        <w:rPr>
          <w:rFonts w:ascii="Calibri" w:hAnsi="Calibri"/>
          <w:i/>
        </w:rPr>
        <w:t xml:space="preserve"> up a holiday switch </w:t>
      </w:r>
      <w:r w:rsidR="00362F51" w:rsidRPr="003C1750">
        <w:rPr>
          <w:rFonts w:ascii="Calibri" w:hAnsi="Calibri"/>
          <w:i/>
        </w:rPr>
        <w:t xml:space="preserve">off process and correctly setting controls </w:t>
      </w:r>
      <w:r w:rsidRPr="003C1750">
        <w:rPr>
          <w:rFonts w:ascii="Calibri" w:hAnsi="Calibri"/>
          <w:i/>
        </w:rPr>
        <w:t xml:space="preserve">and </w:t>
      </w:r>
      <w:r w:rsidR="00362F51" w:rsidRPr="003C1750">
        <w:rPr>
          <w:rFonts w:ascii="Calibri" w:hAnsi="Calibri"/>
          <w:i/>
        </w:rPr>
        <w:t xml:space="preserve">engaged their eco team in daily energy surveys. As the school says “By alerting adults to their findings daily and changing habits, staff and children were challenged to think about their energy habits and to re-educate themselves to be mindful to save energy.  Now lights and projectors are turned off </w:t>
      </w:r>
      <w:r w:rsidR="00D60AFA">
        <w:rPr>
          <w:rFonts w:ascii="Calibri" w:hAnsi="Calibri"/>
          <w:i/>
        </w:rPr>
        <w:t xml:space="preserve">by </w:t>
      </w:r>
      <w:r w:rsidR="00362F51" w:rsidRPr="003C1750">
        <w:rPr>
          <w:rFonts w:ascii="Calibri" w:hAnsi="Calibri"/>
          <w:i/>
        </w:rPr>
        <w:t xml:space="preserve">the whole school community. </w:t>
      </w:r>
    </w:p>
    <w:p w:rsidR="005B2154" w:rsidRPr="005B2154" w:rsidRDefault="005B2154" w:rsidP="005B2154">
      <w:pPr>
        <w:pStyle w:val="ListParagraph"/>
        <w:rPr>
          <w:rFonts w:ascii="Calibri" w:hAnsi="Calibri"/>
        </w:rPr>
      </w:pPr>
    </w:p>
    <w:p w:rsidR="005B2154" w:rsidRPr="00DA4C4A" w:rsidRDefault="003C1750" w:rsidP="00DA4C4A">
      <w:pPr>
        <w:rPr>
          <w:rFonts w:ascii="Calibri" w:hAnsi="Calibri"/>
        </w:rPr>
      </w:pPr>
      <w:r>
        <w:rPr>
          <w:rFonts w:ascii="Calibri" w:hAnsi="Calibri"/>
        </w:rPr>
        <w:t>Somervale achieved the largest</w:t>
      </w:r>
      <w:r w:rsidR="005B2154" w:rsidRPr="00DA4C4A">
        <w:rPr>
          <w:rFonts w:ascii="Calibri" w:hAnsi="Calibri"/>
        </w:rPr>
        <w:t xml:space="preserve"> carbon reduction in a Secondary School with 18% total carbon reduction, which splits down into 25% reduction in gas use and 9% reduction in electricity use. This was achieved by </w:t>
      </w:r>
      <w:r w:rsidR="00362F51" w:rsidRPr="00DA4C4A">
        <w:rPr>
          <w:rFonts w:ascii="Calibri" w:hAnsi="Calibri"/>
        </w:rPr>
        <w:t xml:space="preserve">installing new boilers and impressive commitment from </w:t>
      </w:r>
      <w:r w:rsidR="00D60AFA">
        <w:rPr>
          <w:rFonts w:ascii="Calibri" w:hAnsi="Calibri"/>
        </w:rPr>
        <w:t>students</w:t>
      </w:r>
      <w:r w:rsidR="00362F51" w:rsidRPr="00DA4C4A">
        <w:rPr>
          <w:rFonts w:ascii="Calibri" w:hAnsi="Calibri"/>
        </w:rPr>
        <w:t xml:space="preserve">. </w:t>
      </w:r>
    </w:p>
    <w:p w:rsidR="00D60AFA" w:rsidRDefault="00D60AFA" w:rsidP="00D60AFA">
      <w:pPr>
        <w:rPr>
          <w:rFonts w:asciiTheme="minorHAnsi" w:hAnsiTheme="minorHAnsi"/>
          <w:b/>
          <w:bCs/>
        </w:rPr>
      </w:pPr>
    </w:p>
    <w:p w:rsidR="00D60AFA" w:rsidRDefault="00D60AFA" w:rsidP="00D60AFA">
      <w:pPr>
        <w:rPr>
          <w:rFonts w:asciiTheme="minorHAnsi" w:hAnsiTheme="minorHAnsi"/>
          <w:b/>
          <w:bCs/>
        </w:rPr>
      </w:pPr>
      <w:r>
        <w:rPr>
          <w:rFonts w:asciiTheme="minorHAnsi" w:hAnsiTheme="minorHAnsi"/>
          <w:b/>
          <w:bCs/>
        </w:rPr>
        <w:t>Heating Controls Project (HCP)</w:t>
      </w:r>
    </w:p>
    <w:p w:rsidR="00D60AFA" w:rsidRPr="00CE7DB6" w:rsidRDefault="00D60AFA" w:rsidP="00D60AFA">
      <w:pPr>
        <w:rPr>
          <w:rFonts w:asciiTheme="minorHAnsi" w:hAnsiTheme="minorHAnsi"/>
          <w:bCs/>
        </w:rPr>
      </w:pPr>
      <w:r w:rsidRPr="00CE7DB6">
        <w:rPr>
          <w:rFonts w:asciiTheme="minorHAnsi" w:hAnsiTheme="minorHAnsi"/>
          <w:bCs/>
        </w:rPr>
        <w:t xml:space="preserve">In autumn 2013 </w:t>
      </w:r>
      <w:r>
        <w:rPr>
          <w:rFonts w:asciiTheme="minorHAnsi" w:hAnsiTheme="minorHAnsi"/>
          <w:bCs/>
        </w:rPr>
        <w:t xml:space="preserve">the Schools Carbon Reduction Programme funded </w:t>
      </w:r>
      <w:r w:rsidRPr="00CE7DB6">
        <w:rPr>
          <w:rFonts w:asciiTheme="minorHAnsi" w:hAnsiTheme="minorHAnsi"/>
          <w:bCs/>
        </w:rPr>
        <w:t xml:space="preserve">Jody Ellis from </w:t>
      </w:r>
      <w:proofErr w:type="spellStart"/>
      <w:r w:rsidRPr="00CE7DB6">
        <w:rPr>
          <w:rFonts w:asciiTheme="minorHAnsi" w:hAnsiTheme="minorHAnsi"/>
          <w:bCs/>
        </w:rPr>
        <w:t>Verco</w:t>
      </w:r>
      <w:proofErr w:type="spellEnd"/>
      <w:r w:rsidRPr="00CE7DB6">
        <w:rPr>
          <w:rFonts w:asciiTheme="minorHAnsi" w:hAnsiTheme="minorHAnsi"/>
          <w:bCs/>
        </w:rPr>
        <w:t xml:space="preserve"> </w:t>
      </w:r>
      <w:r>
        <w:rPr>
          <w:rFonts w:asciiTheme="minorHAnsi" w:hAnsiTheme="minorHAnsi"/>
          <w:bCs/>
        </w:rPr>
        <w:t xml:space="preserve">to </w:t>
      </w:r>
      <w:r w:rsidRPr="00CE7DB6">
        <w:rPr>
          <w:rFonts w:asciiTheme="minorHAnsi" w:hAnsiTheme="minorHAnsi"/>
          <w:bCs/>
        </w:rPr>
        <w:t xml:space="preserve">re-visit over 30 Schools to adjust heating controls settings in line with the Energy Survey Recommendations. These Schools were also issued with a change log and instructed to use this to record any changes to heating controls settings. </w:t>
      </w:r>
    </w:p>
    <w:p w:rsidR="00D60AFA" w:rsidRDefault="00D60AFA" w:rsidP="00D60AFA">
      <w:pPr>
        <w:rPr>
          <w:rFonts w:asciiTheme="minorHAnsi" w:hAnsiTheme="minorHAnsi"/>
          <w:bCs/>
        </w:rPr>
      </w:pPr>
      <w:r>
        <w:rPr>
          <w:rFonts w:asciiTheme="minorHAnsi" w:hAnsiTheme="minorHAnsi"/>
          <w:bCs/>
        </w:rPr>
        <w:t xml:space="preserve">The results show the benefits of adjusting settings, a quick simple and low/no cost action. </w:t>
      </w:r>
    </w:p>
    <w:p w:rsidR="00D60AFA" w:rsidRPr="00CE7DB6" w:rsidRDefault="00D60AFA" w:rsidP="00D60AFA">
      <w:pPr>
        <w:rPr>
          <w:rFonts w:asciiTheme="minorHAnsi" w:hAnsiTheme="minorHAnsi"/>
          <w:bCs/>
        </w:rPr>
      </w:pPr>
      <w:r>
        <w:rPr>
          <w:rFonts w:asciiTheme="minorHAnsi" w:hAnsiTheme="minorHAnsi"/>
          <w:bCs/>
        </w:rPr>
        <w:t>Nearly all schools reduced gas use due to the much warmer weather. But those taking part in the project reduced their gas use by 27% compared to 16% for those not taking part.</w:t>
      </w:r>
    </w:p>
    <w:p w:rsidR="00D60AFA" w:rsidRDefault="00D60AFA" w:rsidP="00D60AFA">
      <w:pPr>
        <w:jc w:val="center"/>
        <w:rPr>
          <w:rFonts w:asciiTheme="minorHAnsi" w:hAnsiTheme="minorHAnsi"/>
          <w:b/>
          <w:bCs/>
        </w:rPr>
      </w:pPr>
      <w:r>
        <w:rPr>
          <w:noProof/>
        </w:rPr>
        <w:lastRenderedPageBreak/>
        <w:drawing>
          <wp:inline distT="0" distB="0" distL="0" distR="0" wp14:anchorId="057C0F8E" wp14:editId="036D7E1A">
            <wp:extent cx="4267200" cy="2457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0AFA" w:rsidRDefault="00D60AFA" w:rsidP="00D60AFA">
      <w:pPr>
        <w:spacing w:after="120"/>
        <w:rPr>
          <w:rFonts w:asciiTheme="minorHAnsi" w:hAnsiTheme="minorHAnsi"/>
          <w:b/>
          <w:bCs/>
          <w:sz w:val="28"/>
        </w:rPr>
      </w:pPr>
      <w:r w:rsidRPr="0094510C">
        <w:rPr>
          <w:rFonts w:asciiTheme="minorHAnsi" w:hAnsiTheme="minorHAnsi"/>
          <w:b/>
          <w:bCs/>
          <w:sz w:val="28"/>
        </w:rPr>
        <w:t xml:space="preserve">Financial Savings </w:t>
      </w:r>
    </w:p>
    <w:p w:rsidR="00D60AFA" w:rsidRPr="00427F15" w:rsidRDefault="00D60AFA" w:rsidP="00D60AFA">
      <w:pPr>
        <w:rPr>
          <w:rFonts w:asciiTheme="minorHAnsi" w:hAnsiTheme="minorHAnsi"/>
        </w:rPr>
      </w:pPr>
      <w:r w:rsidRPr="00427F15">
        <w:rPr>
          <w:rFonts w:asciiTheme="minorHAnsi" w:hAnsiTheme="minorHAnsi"/>
        </w:rPr>
        <w:t>In 2013/14 compared to the previous year:</w:t>
      </w:r>
    </w:p>
    <w:p w:rsidR="00D60AFA" w:rsidRPr="003C1750" w:rsidRDefault="00D60AFA" w:rsidP="00D60AFA">
      <w:pPr>
        <w:pStyle w:val="ListParagraph"/>
        <w:numPr>
          <w:ilvl w:val="0"/>
          <w:numId w:val="6"/>
        </w:numPr>
        <w:rPr>
          <w:rFonts w:asciiTheme="minorHAnsi" w:hAnsiTheme="minorHAnsi"/>
        </w:rPr>
      </w:pPr>
      <w:r w:rsidRPr="003C1750">
        <w:rPr>
          <w:rFonts w:asciiTheme="minorHAnsi" w:hAnsiTheme="minorHAnsi"/>
        </w:rPr>
        <w:t xml:space="preserve">Gas savings </w:t>
      </w:r>
      <w:r>
        <w:rPr>
          <w:rFonts w:asciiTheme="minorHAnsi" w:hAnsiTheme="minorHAnsi"/>
        </w:rPr>
        <w:t>total</w:t>
      </w:r>
      <w:r w:rsidRPr="003C1750">
        <w:rPr>
          <w:rFonts w:asciiTheme="minorHAnsi" w:hAnsiTheme="minorHAnsi"/>
        </w:rPr>
        <w:t xml:space="preserve"> </w:t>
      </w:r>
      <w:r w:rsidRPr="003C1750">
        <w:rPr>
          <w:rFonts w:asciiTheme="minorHAnsi" w:hAnsiTheme="minorHAnsi"/>
          <w:b/>
        </w:rPr>
        <w:t xml:space="preserve">£108,000 </w:t>
      </w:r>
    </w:p>
    <w:p w:rsidR="00D60AFA" w:rsidRPr="003C1750" w:rsidRDefault="00D60AFA" w:rsidP="00D60AFA">
      <w:pPr>
        <w:pStyle w:val="ListParagraph"/>
        <w:numPr>
          <w:ilvl w:val="0"/>
          <w:numId w:val="6"/>
        </w:numPr>
        <w:rPr>
          <w:rFonts w:asciiTheme="minorHAnsi" w:hAnsiTheme="minorHAnsi"/>
        </w:rPr>
      </w:pPr>
      <w:r w:rsidRPr="003C1750">
        <w:rPr>
          <w:rFonts w:asciiTheme="minorHAnsi" w:hAnsiTheme="minorHAnsi"/>
        </w:rPr>
        <w:t xml:space="preserve">Electricity savings </w:t>
      </w:r>
      <w:r>
        <w:rPr>
          <w:rFonts w:asciiTheme="minorHAnsi" w:hAnsiTheme="minorHAnsi"/>
        </w:rPr>
        <w:t>total</w:t>
      </w:r>
      <w:r w:rsidRPr="003C1750">
        <w:rPr>
          <w:rFonts w:asciiTheme="minorHAnsi" w:hAnsiTheme="minorHAnsi"/>
          <w:b/>
        </w:rPr>
        <w:t xml:space="preserve"> £29,637 </w:t>
      </w:r>
    </w:p>
    <w:p w:rsidR="00D60AFA" w:rsidRDefault="00D60AFA" w:rsidP="00D60AFA">
      <w:pPr>
        <w:rPr>
          <w:rFonts w:asciiTheme="minorHAnsi" w:hAnsiTheme="minorHAnsi"/>
        </w:rPr>
      </w:pPr>
    </w:p>
    <w:p w:rsidR="00D60AFA" w:rsidRDefault="00D60AFA" w:rsidP="00D60AFA">
      <w:pPr>
        <w:rPr>
          <w:rFonts w:asciiTheme="minorHAnsi" w:hAnsiTheme="minorHAnsi"/>
        </w:rPr>
      </w:pPr>
      <w:r>
        <w:rPr>
          <w:rFonts w:asciiTheme="minorHAnsi" w:hAnsiTheme="minorHAnsi"/>
        </w:rPr>
        <w:t xml:space="preserve">If similar savings were achieved by all schools, at current prices this would save </w:t>
      </w:r>
      <w:r w:rsidRPr="002819B0">
        <w:rPr>
          <w:rFonts w:asciiTheme="minorHAnsi" w:hAnsiTheme="minorHAnsi"/>
          <w:b/>
        </w:rPr>
        <w:t>£215,474</w:t>
      </w:r>
      <w:r>
        <w:rPr>
          <w:rFonts w:asciiTheme="minorHAnsi" w:hAnsiTheme="minorHAnsi"/>
        </w:rPr>
        <w:t xml:space="preserve"> a year. This represents 10% electricity savings and 20% gas saving. </w:t>
      </w:r>
    </w:p>
    <w:p w:rsidR="00D60AFA" w:rsidRDefault="00D60AFA" w:rsidP="00D60AFA">
      <w:pPr>
        <w:rPr>
          <w:rFonts w:asciiTheme="minorHAnsi" w:hAnsiTheme="minorHAnsi"/>
        </w:rPr>
      </w:pPr>
    </w:p>
    <w:p w:rsidR="00D60AFA" w:rsidRDefault="00D60AFA" w:rsidP="00D60AFA">
      <w:pPr>
        <w:rPr>
          <w:rFonts w:asciiTheme="minorHAnsi" w:hAnsiTheme="minorHAnsi"/>
        </w:rPr>
      </w:pPr>
      <w:r>
        <w:rPr>
          <w:rFonts w:asciiTheme="minorHAnsi" w:hAnsiTheme="minorHAnsi"/>
        </w:rPr>
        <w:t xml:space="preserve">By carrying out all actions listed in the energy surveys, an average primary school can save </w:t>
      </w:r>
      <w:r w:rsidRPr="002F5808">
        <w:rPr>
          <w:rFonts w:asciiTheme="minorHAnsi" w:hAnsiTheme="minorHAnsi"/>
          <w:b/>
        </w:rPr>
        <w:t>£4000</w:t>
      </w:r>
      <w:r>
        <w:rPr>
          <w:rFonts w:asciiTheme="minorHAnsi" w:hAnsiTheme="minorHAnsi"/>
        </w:rPr>
        <w:t xml:space="preserve"> a year and an average Secondary School can save </w:t>
      </w:r>
      <w:r w:rsidRPr="002F5808">
        <w:rPr>
          <w:rFonts w:asciiTheme="minorHAnsi" w:hAnsiTheme="minorHAnsi"/>
          <w:b/>
        </w:rPr>
        <w:t>£30,000</w:t>
      </w:r>
      <w:r>
        <w:rPr>
          <w:rFonts w:asciiTheme="minorHAnsi" w:hAnsiTheme="minorHAnsi"/>
        </w:rPr>
        <w:t xml:space="preserve"> a year. </w:t>
      </w:r>
    </w:p>
    <w:p w:rsidR="00D60AFA" w:rsidRDefault="00D60AFA" w:rsidP="00D60AFA">
      <w:pPr>
        <w:rPr>
          <w:rFonts w:asciiTheme="minorHAnsi" w:hAnsiTheme="minorHAnsi"/>
        </w:rPr>
      </w:pPr>
      <w:r>
        <w:rPr>
          <w:noProof/>
        </w:rPr>
        <w:drawing>
          <wp:inline distT="0" distB="0" distL="0" distR="0" wp14:anchorId="1A8B51D0" wp14:editId="6DCE4C09">
            <wp:extent cx="4406900" cy="2552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0AFA" w:rsidRPr="0094510C" w:rsidRDefault="00D60AFA" w:rsidP="00D60AFA">
      <w:pPr>
        <w:spacing w:after="120"/>
        <w:rPr>
          <w:rFonts w:asciiTheme="minorHAnsi" w:hAnsiTheme="minorHAnsi"/>
          <w:b/>
          <w:bCs/>
          <w:sz w:val="28"/>
        </w:rPr>
      </w:pPr>
      <w:r w:rsidRPr="0094510C">
        <w:rPr>
          <w:rFonts w:asciiTheme="minorHAnsi" w:hAnsiTheme="minorHAnsi"/>
          <w:b/>
          <w:bCs/>
          <w:sz w:val="28"/>
        </w:rPr>
        <w:t xml:space="preserve">Spend per Pupil </w:t>
      </w:r>
    </w:p>
    <w:tbl>
      <w:tblPr>
        <w:tblStyle w:val="LightList-Accent1"/>
        <w:tblW w:w="9356" w:type="dxa"/>
        <w:tblLook w:val="04A0" w:firstRow="1" w:lastRow="0" w:firstColumn="1" w:lastColumn="0" w:noHBand="0" w:noVBand="1"/>
      </w:tblPr>
      <w:tblGrid>
        <w:gridCol w:w="2694"/>
        <w:gridCol w:w="1276"/>
        <w:gridCol w:w="1984"/>
        <w:gridCol w:w="1276"/>
        <w:gridCol w:w="2126"/>
      </w:tblGrid>
      <w:tr w:rsidR="00FC750C" w:rsidTr="00650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C750C" w:rsidRDefault="00FC750C" w:rsidP="00CF5742">
            <w:pPr>
              <w:rPr>
                <w:rFonts w:asciiTheme="minorHAnsi" w:hAnsiTheme="minorHAnsi"/>
              </w:rPr>
            </w:pPr>
          </w:p>
        </w:tc>
        <w:tc>
          <w:tcPr>
            <w:tcW w:w="3260" w:type="dxa"/>
            <w:gridSpan w:val="2"/>
          </w:tcPr>
          <w:p w:rsidR="00FC750C" w:rsidRDefault="00FC750C" w:rsidP="00CF574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Secondary</w:t>
            </w:r>
          </w:p>
        </w:tc>
        <w:tc>
          <w:tcPr>
            <w:tcW w:w="3402" w:type="dxa"/>
            <w:gridSpan w:val="2"/>
          </w:tcPr>
          <w:p w:rsidR="00FC750C" w:rsidRDefault="00FC750C" w:rsidP="00CF574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Primary</w:t>
            </w:r>
          </w:p>
        </w:tc>
      </w:tr>
      <w:tr w:rsidR="00D60AFA" w:rsidTr="00650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60AFA" w:rsidRDefault="00D60AFA" w:rsidP="00CF5742">
            <w:pPr>
              <w:rPr>
                <w:rFonts w:asciiTheme="minorHAnsi" w:hAnsiTheme="minorHAnsi"/>
              </w:rPr>
            </w:pPr>
            <w:r>
              <w:rPr>
                <w:rFonts w:asciiTheme="minorHAnsi" w:hAnsiTheme="minorHAnsi"/>
              </w:rPr>
              <w:t xml:space="preserve">Highest Total Energy Spend Per Pupil </w:t>
            </w:r>
          </w:p>
        </w:tc>
        <w:tc>
          <w:tcPr>
            <w:tcW w:w="127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£258.30</w:t>
            </w:r>
          </w:p>
        </w:tc>
        <w:tc>
          <w:tcPr>
            <w:tcW w:w="1984"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Bath Community Academy</w:t>
            </w:r>
          </w:p>
        </w:tc>
        <w:tc>
          <w:tcPr>
            <w:tcW w:w="127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£203.25</w:t>
            </w:r>
          </w:p>
        </w:tc>
        <w:tc>
          <w:tcPr>
            <w:tcW w:w="212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Southdown Junior</w:t>
            </w:r>
            <w:r w:rsidR="00FC750C">
              <w:rPr>
                <w:rFonts w:asciiTheme="minorHAnsi" w:hAnsiTheme="minorHAnsi"/>
              </w:rPr>
              <w:t xml:space="preserve"> School</w:t>
            </w:r>
          </w:p>
        </w:tc>
      </w:tr>
      <w:tr w:rsidR="00D60AFA" w:rsidTr="006507F6">
        <w:tc>
          <w:tcPr>
            <w:cnfStyle w:val="001000000000" w:firstRow="0" w:lastRow="0" w:firstColumn="1" w:lastColumn="0" w:oddVBand="0" w:evenVBand="0" w:oddHBand="0" w:evenHBand="0" w:firstRowFirstColumn="0" w:firstRowLastColumn="0" w:lastRowFirstColumn="0" w:lastRowLastColumn="0"/>
            <w:tcW w:w="2694" w:type="dxa"/>
          </w:tcPr>
          <w:p w:rsidR="00D60AFA" w:rsidRDefault="00D60AFA" w:rsidP="00CF5742">
            <w:pPr>
              <w:rPr>
                <w:rFonts w:asciiTheme="minorHAnsi" w:hAnsiTheme="minorHAnsi"/>
              </w:rPr>
            </w:pPr>
            <w:r>
              <w:rPr>
                <w:rFonts w:asciiTheme="minorHAnsi" w:hAnsiTheme="minorHAnsi"/>
              </w:rPr>
              <w:t xml:space="preserve">Lowest Total energy Spend Per Pupil </w:t>
            </w:r>
          </w:p>
        </w:tc>
        <w:tc>
          <w:tcPr>
            <w:tcW w:w="127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£65.30</w:t>
            </w:r>
          </w:p>
        </w:tc>
        <w:tc>
          <w:tcPr>
            <w:tcW w:w="1984"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Ralph Allen</w:t>
            </w:r>
            <w:r w:rsidR="006507F6">
              <w:rPr>
                <w:rFonts w:asciiTheme="minorHAnsi" w:hAnsiTheme="minorHAnsi"/>
              </w:rPr>
              <w:t xml:space="preserve"> School</w:t>
            </w:r>
          </w:p>
        </w:tc>
        <w:tc>
          <w:tcPr>
            <w:tcW w:w="127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£31.50</w:t>
            </w:r>
          </w:p>
        </w:tc>
        <w:tc>
          <w:tcPr>
            <w:tcW w:w="212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 Stephens</w:t>
            </w:r>
            <w:r w:rsidR="00FC750C">
              <w:rPr>
                <w:rFonts w:asciiTheme="minorHAnsi" w:hAnsiTheme="minorHAnsi"/>
              </w:rPr>
              <w:t xml:space="preserve"> Primary School</w:t>
            </w:r>
          </w:p>
        </w:tc>
      </w:tr>
      <w:tr w:rsidR="00D60AFA" w:rsidTr="00650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60AFA" w:rsidRDefault="00D60AFA" w:rsidP="00CF5742">
            <w:pPr>
              <w:rPr>
                <w:rFonts w:asciiTheme="minorHAnsi" w:hAnsiTheme="minorHAnsi"/>
              </w:rPr>
            </w:pPr>
            <w:r>
              <w:rPr>
                <w:rFonts w:asciiTheme="minorHAnsi" w:hAnsiTheme="minorHAnsi"/>
              </w:rPr>
              <w:t xml:space="preserve">Highest Total Energy Spend per m2 </w:t>
            </w:r>
          </w:p>
        </w:tc>
        <w:tc>
          <w:tcPr>
            <w:tcW w:w="127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£11.77</w:t>
            </w:r>
          </w:p>
        </w:tc>
        <w:tc>
          <w:tcPr>
            <w:tcW w:w="1984"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Writhlington</w:t>
            </w:r>
            <w:r w:rsidR="006507F6">
              <w:rPr>
                <w:rFonts w:asciiTheme="minorHAnsi" w:hAnsiTheme="minorHAnsi"/>
              </w:rPr>
              <w:t xml:space="preserve"> Academy</w:t>
            </w:r>
          </w:p>
        </w:tc>
        <w:tc>
          <w:tcPr>
            <w:tcW w:w="127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£16.85</w:t>
            </w:r>
          </w:p>
        </w:tc>
        <w:tc>
          <w:tcPr>
            <w:tcW w:w="2126" w:type="dxa"/>
          </w:tcPr>
          <w:p w:rsidR="00D60AFA" w:rsidRDefault="00D60AFA" w:rsidP="00CF574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Batheaston</w:t>
            </w:r>
            <w:r w:rsidR="00FC750C">
              <w:rPr>
                <w:rFonts w:asciiTheme="minorHAnsi" w:hAnsiTheme="minorHAnsi"/>
              </w:rPr>
              <w:t xml:space="preserve"> Primary School</w:t>
            </w:r>
          </w:p>
        </w:tc>
      </w:tr>
      <w:tr w:rsidR="00D60AFA" w:rsidTr="006507F6">
        <w:tc>
          <w:tcPr>
            <w:cnfStyle w:val="001000000000" w:firstRow="0" w:lastRow="0" w:firstColumn="1" w:lastColumn="0" w:oddVBand="0" w:evenVBand="0" w:oddHBand="0" w:evenHBand="0" w:firstRowFirstColumn="0" w:firstRowLastColumn="0" w:lastRowFirstColumn="0" w:lastRowLastColumn="0"/>
            <w:tcW w:w="2694" w:type="dxa"/>
          </w:tcPr>
          <w:p w:rsidR="00D60AFA" w:rsidRDefault="00D60AFA" w:rsidP="00CF5742">
            <w:pPr>
              <w:rPr>
                <w:rFonts w:asciiTheme="minorHAnsi" w:hAnsiTheme="minorHAnsi"/>
              </w:rPr>
            </w:pPr>
            <w:r>
              <w:rPr>
                <w:rFonts w:asciiTheme="minorHAnsi" w:hAnsiTheme="minorHAnsi"/>
              </w:rPr>
              <w:t>Lowest Total Energy Spend Per m2</w:t>
            </w:r>
          </w:p>
        </w:tc>
        <w:tc>
          <w:tcPr>
            <w:tcW w:w="127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£8.07</w:t>
            </w:r>
          </w:p>
        </w:tc>
        <w:tc>
          <w:tcPr>
            <w:tcW w:w="1984"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 Marks</w:t>
            </w:r>
            <w:r w:rsidR="006507F6">
              <w:rPr>
                <w:rFonts w:asciiTheme="minorHAnsi" w:hAnsiTheme="minorHAnsi"/>
              </w:rPr>
              <w:t xml:space="preserve"> CofE School</w:t>
            </w:r>
          </w:p>
        </w:tc>
        <w:tc>
          <w:tcPr>
            <w:tcW w:w="127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£4.20</w:t>
            </w:r>
          </w:p>
        </w:tc>
        <w:tc>
          <w:tcPr>
            <w:tcW w:w="2126" w:type="dxa"/>
          </w:tcPr>
          <w:p w:rsidR="00D60AFA" w:rsidRDefault="00D60AFA" w:rsidP="00CF574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 Mary’s Timsbury</w:t>
            </w:r>
            <w:r w:rsidR="00FC750C">
              <w:rPr>
                <w:rFonts w:asciiTheme="minorHAnsi" w:hAnsiTheme="minorHAnsi"/>
              </w:rPr>
              <w:t xml:space="preserve"> Primary School</w:t>
            </w:r>
          </w:p>
        </w:tc>
      </w:tr>
    </w:tbl>
    <w:p w:rsidR="00D60AFA" w:rsidRDefault="00D60AFA" w:rsidP="00D60AFA">
      <w:pPr>
        <w:rPr>
          <w:rFonts w:asciiTheme="minorHAnsi" w:hAnsiTheme="minorHAnsi"/>
          <w:b/>
        </w:rPr>
      </w:pPr>
    </w:p>
    <w:p w:rsidR="00FC750C" w:rsidRDefault="00FC750C" w:rsidP="00D60AFA">
      <w:pPr>
        <w:rPr>
          <w:rFonts w:asciiTheme="minorHAnsi" w:hAnsiTheme="minorHAnsi"/>
        </w:rPr>
      </w:pPr>
      <w:r>
        <w:rPr>
          <w:rFonts w:asciiTheme="minorHAnsi" w:hAnsiTheme="minorHAnsi"/>
        </w:rPr>
        <w:lastRenderedPageBreak/>
        <w:t>The</w:t>
      </w:r>
      <w:r w:rsidRPr="00FC750C">
        <w:rPr>
          <w:rFonts w:asciiTheme="minorHAnsi" w:hAnsiTheme="minorHAnsi"/>
        </w:rPr>
        <w:t>s</w:t>
      </w:r>
      <w:r>
        <w:rPr>
          <w:rFonts w:asciiTheme="minorHAnsi" w:hAnsiTheme="minorHAnsi"/>
        </w:rPr>
        <w:t>e</w:t>
      </w:r>
      <w:r w:rsidRPr="00FC750C">
        <w:rPr>
          <w:rFonts w:asciiTheme="minorHAnsi" w:hAnsiTheme="minorHAnsi"/>
        </w:rPr>
        <w:t xml:space="preserve"> figures do not only show relativ</w:t>
      </w:r>
      <w:r>
        <w:rPr>
          <w:rFonts w:asciiTheme="minorHAnsi" w:hAnsiTheme="minorHAnsi"/>
        </w:rPr>
        <w:t>e</w:t>
      </w:r>
      <w:r w:rsidRPr="00FC750C">
        <w:rPr>
          <w:rFonts w:asciiTheme="minorHAnsi" w:hAnsiTheme="minorHAnsi"/>
        </w:rPr>
        <w:t xml:space="preserve"> efficiency as </w:t>
      </w:r>
      <w:r>
        <w:rPr>
          <w:rFonts w:asciiTheme="minorHAnsi" w:hAnsiTheme="minorHAnsi"/>
        </w:rPr>
        <w:t>‘s</w:t>
      </w:r>
      <w:r w:rsidRPr="00FC750C">
        <w:rPr>
          <w:rFonts w:asciiTheme="minorHAnsi" w:hAnsiTheme="minorHAnsi"/>
        </w:rPr>
        <w:t>pend per pupil</w:t>
      </w:r>
      <w:r>
        <w:rPr>
          <w:rFonts w:asciiTheme="minorHAnsi" w:hAnsiTheme="minorHAnsi"/>
        </w:rPr>
        <w:t>’</w:t>
      </w:r>
      <w:r w:rsidRPr="00FC750C">
        <w:rPr>
          <w:rFonts w:asciiTheme="minorHAnsi" w:hAnsiTheme="minorHAnsi"/>
        </w:rPr>
        <w:t xml:space="preserve"> is influenced by </w:t>
      </w:r>
      <w:r w:rsidR="006507F6">
        <w:rPr>
          <w:rFonts w:asciiTheme="minorHAnsi" w:hAnsiTheme="minorHAnsi"/>
        </w:rPr>
        <w:t xml:space="preserve">heating </w:t>
      </w:r>
      <w:r w:rsidRPr="00FC750C">
        <w:rPr>
          <w:rFonts w:asciiTheme="minorHAnsi" w:hAnsiTheme="minorHAnsi"/>
        </w:rPr>
        <w:t xml:space="preserve">fuel type and pupil density as well as </w:t>
      </w:r>
      <w:r>
        <w:rPr>
          <w:rFonts w:asciiTheme="minorHAnsi" w:hAnsiTheme="minorHAnsi"/>
        </w:rPr>
        <w:t xml:space="preserve">energy </w:t>
      </w:r>
      <w:r w:rsidRPr="00FC750C">
        <w:rPr>
          <w:rFonts w:asciiTheme="minorHAnsi" w:hAnsiTheme="minorHAnsi"/>
        </w:rPr>
        <w:t xml:space="preserve">efficiency, ICT use and other factors. </w:t>
      </w:r>
      <w:r>
        <w:rPr>
          <w:rFonts w:asciiTheme="minorHAnsi" w:hAnsiTheme="minorHAnsi"/>
        </w:rPr>
        <w:t>‘</w:t>
      </w:r>
      <w:r w:rsidRPr="00FC750C">
        <w:rPr>
          <w:rFonts w:asciiTheme="minorHAnsi" w:hAnsiTheme="minorHAnsi"/>
        </w:rPr>
        <w:t>Spend per m2</w:t>
      </w:r>
      <w:r>
        <w:rPr>
          <w:rFonts w:asciiTheme="minorHAnsi" w:hAnsiTheme="minorHAnsi"/>
        </w:rPr>
        <w:t>’</w:t>
      </w:r>
      <w:r w:rsidRPr="00FC750C">
        <w:rPr>
          <w:rFonts w:asciiTheme="minorHAnsi" w:hAnsiTheme="minorHAnsi"/>
        </w:rPr>
        <w:t xml:space="preserve"> is influenced by </w:t>
      </w:r>
      <w:r>
        <w:rPr>
          <w:rFonts w:asciiTheme="minorHAnsi" w:hAnsiTheme="minorHAnsi"/>
        </w:rPr>
        <w:t xml:space="preserve">mostly by </w:t>
      </w:r>
      <w:r w:rsidRPr="00FC750C">
        <w:rPr>
          <w:rFonts w:asciiTheme="minorHAnsi" w:hAnsiTheme="minorHAnsi"/>
        </w:rPr>
        <w:t xml:space="preserve">heating controls and </w:t>
      </w:r>
      <w:r w:rsidR="006507F6">
        <w:rPr>
          <w:rFonts w:asciiTheme="minorHAnsi" w:hAnsiTheme="minorHAnsi"/>
        </w:rPr>
        <w:t xml:space="preserve">heating </w:t>
      </w:r>
      <w:r w:rsidRPr="00FC750C">
        <w:rPr>
          <w:rFonts w:asciiTheme="minorHAnsi" w:hAnsiTheme="minorHAnsi"/>
        </w:rPr>
        <w:t xml:space="preserve">fuel type but not by building age as the </w:t>
      </w:r>
      <w:r>
        <w:rPr>
          <w:rFonts w:asciiTheme="minorHAnsi" w:hAnsiTheme="minorHAnsi"/>
        </w:rPr>
        <w:t>energy data</w:t>
      </w:r>
      <w:r w:rsidRPr="00FC750C">
        <w:rPr>
          <w:rFonts w:asciiTheme="minorHAnsi" w:hAnsiTheme="minorHAnsi"/>
        </w:rPr>
        <w:t xml:space="preserve"> prove</w:t>
      </w:r>
      <w:r>
        <w:rPr>
          <w:rFonts w:asciiTheme="minorHAnsi" w:hAnsiTheme="minorHAnsi"/>
        </w:rPr>
        <w:t>s</w:t>
      </w:r>
      <w:r w:rsidRPr="00FC750C">
        <w:rPr>
          <w:rFonts w:asciiTheme="minorHAnsi" w:hAnsiTheme="minorHAnsi"/>
        </w:rPr>
        <w:t xml:space="preserve"> that there is no relationship between building age and energy consumption per m2. </w:t>
      </w:r>
    </w:p>
    <w:p w:rsidR="006507F6" w:rsidRDefault="006507F6" w:rsidP="00D60AFA">
      <w:pPr>
        <w:rPr>
          <w:rFonts w:asciiTheme="minorHAnsi" w:hAnsiTheme="minorHAnsi"/>
        </w:rPr>
      </w:pPr>
    </w:p>
    <w:p w:rsidR="00FC750C" w:rsidRDefault="00FC750C" w:rsidP="00D60AFA">
      <w:pPr>
        <w:rPr>
          <w:rFonts w:asciiTheme="minorHAnsi" w:hAnsiTheme="minorHAnsi"/>
        </w:rPr>
      </w:pPr>
      <w:r>
        <w:rPr>
          <w:rFonts w:asciiTheme="minorHAnsi" w:hAnsiTheme="minorHAnsi"/>
        </w:rPr>
        <w:t>These figures have been provided to show the wide range and draw attention to the potential reductions in energy spend</w:t>
      </w:r>
      <w:r w:rsidR="006507F6">
        <w:rPr>
          <w:rFonts w:asciiTheme="minorHAnsi" w:hAnsiTheme="minorHAnsi"/>
        </w:rPr>
        <w:t xml:space="preserve">. </w:t>
      </w:r>
    </w:p>
    <w:p w:rsidR="00FC750C" w:rsidRDefault="00FC750C" w:rsidP="00D60AFA">
      <w:pPr>
        <w:rPr>
          <w:rFonts w:asciiTheme="minorHAnsi" w:hAnsiTheme="minorHAnsi"/>
        </w:rPr>
      </w:pPr>
    </w:p>
    <w:p w:rsidR="00FC750C" w:rsidRPr="00FC750C" w:rsidRDefault="00FC750C" w:rsidP="00D60AFA">
      <w:pPr>
        <w:rPr>
          <w:rFonts w:asciiTheme="minorHAnsi" w:hAnsiTheme="minorHAnsi"/>
        </w:rPr>
      </w:pPr>
      <w:r>
        <w:rPr>
          <w:rFonts w:asciiTheme="minorHAnsi" w:hAnsiTheme="minorHAnsi"/>
        </w:rPr>
        <w:t xml:space="preserve">To see your school energy performance stats please refer to the Energy Performance Reports sent out in September or contact </w:t>
      </w:r>
      <w:hyperlink r:id="rId14" w:history="1">
        <w:r w:rsidRPr="00216D08">
          <w:rPr>
            <w:rStyle w:val="Hyperlink"/>
            <w:rFonts w:asciiTheme="minorHAnsi" w:hAnsiTheme="minorHAnsi"/>
          </w:rPr>
          <w:t>amy_dartington@bathnes.gov.uk</w:t>
        </w:r>
      </w:hyperlink>
      <w:r>
        <w:rPr>
          <w:rFonts w:asciiTheme="minorHAnsi" w:hAnsiTheme="minorHAnsi"/>
        </w:rPr>
        <w:t xml:space="preserve">. </w:t>
      </w:r>
    </w:p>
    <w:p w:rsidR="00FC750C" w:rsidRDefault="00FC750C" w:rsidP="00D60AFA">
      <w:pPr>
        <w:rPr>
          <w:rFonts w:asciiTheme="minorHAnsi" w:hAnsiTheme="minorHAnsi"/>
          <w:b/>
        </w:rPr>
      </w:pPr>
    </w:p>
    <w:p w:rsidR="00D60AFA" w:rsidRPr="0094510C" w:rsidRDefault="00D60AFA" w:rsidP="00D60AFA">
      <w:pPr>
        <w:spacing w:after="120"/>
        <w:rPr>
          <w:rFonts w:asciiTheme="minorHAnsi" w:hAnsiTheme="minorHAnsi"/>
          <w:b/>
          <w:bCs/>
          <w:sz w:val="28"/>
        </w:rPr>
      </w:pPr>
      <w:r w:rsidRPr="0094510C">
        <w:rPr>
          <w:rFonts w:asciiTheme="minorHAnsi" w:hAnsiTheme="minorHAnsi"/>
          <w:b/>
          <w:bCs/>
          <w:sz w:val="28"/>
        </w:rPr>
        <w:t xml:space="preserve">Total Potential Savings </w:t>
      </w:r>
    </w:p>
    <w:p w:rsidR="00D60AFA" w:rsidRDefault="00D60AFA" w:rsidP="00D60AFA">
      <w:pPr>
        <w:rPr>
          <w:rFonts w:asciiTheme="minorHAnsi" w:hAnsiTheme="minorHAnsi"/>
        </w:rPr>
      </w:pPr>
      <w:r>
        <w:rPr>
          <w:rFonts w:asciiTheme="minorHAnsi" w:hAnsiTheme="minorHAnsi"/>
        </w:rPr>
        <w:t xml:space="preserve">The energy surveys identified total savings of </w:t>
      </w:r>
      <w:r w:rsidRPr="002819B0">
        <w:rPr>
          <w:rFonts w:asciiTheme="minorHAnsi" w:hAnsiTheme="minorHAnsi"/>
          <w:b/>
        </w:rPr>
        <w:t>£423,000</w:t>
      </w:r>
      <w:r>
        <w:rPr>
          <w:rFonts w:asciiTheme="minorHAnsi" w:hAnsiTheme="minorHAnsi"/>
        </w:rPr>
        <w:t xml:space="preserve"> from energy efficiency measures. </w:t>
      </w:r>
    </w:p>
    <w:p w:rsidR="00D60AFA" w:rsidRDefault="00D60AFA" w:rsidP="00D60AFA">
      <w:pPr>
        <w:rPr>
          <w:rFonts w:asciiTheme="minorHAnsi" w:hAnsiTheme="minorHAnsi"/>
        </w:rPr>
      </w:pPr>
      <w:r>
        <w:rPr>
          <w:rFonts w:asciiTheme="minorHAnsi" w:hAnsiTheme="minorHAnsi"/>
        </w:rPr>
        <w:t xml:space="preserve">Of this, projects with an estimated payback period of up to 6 years are expected to save </w:t>
      </w:r>
      <w:r w:rsidRPr="002819B0">
        <w:rPr>
          <w:rFonts w:asciiTheme="minorHAnsi" w:hAnsiTheme="minorHAnsi"/>
          <w:b/>
        </w:rPr>
        <w:t>£390,000</w:t>
      </w:r>
      <w:r>
        <w:rPr>
          <w:rFonts w:asciiTheme="minorHAnsi" w:hAnsiTheme="minorHAnsi"/>
        </w:rPr>
        <w:t xml:space="preserve">. </w:t>
      </w:r>
    </w:p>
    <w:p w:rsidR="00CE7DB6" w:rsidRDefault="00D60AFA" w:rsidP="00D60AFA">
      <w:pPr>
        <w:rPr>
          <w:rFonts w:asciiTheme="minorHAnsi" w:hAnsiTheme="minorHAnsi"/>
        </w:rPr>
      </w:pPr>
      <w:r>
        <w:rPr>
          <w:rFonts w:asciiTheme="minorHAnsi" w:hAnsiTheme="minorHAnsi"/>
        </w:rPr>
        <w:t xml:space="preserve">This shows the value of Schools investing in low cost, quick payback measures. </w:t>
      </w:r>
    </w:p>
    <w:p w:rsidR="00D60AFA" w:rsidRPr="00D60AFA" w:rsidRDefault="00D60AFA" w:rsidP="00D60AFA">
      <w:pPr>
        <w:rPr>
          <w:rFonts w:asciiTheme="minorHAnsi" w:hAnsiTheme="minorHAnsi"/>
        </w:rPr>
      </w:pPr>
    </w:p>
    <w:p w:rsidR="00B6572F" w:rsidRPr="00D60AFA" w:rsidRDefault="00B6572F" w:rsidP="00D60AFA">
      <w:pPr>
        <w:spacing w:after="120"/>
        <w:rPr>
          <w:rFonts w:asciiTheme="minorHAnsi" w:hAnsiTheme="minorHAnsi"/>
          <w:b/>
          <w:bCs/>
          <w:sz w:val="28"/>
        </w:rPr>
      </w:pPr>
      <w:r w:rsidRPr="00D60AFA">
        <w:rPr>
          <w:rFonts w:asciiTheme="minorHAnsi" w:hAnsiTheme="minorHAnsi"/>
          <w:b/>
          <w:bCs/>
          <w:sz w:val="28"/>
        </w:rPr>
        <w:t xml:space="preserve">Further </w:t>
      </w:r>
      <w:r w:rsidR="002819B0" w:rsidRPr="00D60AFA">
        <w:rPr>
          <w:rFonts w:asciiTheme="minorHAnsi" w:hAnsiTheme="minorHAnsi"/>
          <w:b/>
          <w:bCs/>
          <w:sz w:val="28"/>
        </w:rPr>
        <w:t xml:space="preserve">Expected </w:t>
      </w:r>
      <w:r w:rsidRPr="00D60AFA">
        <w:rPr>
          <w:rFonts w:asciiTheme="minorHAnsi" w:hAnsiTheme="minorHAnsi"/>
          <w:b/>
          <w:bCs/>
          <w:sz w:val="28"/>
        </w:rPr>
        <w:t>Reductions</w:t>
      </w:r>
    </w:p>
    <w:p w:rsidR="00B6572F" w:rsidRDefault="00B6572F" w:rsidP="00B6572F">
      <w:pPr>
        <w:rPr>
          <w:rFonts w:asciiTheme="minorHAnsi" w:hAnsiTheme="minorHAnsi"/>
        </w:rPr>
      </w:pPr>
      <w:r>
        <w:rPr>
          <w:rFonts w:asciiTheme="minorHAnsi" w:hAnsiTheme="minorHAnsi"/>
        </w:rPr>
        <w:t>There are much larger reductions still to achieve</w:t>
      </w:r>
      <w:r w:rsidRPr="005B2154">
        <w:rPr>
          <w:rFonts w:asciiTheme="minorHAnsi" w:hAnsiTheme="minorHAnsi"/>
        </w:rPr>
        <w:t xml:space="preserve">, and we </w:t>
      </w:r>
      <w:r>
        <w:rPr>
          <w:rFonts w:asciiTheme="minorHAnsi" w:hAnsiTheme="minorHAnsi"/>
        </w:rPr>
        <w:t>are on track to</w:t>
      </w:r>
      <w:r w:rsidRPr="005B2154">
        <w:rPr>
          <w:rFonts w:asciiTheme="minorHAnsi" w:hAnsiTheme="minorHAnsi"/>
        </w:rPr>
        <w:t xml:space="preserve"> an ev</w:t>
      </w:r>
      <w:r w:rsidR="0094510C">
        <w:rPr>
          <w:rFonts w:asciiTheme="minorHAnsi" w:hAnsiTheme="minorHAnsi"/>
        </w:rPr>
        <w:t xml:space="preserve">en better improvement next year. </w:t>
      </w:r>
      <w:r w:rsidR="00980E9D">
        <w:rPr>
          <w:rFonts w:asciiTheme="minorHAnsi" w:hAnsiTheme="minorHAnsi"/>
        </w:rPr>
        <w:t>Some capital project</w:t>
      </w:r>
      <w:r w:rsidR="00427F15">
        <w:rPr>
          <w:rFonts w:asciiTheme="minorHAnsi" w:hAnsiTheme="minorHAnsi"/>
        </w:rPr>
        <w:t>s</w:t>
      </w:r>
      <w:r w:rsidR="00980E9D">
        <w:rPr>
          <w:rFonts w:asciiTheme="minorHAnsi" w:hAnsiTheme="minorHAnsi"/>
        </w:rPr>
        <w:t xml:space="preserve"> are underway but many more are awaiting decisions by governors, or waiting for quotes from contractors. </w:t>
      </w:r>
    </w:p>
    <w:p w:rsidR="0094510C" w:rsidRDefault="0094510C" w:rsidP="00B6572F">
      <w:pPr>
        <w:rPr>
          <w:rFonts w:asciiTheme="minorHAnsi" w:hAnsiTheme="minorHAnsi"/>
        </w:rPr>
      </w:pPr>
    </w:p>
    <w:p w:rsidR="00B6572F" w:rsidRPr="005B2154" w:rsidRDefault="00B6572F" w:rsidP="00B6572F">
      <w:pPr>
        <w:pStyle w:val="ListParagraph"/>
        <w:numPr>
          <w:ilvl w:val="0"/>
          <w:numId w:val="4"/>
        </w:numPr>
        <w:rPr>
          <w:rFonts w:asciiTheme="minorHAnsi" w:hAnsiTheme="minorHAnsi"/>
        </w:rPr>
      </w:pPr>
      <w:r w:rsidRPr="005B2154">
        <w:rPr>
          <w:rFonts w:asciiTheme="minorHAnsi" w:hAnsiTheme="minorHAnsi"/>
        </w:rPr>
        <w:t>Around 20 more schools are considering lighting upgrades</w:t>
      </w:r>
      <w:r w:rsidR="00980E9D">
        <w:rPr>
          <w:rFonts w:asciiTheme="minorHAnsi" w:hAnsiTheme="minorHAnsi"/>
        </w:rPr>
        <w:t xml:space="preserve"> – </w:t>
      </w:r>
      <w:r w:rsidR="00980E9D" w:rsidRPr="00980E9D">
        <w:rPr>
          <w:rFonts w:asciiTheme="minorHAnsi" w:hAnsiTheme="minorHAnsi"/>
          <w:u w:val="single"/>
        </w:rPr>
        <w:t>if your school has received your quote from EIC please respond and arrange installation</w:t>
      </w:r>
    </w:p>
    <w:p w:rsidR="00B6572F" w:rsidRDefault="00B6572F" w:rsidP="00B6572F">
      <w:pPr>
        <w:pStyle w:val="ListParagraph"/>
        <w:numPr>
          <w:ilvl w:val="0"/>
          <w:numId w:val="4"/>
        </w:numPr>
        <w:rPr>
          <w:rFonts w:asciiTheme="minorHAnsi" w:hAnsiTheme="minorHAnsi"/>
        </w:rPr>
      </w:pPr>
      <w:r w:rsidRPr="00B6572F">
        <w:rPr>
          <w:rFonts w:asciiTheme="minorHAnsi" w:hAnsiTheme="minorHAnsi"/>
        </w:rPr>
        <w:t xml:space="preserve">Replacement heating controls are being priced up for 25 schools. These will </w:t>
      </w:r>
      <w:r w:rsidR="00980E9D">
        <w:rPr>
          <w:rFonts w:asciiTheme="minorHAnsi" w:hAnsiTheme="minorHAnsi"/>
        </w:rPr>
        <w:t>improve thermostatic control, reduce out of hours energy waste and enable remote access to performance data</w:t>
      </w:r>
    </w:p>
    <w:p w:rsidR="00980E9D" w:rsidRDefault="00980E9D" w:rsidP="00B6572F">
      <w:pPr>
        <w:pStyle w:val="ListParagraph"/>
        <w:numPr>
          <w:ilvl w:val="0"/>
          <w:numId w:val="4"/>
        </w:numPr>
        <w:rPr>
          <w:rFonts w:asciiTheme="minorHAnsi" w:hAnsiTheme="minorHAnsi"/>
        </w:rPr>
      </w:pPr>
      <w:r>
        <w:rPr>
          <w:rFonts w:asciiTheme="minorHAnsi" w:hAnsiTheme="minorHAnsi"/>
        </w:rPr>
        <w:t xml:space="preserve">We are reviewing the ‘bulk-buy scheme’ before procuring an insulation framework contractor to see if we can improve and speed up the process. </w:t>
      </w:r>
    </w:p>
    <w:p w:rsidR="00980E9D" w:rsidRDefault="00980E9D" w:rsidP="00980E9D">
      <w:pPr>
        <w:rPr>
          <w:rFonts w:asciiTheme="minorHAnsi" w:hAnsiTheme="minorHAnsi"/>
        </w:rPr>
      </w:pPr>
    </w:p>
    <w:p w:rsidR="00980E9D" w:rsidRPr="006B53AF" w:rsidRDefault="00980E9D" w:rsidP="00980E9D">
      <w:pPr>
        <w:rPr>
          <w:rFonts w:asciiTheme="minorHAnsi" w:hAnsiTheme="minorHAnsi"/>
          <w:b/>
        </w:rPr>
      </w:pPr>
      <w:r w:rsidRPr="006B53AF">
        <w:rPr>
          <w:rFonts w:asciiTheme="minorHAnsi" w:hAnsiTheme="minorHAnsi"/>
          <w:b/>
        </w:rPr>
        <w:t>B</w:t>
      </w:r>
      <w:r w:rsidR="00D60AFA">
        <w:rPr>
          <w:rFonts w:asciiTheme="minorHAnsi" w:hAnsiTheme="minorHAnsi"/>
          <w:b/>
        </w:rPr>
        <w:t>A</w:t>
      </w:r>
      <w:r w:rsidRPr="006B53AF">
        <w:rPr>
          <w:rFonts w:asciiTheme="minorHAnsi" w:hAnsiTheme="minorHAnsi"/>
          <w:b/>
        </w:rPr>
        <w:t>NES Energy Smart Team (BEST) Awards</w:t>
      </w:r>
    </w:p>
    <w:p w:rsidR="00980E9D" w:rsidRDefault="006B53AF" w:rsidP="00980E9D">
      <w:pPr>
        <w:rPr>
          <w:rFonts w:asciiTheme="minorHAnsi" w:hAnsiTheme="minorHAnsi"/>
        </w:rPr>
      </w:pPr>
      <w:r>
        <w:rPr>
          <w:rFonts w:asciiTheme="minorHAnsi" w:hAnsiTheme="minorHAnsi"/>
        </w:rPr>
        <w:t>In February/March 2015 we will be running a BANES-wide energy saving campaign award. There are three prize categories which have been designed to ensure that every school has the chance to win at least one. These are:</w:t>
      </w:r>
    </w:p>
    <w:p w:rsidR="006B53AF" w:rsidRDefault="006B53AF" w:rsidP="00980E9D">
      <w:pPr>
        <w:rPr>
          <w:rFonts w:asciiTheme="minorHAnsi" w:hAnsiTheme="minorHAnsi"/>
        </w:rPr>
      </w:pPr>
    </w:p>
    <w:p w:rsidR="006B53AF" w:rsidRPr="006B53AF" w:rsidRDefault="006B53AF" w:rsidP="006B53AF">
      <w:pPr>
        <w:pStyle w:val="ListParagraph"/>
        <w:numPr>
          <w:ilvl w:val="0"/>
          <w:numId w:val="7"/>
        </w:numPr>
        <w:rPr>
          <w:rFonts w:asciiTheme="minorHAnsi" w:hAnsiTheme="minorHAnsi"/>
        </w:rPr>
      </w:pPr>
      <w:r w:rsidRPr="006B53AF">
        <w:rPr>
          <w:rFonts w:asciiTheme="minorHAnsi" w:hAnsiTheme="minorHAnsi"/>
        </w:rPr>
        <w:t xml:space="preserve">Lowest per pupil electricity use over the </w:t>
      </w:r>
      <w:r>
        <w:rPr>
          <w:rFonts w:asciiTheme="minorHAnsi" w:hAnsiTheme="minorHAnsi"/>
        </w:rPr>
        <w:t>campaign</w:t>
      </w:r>
    </w:p>
    <w:p w:rsidR="006B53AF" w:rsidRDefault="006B53AF" w:rsidP="006B53AF">
      <w:pPr>
        <w:pStyle w:val="ListParagraph"/>
        <w:numPr>
          <w:ilvl w:val="0"/>
          <w:numId w:val="7"/>
        </w:numPr>
        <w:rPr>
          <w:rFonts w:asciiTheme="minorHAnsi" w:hAnsiTheme="minorHAnsi"/>
        </w:rPr>
      </w:pPr>
      <w:r w:rsidRPr="006B53AF">
        <w:rPr>
          <w:rFonts w:asciiTheme="minorHAnsi" w:hAnsiTheme="minorHAnsi"/>
        </w:rPr>
        <w:t xml:space="preserve">Biggest percentage reduction in electricity use over the campaign </w:t>
      </w:r>
    </w:p>
    <w:p w:rsidR="006B53AF" w:rsidRPr="006B53AF" w:rsidRDefault="006B53AF" w:rsidP="006B53AF">
      <w:pPr>
        <w:pStyle w:val="ListParagraph"/>
        <w:numPr>
          <w:ilvl w:val="0"/>
          <w:numId w:val="7"/>
        </w:numPr>
        <w:rPr>
          <w:rFonts w:asciiTheme="minorHAnsi" w:hAnsiTheme="minorHAnsi"/>
        </w:rPr>
      </w:pPr>
      <w:r w:rsidRPr="006B53AF">
        <w:rPr>
          <w:rFonts w:asciiTheme="minorHAnsi" w:hAnsiTheme="minorHAnsi"/>
        </w:rPr>
        <w:t xml:space="preserve">Best </w:t>
      </w:r>
      <w:r>
        <w:rPr>
          <w:rFonts w:asciiTheme="minorHAnsi" w:hAnsiTheme="minorHAnsi"/>
        </w:rPr>
        <w:t xml:space="preserve">school-wide </w:t>
      </w:r>
      <w:r w:rsidRPr="006B53AF">
        <w:rPr>
          <w:rFonts w:asciiTheme="minorHAnsi" w:hAnsiTheme="minorHAnsi"/>
        </w:rPr>
        <w:t xml:space="preserve">campaign </w:t>
      </w:r>
    </w:p>
    <w:p w:rsidR="006B53AF" w:rsidRDefault="006B53AF" w:rsidP="00980E9D">
      <w:pPr>
        <w:rPr>
          <w:rFonts w:asciiTheme="minorHAnsi" w:hAnsiTheme="minorHAnsi"/>
        </w:rPr>
      </w:pPr>
    </w:p>
    <w:p w:rsidR="006B53AF" w:rsidRDefault="006B53AF" w:rsidP="00980E9D">
      <w:pPr>
        <w:rPr>
          <w:rFonts w:asciiTheme="minorHAnsi" w:hAnsiTheme="minorHAnsi"/>
        </w:rPr>
      </w:pPr>
      <w:r>
        <w:rPr>
          <w:rFonts w:asciiTheme="minorHAnsi" w:hAnsiTheme="minorHAnsi"/>
        </w:rPr>
        <w:t xml:space="preserve">Schools which have already made large reductions, or who cannot compete on lowest electricity use per pupil, will still be able to compete for Best Campaign. </w:t>
      </w:r>
    </w:p>
    <w:p w:rsidR="00980E9D" w:rsidRDefault="00980E9D" w:rsidP="00980E9D">
      <w:pPr>
        <w:rPr>
          <w:rFonts w:asciiTheme="minorHAnsi" w:hAnsiTheme="minorHAnsi"/>
        </w:rPr>
      </w:pPr>
    </w:p>
    <w:p w:rsidR="00D60AFA" w:rsidRDefault="006B53AF" w:rsidP="00D60AFA">
      <w:pPr>
        <w:rPr>
          <w:rFonts w:ascii="Calibri" w:hAnsi="Calibri"/>
        </w:rPr>
      </w:pPr>
      <w:r>
        <w:rPr>
          <w:rFonts w:ascii="Calibri" w:hAnsi="Calibri"/>
        </w:rPr>
        <w:t>Resource Futures ha</w:t>
      </w:r>
      <w:r w:rsidR="00D60AFA">
        <w:rPr>
          <w:rFonts w:ascii="Calibri" w:hAnsi="Calibri"/>
        </w:rPr>
        <w:t>s</w:t>
      </w:r>
      <w:r>
        <w:rPr>
          <w:rFonts w:ascii="Calibri" w:hAnsi="Calibri"/>
        </w:rPr>
        <w:t xml:space="preserve"> been contracted to provided support sessions and a resource pack. Support visits are available for the first 16 schools to respond</w:t>
      </w:r>
      <w:r w:rsidR="00D60AFA">
        <w:rPr>
          <w:rFonts w:ascii="Calibri" w:hAnsi="Calibri"/>
        </w:rPr>
        <w:t xml:space="preserve"> to the offer. The campaign, offer of support and announcement of prizes will be sent out shortly. </w:t>
      </w:r>
    </w:p>
    <w:p w:rsidR="00B04B41" w:rsidRDefault="00B04B41" w:rsidP="00D60AFA">
      <w:pPr>
        <w:rPr>
          <w:rFonts w:asciiTheme="minorHAnsi" w:hAnsiTheme="minorHAnsi"/>
        </w:rPr>
      </w:pPr>
    </w:p>
    <w:p w:rsidR="00B04B41" w:rsidRDefault="00B04B41">
      <w:pPr>
        <w:rPr>
          <w:rFonts w:asciiTheme="minorHAnsi" w:hAnsiTheme="minorHAnsi"/>
        </w:rPr>
      </w:pPr>
    </w:p>
    <w:p w:rsidR="00FC5C01" w:rsidRPr="0094510C" w:rsidRDefault="002819B0" w:rsidP="0094510C">
      <w:pPr>
        <w:spacing w:after="120"/>
        <w:rPr>
          <w:rFonts w:asciiTheme="minorHAnsi" w:hAnsiTheme="minorHAnsi"/>
          <w:b/>
          <w:bCs/>
          <w:sz w:val="28"/>
        </w:rPr>
      </w:pPr>
      <w:r w:rsidRPr="0094510C">
        <w:rPr>
          <w:rFonts w:asciiTheme="minorHAnsi" w:hAnsiTheme="minorHAnsi"/>
          <w:b/>
          <w:bCs/>
          <w:sz w:val="28"/>
        </w:rPr>
        <w:t>Carbon Reduction target</w:t>
      </w:r>
    </w:p>
    <w:p w:rsidR="002819B0" w:rsidRDefault="002819B0">
      <w:pPr>
        <w:rPr>
          <w:rFonts w:asciiTheme="minorHAnsi" w:hAnsiTheme="minorHAnsi"/>
        </w:rPr>
      </w:pPr>
      <w:r>
        <w:rPr>
          <w:rFonts w:asciiTheme="minorHAnsi" w:hAnsiTheme="minorHAnsi"/>
        </w:rPr>
        <w:t xml:space="preserve">The Schools Carbon Reduction Programme was instigated to help schools reduce carbon emissions by 30% in line with the Councils Carbon Management Plan. </w:t>
      </w:r>
    </w:p>
    <w:p w:rsidR="002819B0" w:rsidRDefault="002819B0">
      <w:pPr>
        <w:rPr>
          <w:rFonts w:asciiTheme="minorHAnsi" w:hAnsiTheme="minorHAnsi"/>
        </w:rPr>
      </w:pPr>
      <w:r>
        <w:rPr>
          <w:rFonts w:asciiTheme="minorHAnsi" w:hAnsiTheme="minorHAnsi"/>
        </w:rPr>
        <w:t xml:space="preserve">Schools currently account for 45% of the Councils total carbon footprint. </w:t>
      </w:r>
    </w:p>
    <w:p w:rsidR="002819B0" w:rsidRDefault="002819B0">
      <w:pPr>
        <w:rPr>
          <w:rFonts w:asciiTheme="minorHAnsi" w:hAnsiTheme="minorHAnsi"/>
        </w:rPr>
      </w:pPr>
      <w:r>
        <w:rPr>
          <w:rFonts w:asciiTheme="minorHAnsi" w:hAnsiTheme="minorHAnsi"/>
        </w:rPr>
        <w:t xml:space="preserve">This year was the first year that Schools carbon emissions have dropped below the baseline year of 2007/08. </w:t>
      </w:r>
    </w:p>
    <w:p w:rsidR="00FC5C01" w:rsidRDefault="00586AFD">
      <w:pPr>
        <w:rPr>
          <w:rFonts w:asciiTheme="minorHAnsi" w:hAnsiTheme="minorHAnsi"/>
        </w:rPr>
      </w:pPr>
      <w:r>
        <w:rPr>
          <w:noProof/>
        </w:rPr>
        <w:drawing>
          <wp:anchor distT="0" distB="0" distL="114300" distR="114300" simplePos="0" relativeHeight="251658240" behindDoc="0" locked="0" layoutInCell="1" allowOverlap="1" wp14:anchorId="3C9868DD" wp14:editId="3DFBB243">
            <wp:simplePos x="0" y="0"/>
            <wp:positionH relativeFrom="column">
              <wp:posOffset>-609600</wp:posOffset>
            </wp:positionH>
            <wp:positionV relativeFrom="paragraph">
              <wp:posOffset>71755</wp:posOffset>
            </wp:positionV>
            <wp:extent cx="6515100" cy="32512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7E4CB0" w:rsidRDefault="00FC5C01" w:rsidP="007E4CB0">
      <w:pPr>
        <w:pStyle w:val="ListParagraph"/>
        <w:numPr>
          <w:ilvl w:val="0"/>
          <w:numId w:val="2"/>
        </w:numPr>
        <w:rPr>
          <w:rFonts w:asciiTheme="minorHAnsi" w:hAnsiTheme="minorHAnsi"/>
        </w:rPr>
      </w:pPr>
      <w:r>
        <w:rPr>
          <w:rFonts w:asciiTheme="minorHAnsi" w:hAnsiTheme="minorHAnsi"/>
        </w:rPr>
        <w:t>All fuel types and formats have reduced from last year</w:t>
      </w:r>
    </w:p>
    <w:p w:rsidR="00FC5C01" w:rsidRPr="007E4CB0" w:rsidRDefault="00FC5C01" w:rsidP="00FC5C01">
      <w:pPr>
        <w:pStyle w:val="ListParagraph"/>
        <w:numPr>
          <w:ilvl w:val="0"/>
          <w:numId w:val="2"/>
        </w:numPr>
        <w:rPr>
          <w:rFonts w:asciiTheme="minorHAnsi" w:hAnsiTheme="minorHAnsi"/>
        </w:rPr>
      </w:pPr>
      <w:r w:rsidRPr="007E4CB0">
        <w:rPr>
          <w:rFonts w:asciiTheme="minorHAnsi" w:hAnsiTheme="minorHAnsi"/>
        </w:rPr>
        <w:t xml:space="preserve">The reduction in electricity is especially good as this reverses the trend for year-on-year increases in electricity </w:t>
      </w:r>
      <w:r w:rsidR="00FC750C">
        <w:rPr>
          <w:rFonts w:asciiTheme="minorHAnsi" w:hAnsiTheme="minorHAnsi"/>
        </w:rPr>
        <w:t>use.</w:t>
      </w:r>
      <w:r w:rsidRPr="007E4CB0">
        <w:rPr>
          <w:rFonts w:asciiTheme="minorHAnsi" w:hAnsiTheme="minorHAnsi"/>
        </w:rPr>
        <w:t xml:space="preserve"> </w:t>
      </w:r>
    </w:p>
    <w:p w:rsidR="00D35B09" w:rsidRPr="007E4CB0" w:rsidRDefault="00D35B09" w:rsidP="007E4CB0">
      <w:pPr>
        <w:pStyle w:val="ListParagraph"/>
        <w:numPr>
          <w:ilvl w:val="0"/>
          <w:numId w:val="2"/>
        </w:numPr>
        <w:rPr>
          <w:rFonts w:asciiTheme="minorHAnsi" w:hAnsiTheme="minorHAnsi"/>
        </w:rPr>
      </w:pPr>
      <w:r w:rsidRPr="007E4CB0">
        <w:rPr>
          <w:rFonts w:asciiTheme="minorHAnsi" w:hAnsiTheme="minorHAnsi"/>
        </w:rPr>
        <w:t xml:space="preserve">However </w:t>
      </w:r>
      <w:r w:rsidR="007E4CB0" w:rsidRPr="007E4CB0">
        <w:rPr>
          <w:rFonts w:asciiTheme="minorHAnsi" w:hAnsiTheme="minorHAnsi"/>
        </w:rPr>
        <w:t>g</w:t>
      </w:r>
      <w:r w:rsidRPr="007E4CB0">
        <w:rPr>
          <w:rFonts w:asciiTheme="minorHAnsi" w:hAnsiTheme="minorHAnsi"/>
        </w:rPr>
        <w:t xml:space="preserve">as and </w:t>
      </w:r>
      <w:r w:rsidR="007E4CB0" w:rsidRPr="007E4CB0">
        <w:rPr>
          <w:rFonts w:asciiTheme="minorHAnsi" w:hAnsiTheme="minorHAnsi"/>
        </w:rPr>
        <w:t>e</w:t>
      </w:r>
      <w:r w:rsidR="009666E2" w:rsidRPr="007E4CB0">
        <w:rPr>
          <w:rFonts w:asciiTheme="minorHAnsi" w:hAnsiTheme="minorHAnsi"/>
        </w:rPr>
        <w:t>lectricity</w:t>
      </w:r>
      <w:r w:rsidRPr="007E4CB0">
        <w:rPr>
          <w:rFonts w:asciiTheme="minorHAnsi" w:hAnsiTheme="minorHAnsi"/>
        </w:rPr>
        <w:t xml:space="preserve"> are both </w:t>
      </w:r>
      <w:r w:rsidR="009666E2" w:rsidRPr="007E4CB0">
        <w:rPr>
          <w:rFonts w:asciiTheme="minorHAnsi" w:hAnsiTheme="minorHAnsi"/>
        </w:rPr>
        <w:t xml:space="preserve">still </w:t>
      </w:r>
      <w:r w:rsidR="007E4CB0">
        <w:rPr>
          <w:rFonts w:asciiTheme="minorHAnsi" w:hAnsiTheme="minorHAnsi"/>
        </w:rPr>
        <w:t xml:space="preserve">significantly </w:t>
      </w:r>
      <w:r w:rsidRPr="007E4CB0">
        <w:rPr>
          <w:rFonts w:asciiTheme="minorHAnsi" w:hAnsiTheme="minorHAnsi"/>
        </w:rPr>
        <w:t xml:space="preserve">higher than the baseline year. </w:t>
      </w:r>
    </w:p>
    <w:p w:rsidR="00D35B09" w:rsidRPr="007E4CB0" w:rsidRDefault="005B2154" w:rsidP="007E4CB0">
      <w:pPr>
        <w:pStyle w:val="ListParagraph"/>
        <w:numPr>
          <w:ilvl w:val="0"/>
          <w:numId w:val="2"/>
        </w:numPr>
        <w:rPr>
          <w:rFonts w:asciiTheme="minorHAnsi" w:hAnsiTheme="minorHAnsi"/>
        </w:rPr>
      </w:pPr>
      <w:r>
        <w:rPr>
          <w:rFonts w:asciiTheme="minorHAnsi" w:hAnsiTheme="minorHAnsi"/>
        </w:rPr>
        <w:t>Despite this, c</w:t>
      </w:r>
      <w:r w:rsidR="00D35B09" w:rsidRPr="007E4CB0">
        <w:rPr>
          <w:rFonts w:asciiTheme="minorHAnsi" w:hAnsiTheme="minorHAnsi"/>
        </w:rPr>
        <w:t xml:space="preserve">arbon </w:t>
      </w:r>
      <w:r w:rsidR="009666E2" w:rsidRPr="007E4CB0">
        <w:rPr>
          <w:rFonts w:asciiTheme="minorHAnsi" w:hAnsiTheme="minorHAnsi"/>
        </w:rPr>
        <w:t>emissions</w:t>
      </w:r>
      <w:r w:rsidR="00D35B09" w:rsidRPr="007E4CB0">
        <w:rPr>
          <w:rFonts w:asciiTheme="minorHAnsi" w:hAnsiTheme="minorHAnsi"/>
        </w:rPr>
        <w:t xml:space="preserve"> are </w:t>
      </w:r>
      <w:r>
        <w:rPr>
          <w:rFonts w:asciiTheme="minorHAnsi" w:hAnsiTheme="minorHAnsi"/>
        </w:rPr>
        <w:t>2% lower than</w:t>
      </w:r>
      <w:r w:rsidR="00D35B09" w:rsidRPr="007E4CB0">
        <w:rPr>
          <w:rFonts w:asciiTheme="minorHAnsi" w:hAnsiTheme="minorHAnsi"/>
        </w:rPr>
        <w:t xml:space="preserve"> t</w:t>
      </w:r>
      <w:r w:rsidR="009666E2" w:rsidRPr="007E4CB0">
        <w:rPr>
          <w:rFonts w:asciiTheme="minorHAnsi" w:hAnsiTheme="minorHAnsi"/>
        </w:rPr>
        <w:t xml:space="preserve">he baseline. This is due to very large reductions in oil consumption resulting from shifts to biomass and gas and reduction in the carbon intensity of grid electricity. </w:t>
      </w:r>
    </w:p>
    <w:p w:rsidR="007E4CB0" w:rsidRPr="00603FA2" w:rsidRDefault="007E4CB0" w:rsidP="00BF3960">
      <w:pPr>
        <w:rPr>
          <w:rFonts w:asciiTheme="minorHAnsi" w:hAnsiTheme="minorHAnsi"/>
        </w:rPr>
      </w:pPr>
    </w:p>
    <w:p w:rsidR="00BB1449" w:rsidRPr="00603FA2" w:rsidRDefault="00BB1449">
      <w:pPr>
        <w:rPr>
          <w:rFonts w:asciiTheme="minorHAnsi" w:hAnsiTheme="minorHAnsi"/>
        </w:rPr>
      </w:pPr>
    </w:p>
    <w:sectPr w:rsidR="00BB1449" w:rsidRPr="00603FA2" w:rsidSect="00586AFD">
      <w:pgSz w:w="11906" w:h="16838"/>
      <w:pgMar w:top="1135"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C49"/>
    <w:multiLevelType w:val="hybridMultilevel"/>
    <w:tmpl w:val="8CF05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7F356D4"/>
    <w:multiLevelType w:val="hybridMultilevel"/>
    <w:tmpl w:val="9768E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D575FD"/>
    <w:multiLevelType w:val="hybridMultilevel"/>
    <w:tmpl w:val="6D12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0710BB"/>
    <w:multiLevelType w:val="hybridMultilevel"/>
    <w:tmpl w:val="49BC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B309F0"/>
    <w:multiLevelType w:val="hybridMultilevel"/>
    <w:tmpl w:val="E512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A543AD"/>
    <w:multiLevelType w:val="hybridMultilevel"/>
    <w:tmpl w:val="0156A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449"/>
    <w:rsid w:val="00060D9E"/>
    <w:rsid w:val="00102297"/>
    <w:rsid w:val="002819B0"/>
    <w:rsid w:val="002F5808"/>
    <w:rsid w:val="00301FBA"/>
    <w:rsid w:val="00362F51"/>
    <w:rsid w:val="003C1750"/>
    <w:rsid w:val="00404676"/>
    <w:rsid w:val="00413490"/>
    <w:rsid w:val="00427F15"/>
    <w:rsid w:val="00586AFD"/>
    <w:rsid w:val="005B2154"/>
    <w:rsid w:val="00603FA2"/>
    <w:rsid w:val="00615A03"/>
    <w:rsid w:val="006507F6"/>
    <w:rsid w:val="006B53AF"/>
    <w:rsid w:val="006C35CB"/>
    <w:rsid w:val="00730FEC"/>
    <w:rsid w:val="0078533C"/>
    <w:rsid w:val="007A0595"/>
    <w:rsid w:val="007D7A88"/>
    <w:rsid w:val="007E4CB0"/>
    <w:rsid w:val="00837F93"/>
    <w:rsid w:val="0092097D"/>
    <w:rsid w:val="0094510C"/>
    <w:rsid w:val="009666E2"/>
    <w:rsid w:val="00980E9D"/>
    <w:rsid w:val="00A825BB"/>
    <w:rsid w:val="00B04B41"/>
    <w:rsid w:val="00B547C9"/>
    <w:rsid w:val="00B6572F"/>
    <w:rsid w:val="00BA0D2E"/>
    <w:rsid w:val="00BB1449"/>
    <w:rsid w:val="00BF3960"/>
    <w:rsid w:val="00CE7DB6"/>
    <w:rsid w:val="00CF2937"/>
    <w:rsid w:val="00CF2FAC"/>
    <w:rsid w:val="00D35B09"/>
    <w:rsid w:val="00D60AFA"/>
    <w:rsid w:val="00DA4C4A"/>
    <w:rsid w:val="00F26AFE"/>
    <w:rsid w:val="00FC5C01"/>
    <w:rsid w:val="00FC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960"/>
    <w:pPr>
      <w:ind w:left="720"/>
      <w:contextualSpacing/>
    </w:pPr>
  </w:style>
  <w:style w:type="paragraph" w:styleId="BalloonText">
    <w:name w:val="Balloon Text"/>
    <w:basedOn w:val="Normal"/>
    <w:link w:val="BalloonTextChar"/>
    <w:uiPriority w:val="99"/>
    <w:semiHidden/>
    <w:unhideWhenUsed/>
    <w:rsid w:val="00603FA2"/>
    <w:rPr>
      <w:rFonts w:ascii="Tahoma" w:hAnsi="Tahoma" w:cs="Tahoma"/>
      <w:sz w:val="16"/>
      <w:szCs w:val="16"/>
    </w:rPr>
  </w:style>
  <w:style w:type="character" w:customStyle="1" w:styleId="BalloonTextChar">
    <w:name w:val="Balloon Text Char"/>
    <w:basedOn w:val="DefaultParagraphFont"/>
    <w:link w:val="BalloonText"/>
    <w:uiPriority w:val="99"/>
    <w:semiHidden/>
    <w:rsid w:val="00603FA2"/>
    <w:rPr>
      <w:rFonts w:ascii="Tahoma" w:hAnsi="Tahoma" w:cs="Tahoma"/>
      <w:sz w:val="16"/>
      <w:szCs w:val="16"/>
    </w:rPr>
  </w:style>
  <w:style w:type="table" w:styleId="TableGrid">
    <w:name w:val="Table Grid"/>
    <w:basedOn w:val="TableNormal"/>
    <w:uiPriority w:val="59"/>
    <w:rsid w:val="00B04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750C"/>
    <w:rPr>
      <w:color w:val="0000FF" w:themeColor="hyperlink"/>
      <w:u w:val="single"/>
    </w:rPr>
  </w:style>
  <w:style w:type="table" w:styleId="LightList-Accent1">
    <w:name w:val="Light List Accent 1"/>
    <w:basedOn w:val="TableNormal"/>
    <w:uiPriority w:val="61"/>
    <w:rsid w:val="006507F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960"/>
    <w:pPr>
      <w:ind w:left="720"/>
      <w:contextualSpacing/>
    </w:pPr>
  </w:style>
  <w:style w:type="paragraph" w:styleId="BalloonText">
    <w:name w:val="Balloon Text"/>
    <w:basedOn w:val="Normal"/>
    <w:link w:val="BalloonTextChar"/>
    <w:uiPriority w:val="99"/>
    <w:semiHidden/>
    <w:unhideWhenUsed/>
    <w:rsid w:val="00603FA2"/>
    <w:rPr>
      <w:rFonts w:ascii="Tahoma" w:hAnsi="Tahoma" w:cs="Tahoma"/>
      <w:sz w:val="16"/>
      <w:szCs w:val="16"/>
    </w:rPr>
  </w:style>
  <w:style w:type="character" w:customStyle="1" w:styleId="BalloonTextChar">
    <w:name w:val="Balloon Text Char"/>
    <w:basedOn w:val="DefaultParagraphFont"/>
    <w:link w:val="BalloonText"/>
    <w:uiPriority w:val="99"/>
    <w:semiHidden/>
    <w:rsid w:val="00603FA2"/>
    <w:rPr>
      <w:rFonts w:ascii="Tahoma" w:hAnsi="Tahoma" w:cs="Tahoma"/>
      <w:sz w:val="16"/>
      <w:szCs w:val="16"/>
    </w:rPr>
  </w:style>
  <w:style w:type="table" w:styleId="TableGrid">
    <w:name w:val="Table Grid"/>
    <w:basedOn w:val="TableNormal"/>
    <w:uiPriority w:val="59"/>
    <w:rsid w:val="00B04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750C"/>
    <w:rPr>
      <w:color w:val="0000FF" w:themeColor="hyperlink"/>
      <w:u w:val="single"/>
    </w:rPr>
  </w:style>
  <w:style w:type="table" w:styleId="LightList-Accent1">
    <w:name w:val="Light List Accent 1"/>
    <w:basedOn w:val="TableNormal"/>
    <w:uiPriority w:val="61"/>
    <w:rsid w:val="006507F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760344">
      <w:bodyDiv w:val="1"/>
      <w:marLeft w:val="0"/>
      <w:marRight w:val="0"/>
      <w:marTop w:val="0"/>
      <w:marBottom w:val="0"/>
      <w:divBdr>
        <w:top w:val="none" w:sz="0" w:space="0" w:color="auto"/>
        <w:left w:val="none" w:sz="0" w:space="0" w:color="auto"/>
        <w:bottom w:val="none" w:sz="0" w:space="0" w:color="auto"/>
        <w:right w:val="none" w:sz="0" w:space="0" w:color="auto"/>
      </w:divBdr>
    </w:div>
    <w:div w:id="108071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yperlink" Target="mailto:Amy_dartington@bathnes.gov.uk" TargetMode="External"/><Relationship Id="rId4" Type="http://schemas.microsoft.com/office/2007/relationships/stylesWithEffects" Target="stylesWithEffects.xml"/><Relationship Id="rId9" Type="http://schemas.openxmlformats.org/officeDocument/2006/relationships/image" Target="media/image20.wmf"/><Relationship Id="rId14" Type="http://schemas.openxmlformats.org/officeDocument/2006/relationships/hyperlink" Target="mailto:amy_dartington@bathnes.gov.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th\Shared$\Strategy%20&amp;%20Performance\Corporate%20Sustainability\4.%20TEAM%20WORKSTREAMS_NEW\Schools%20Carbon%20Management\League%20Table\2014\Apportioned\Apportioned%20League%20Table%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Seth\Shared$\Strategy%20&amp;%20Performance\Corporate%20Sustainability\4.%20TEAM%20WORKSTREAMS_NEW\Schools%20Carbon%20Management\League%20Table\2014\Apportioned\Apportioned%20League%20Table%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Summary!$F$157</c:f>
              <c:strCache>
                <c:ptCount val="1"/>
                <c:pt idx="0">
                  <c:v>Primary</c:v>
                </c:pt>
              </c:strCache>
            </c:strRef>
          </c:tx>
          <c:invertIfNegative val="0"/>
          <c:cat>
            <c:strRef>
              <c:f>Summary!$G$156:$I$156</c:f>
              <c:strCache>
                <c:ptCount val="3"/>
                <c:pt idx="0">
                  <c:v>Elec</c:v>
                </c:pt>
                <c:pt idx="1">
                  <c:v>Gas</c:v>
                </c:pt>
                <c:pt idx="2">
                  <c:v>Oil</c:v>
                </c:pt>
              </c:strCache>
            </c:strRef>
          </c:cat>
          <c:val>
            <c:numRef>
              <c:f>Summary!$G$157:$I$157</c:f>
              <c:numCache>
                <c:formatCode>0</c:formatCode>
                <c:ptCount val="3"/>
                <c:pt idx="0">
                  <c:v>4</c:v>
                </c:pt>
                <c:pt idx="1">
                  <c:v>20</c:v>
                </c:pt>
                <c:pt idx="2">
                  <c:v>66</c:v>
                </c:pt>
              </c:numCache>
            </c:numRef>
          </c:val>
        </c:ser>
        <c:ser>
          <c:idx val="1"/>
          <c:order val="1"/>
          <c:tx>
            <c:strRef>
              <c:f>Summary!$F$158</c:f>
              <c:strCache>
                <c:ptCount val="1"/>
                <c:pt idx="0">
                  <c:v>Secondary</c:v>
                </c:pt>
              </c:strCache>
            </c:strRef>
          </c:tx>
          <c:invertIfNegative val="0"/>
          <c:cat>
            <c:strRef>
              <c:f>Summary!$G$156:$I$156</c:f>
              <c:strCache>
                <c:ptCount val="3"/>
                <c:pt idx="0">
                  <c:v>Elec</c:v>
                </c:pt>
                <c:pt idx="1">
                  <c:v>Gas</c:v>
                </c:pt>
                <c:pt idx="2">
                  <c:v>Oil</c:v>
                </c:pt>
              </c:strCache>
            </c:strRef>
          </c:cat>
          <c:val>
            <c:numRef>
              <c:f>Summary!$G$158:$I$158</c:f>
              <c:numCache>
                <c:formatCode>0</c:formatCode>
                <c:ptCount val="3"/>
                <c:pt idx="0">
                  <c:v>2</c:v>
                </c:pt>
                <c:pt idx="1">
                  <c:v>19</c:v>
                </c:pt>
                <c:pt idx="2">
                  <c:v>11</c:v>
                </c:pt>
              </c:numCache>
            </c:numRef>
          </c:val>
        </c:ser>
        <c:dLbls>
          <c:showLegendKey val="0"/>
          <c:showVal val="1"/>
          <c:showCatName val="0"/>
          <c:showSerName val="0"/>
          <c:showPercent val="0"/>
          <c:showBubbleSize val="0"/>
        </c:dLbls>
        <c:gapWidth val="75"/>
        <c:axId val="91934720"/>
        <c:axId val="198119808"/>
      </c:barChart>
      <c:catAx>
        <c:axId val="91934720"/>
        <c:scaling>
          <c:orientation val="minMax"/>
        </c:scaling>
        <c:delete val="0"/>
        <c:axPos val="b"/>
        <c:majorTickMark val="none"/>
        <c:minorTickMark val="none"/>
        <c:tickLblPos val="nextTo"/>
        <c:crossAx val="198119808"/>
        <c:crosses val="autoZero"/>
        <c:auto val="1"/>
        <c:lblAlgn val="ctr"/>
        <c:lblOffset val="100"/>
        <c:noMultiLvlLbl val="0"/>
      </c:catAx>
      <c:valAx>
        <c:axId val="198119808"/>
        <c:scaling>
          <c:orientation val="minMax"/>
        </c:scaling>
        <c:delete val="1"/>
        <c:axPos val="l"/>
        <c:numFmt formatCode="0" sourceLinked="1"/>
        <c:majorTickMark val="none"/>
        <c:minorTickMark val="none"/>
        <c:tickLblPos val="nextTo"/>
        <c:crossAx val="9193472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 Reduction</a:t>
            </a:r>
            <a:r>
              <a:rPr lang="en-US" sz="1400" baseline="0"/>
              <a:t> in Gas Used Winter 2013 Compared to Winter 2012</a:t>
            </a:r>
            <a:endParaRPr lang="en-US" sz="1400"/>
          </a:p>
        </c:rich>
      </c:tx>
      <c:layout/>
      <c:overlay val="0"/>
    </c:title>
    <c:autoTitleDeleted val="0"/>
    <c:plotArea>
      <c:layout/>
      <c:barChart>
        <c:barDir val="col"/>
        <c:grouping val="clustered"/>
        <c:varyColors val="0"/>
        <c:ser>
          <c:idx val="0"/>
          <c:order val="0"/>
          <c:tx>
            <c:strRef>
              <c:f>'DD Adjustment All Primary'!$I$31</c:f>
              <c:strCache>
                <c:ptCount val="1"/>
                <c:pt idx="0">
                  <c:v>Absolute kWh Saving</c:v>
                </c:pt>
              </c:strCache>
            </c:strRef>
          </c:tx>
          <c:invertIfNegative val="0"/>
          <c:dPt>
            <c:idx val="1"/>
            <c:invertIfNegative val="0"/>
            <c:bubble3D val="0"/>
            <c:spPr>
              <a:solidFill>
                <a:srgbClr val="00B050"/>
              </a:solidFill>
            </c:spPr>
          </c:dPt>
          <c:dPt>
            <c:idx val="2"/>
            <c:invertIfNegative val="0"/>
            <c:bubble3D val="0"/>
            <c:spPr>
              <a:solidFill>
                <a:schemeClr val="bg1">
                  <a:lumMod val="65000"/>
                </a:schemeClr>
              </a:solidFill>
              <a:ln>
                <a:solidFill>
                  <a:schemeClr val="bg1">
                    <a:lumMod val="65000"/>
                  </a:schemeClr>
                </a:solidFill>
              </a:ln>
            </c:spPr>
          </c:dPt>
          <c:cat>
            <c:strRef>
              <c:f>'DD Adjustment All Primary'!$G$32:$G$34</c:f>
              <c:strCache>
                <c:ptCount val="3"/>
                <c:pt idx="0">
                  <c:v>All Schools</c:v>
                </c:pt>
                <c:pt idx="1">
                  <c:v>HCP Schools</c:v>
                </c:pt>
                <c:pt idx="2">
                  <c:v>Non-HCP Schools</c:v>
                </c:pt>
              </c:strCache>
            </c:strRef>
          </c:cat>
          <c:val>
            <c:numRef>
              <c:f>'DD Adjustment All Primary'!$I$32:$I$34</c:f>
              <c:numCache>
                <c:formatCode>0%</c:formatCode>
                <c:ptCount val="3"/>
                <c:pt idx="0">
                  <c:v>0.22</c:v>
                </c:pt>
                <c:pt idx="1">
                  <c:v>0.27</c:v>
                </c:pt>
                <c:pt idx="2">
                  <c:v>0.16</c:v>
                </c:pt>
              </c:numCache>
            </c:numRef>
          </c:val>
        </c:ser>
        <c:dLbls>
          <c:showLegendKey val="0"/>
          <c:showVal val="1"/>
          <c:showCatName val="0"/>
          <c:showSerName val="0"/>
          <c:showPercent val="0"/>
          <c:showBubbleSize val="0"/>
        </c:dLbls>
        <c:gapWidth val="75"/>
        <c:axId val="70098944"/>
        <c:axId val="70100480"/>
      </c:barChart>
      <c:catAx>
        <c:axId val="70098944"/>
        <c:scaling>
          <c:orientation val="minMax"/>
        </c:scaling>
        <c:delete val="0"/>
        <c:axPos val="b"/>
        <c:majorTickMark val="none"/>
        <c:minorTickMark val="none"/>
        <c:tickLblPos val="nextTo"/>
        <c:crossAx val="70100480"/>
        <c:crosses val="autoZero"/>
        <c:auto val="1"/>
        <c:lblAlgn val="ctr"/>
        <c:lblOffset val="100"/>
        <c:noMultiLvlLbl val="0"/>
      </c:catAx>
      <c:valAx>
        <c:axId val="70100480"/>
        <c:scaling>
          <c:orientation val="minMax"/>
        </c:scaling>
        <c:delete val="1"/>
        <c:axPos val="l"/>
        <c:numFmt formatCode="0%" sourceLinked="1"/>
        <c:majorTickMark val="none"/>
        <c:minorTickMark val="none"/>
        <c:tickLblPos val="nextTo"/>
        <c:crossAx val="7009894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Value of Electricity and Gas Consumed by All</a:t>
            </a:r>
            <a:r>
              <a:rPr lang="en-US" baseline="0"/>
              <a:t> Schools</a:t>
            </a:r>
            <a:endParaRPr lang="en-US"/>
          </a:p>
        </c:rich>
      </c:tx>
      <c:layout/>
      <c:overlay val="0"/>
    </c:title>
    <c:autoTitleDeleted val="0"/>
    <c:plotArea>
      <c:layout/>
      <c:barChart>
        <c:barDir val="col"/>
        <c:grouping val="clustered"/>
        <c:varyColors val="0"/>
        <c:ser>
          <c:idx val="0"/>
          <c:order val="0"/>
          <c:tx>
            <c:strRef>
              <c:f>Summary!$P$133</c:f>
              <c:strCache>
                <c:ptCount val="1"/>
                <c:pt idx="0">
                  <c:v>Elec</c:v>
                </c:pt>
              </c:strCache>
            </c:strRef>
          </c:tx>
          <c:invertIfNegative val="0"/>
          <c:cat>
            <c:numRef>
              <c:f>Summary!$O$134:$O$136</c:f>
              <c:numCache>
                <c:formatCode>General</c:formatCode>
                <c:ptCount val="3"/>
                <c:pt idx="0">
                  <c:v>2011</c:v>
                </c:pt>
                <c:pt idx="1">
                  <c:v>2012</c:v>
                </c:pt>
                <c:pt idx="2">
                  <c:v>2013</c:v>
                </c:pt>
              </c:numCache>
            </c:numRef>
          </c:cat>
          <c:val>
            <c:numRef>
              <c:f>Summary!$P$134:$P$136</c:f>
              <c:numCache>
                <c:formatCode>"£"#,##0</c:formatCode>
                <c:ptCount val="3"/>
                <c:pt idx="0">
                  <c:v>1136214.1000000001</c:v>
                </c:pt>
                <c:pt idx="1">
                  <c:v>1189062.9000000001</c:v>
                </c:pt>
                <c:pt idx="2">
                  <c:v>1159425.4000000001</c:v>
                </c:pt>
              </c:numCache>
            </c:numRef>
          </c:val>
        </c:ser>
        <c:ser>
          <c:idx val="1"/>
          <c:order val="1"/>
          <c:tx>
            <c:strRef>
              <c:f>Summary!$Q$133</c:f>
              <c:strCache>
                <c:ptCount val="1"/>
                <c:pt idx="0">
                  <c:v>Gas</c:v>
                </c:pt>
              </c:strCache>
            </c:strRef>
          </c:tx>
          <c:invertIfNegative val="0"/>
          <c:cat>
            <c:numRef>
              <c:f>Summary!$O$134:$O$136</c:f>
              <c:numCache>
                <c:formatCode>General</c:formatCode>
                <c:ptCount val="3"/>
                <c:pt idx="0">
                  <c:v>2011</c:v>
                </c:pt>
                <c:pt idx="1">
                  <c:v>2012</c:v>
                </c:pt>
                <c:pt idx="2">
                  <c:v>2013</c:v>
                </c:pt>
              </c:numCache>
            </c:numRef>
          </c:cat>
          <c:val>
            <c:numRef>
              <c:f>Summary!$Q$134:$Q$136</c:f>
              <c:numCache>
                <c:formatCode>"£"#,##0</c:formatCode>
                <c:ptCount val="3"/>
                <c:pt idx="0">
                  <c:v>421199.64</c:v>
                </c:pt>
                <c:pt idx="1">
                  <c:v>585688.53599999996</c:v>
                </c:pt>
                <c:pt idx="2">
                  <c:v>477748.728</c:v>
                </c:pt>
              </c:numCache>
            </c:numRef>
          </c:val>
        </c:ser>
        <c:dLbls>
          <c:showLegendKey val="0"/>
          <c:showVal val="1"/>
          <c:showCatName val="0"/>
          <c:showSerName val="0"/>
          <c:showPercent val="0"/>
          <c:showBubbleSize val="0"/>
        </c:dLbls>
        <c:gapWidth val="75"/>
        <c:axId val="167243136"/>
        <c:axId val="167244928"/>
      </c:barChart>
      <c:catAx>
        <c:axId val="167243136"/>
        <c:scaling>
          <c:orientation val="minMax"/>
        </c:scaling>
        <c:delete val="0"/>
        <c:axPos val="b"/>
        <c:numFmt formatCode="General" sourceLinked="1"/>
        <c:majorTickMark val="none"/>
        <c:minorTickMark val="none"/>
        <c:tickLblPos val="nextTo"/>
        <c:crossAx val="167244928"/>
        <c:crosses val="autoZero"/>
        <c:auto val="1"/>
        <c:lblAlgn val="ctr"/>
        <c:lblOffset val="100"/>
        <c:noMultiLvlLbl val="0"/>
      </c:catAx>
      <c:valAx>
        <c:axId val="167244928"/>
        <c:scaling>
          <c:orientation val="minMax"/>
        </c:scaling>
        <c:delete val="1"/>
        <c:axPos val="l"/>
        <c:numFmt formatCode="&quot;£&quot;#,##0" sourceLinked="1"/>
        <c:majorTickMark val="none"/>
        <c:minorTickMark val="none"/>
        <c:tickLblPos val="nextTo"/>
        <c:crossAx val="16724313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 Change From Baseline</a:t>
            </a:r>
          </a:p>
        </c:rich>
      </c:tx>
      <c:layout>
        <c:manualLayout>
          <c:xMode val="edge"/>
          <c:yMode val="edge"/>
          <c:x val="0.32081082464470057"/>
          <c:y val="0"/>
        </c:manualLayout>
      </c:layout>
      <c:overlay val="1"/>
    </c:title>
    <c:autoTitleDeleted val="0"/>
    <c:plotArea>
      <c:layout>
        <c:manualLayout>
          <c:layoutTarget val="inner"/>
          <c:xMode val="edge"/>
          <c:yMode val="edge"/>
          <c:x val="1.2381163376031287E-2"/>
          <c:y val="3.6080794118391497E-2"/>
          <c:w val="0.96595180071591391"/>
          <c:h val="0.78649571033708299"/>
        </c:manualLayout>
      </c:layout>
      <c:lineChart>
        <c:grouping val="standard"/>
        <c:varyColors val="0"/>
        <c:ser>
          <c:idx val="0"/>
          <c:order val="0"/>
          <c:tx>
            <c:strRef>
              <c:f>Summary!$J$71</c:f>
              <c:strCache>
                <c:ptCount val="1"/>
                <c:pt idx="0">
                  <c:v>Electricity % Change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txPr>
              <a:bodyPr/>
              <a:lstStyle/>
              <a:p>
                <a:pPr>
                  <a:defRPr sz="1100"/>
                </a:pPr>
                <a:endParaRPr lang="en-US"/>
              </a:p>
            </c:txPr>
            <c:showLegendKey val="0"/>
            <c:showVal val="1"/>
            <c:showCatName val="0"/>
            <c:showSerName val="0"/>
            <c:showPercent val="0"/>
            <c:showBubbleSize val="0"/>
            <c:showLeaderLines val="0"/>
          </c:dLbls>
          <c:cat>
            <c:strRef>
              <c:f>Summary!$K$70:$Q$70</c:f>
              <c:strCache>
                <c:ptCount val="7"/>
                <c:pt idx="0">
                  <c:v>2007/08</c:v>
                </c:pt>
                <c:pt idx="1">
                  <c:v>2008/09</c:v>
                </c:pt>
                <c:pt idx="2">
                  <c:v>2009/10</c:v>
                </c:pt>
                <c:pt idx="3">
                  <c:v>2010/11</c:v>
                </c:pt>
                <c:pt idx="4">
                  <c:v>2011/12</c:v>
                </c:pt>
                <c:pt idx="5">
                  <c:v>2012/13</c:v>
                </c:pt>
                <c:pt idx="6">
                  <c:v>2013/14</c:v>
                </c:pt>
              </c:strCache>
            </c:strRef>
          </c:cat>
          <c:val>
            <c:numRef>
              <c:f>Summary!$K$71:$Q$71</c:f>
              <c:numCache>
                <c:formatCode>0</c:formatCode>
                <c:ptCount val="7"/>
                <c:pt idx="0">
                  <c:v>0</c:v>
                </c:pt>
                <c:pt idx="1">
                  <c:v>12.039940268021354</c:v>
                </c:pt>
                <c:pt idx="2">
                  <c:v>10.397167789408911</c:v>
                </c:pt>
                <c:pt idx="3">
                  <c:v>17.865381909320249</c:v>
                </c:pt>
                <c:pt idx="4">
                  <c:v>16.109485328253541</c:v>
                </c:pt>
                <c:pt idx="5">
                  <c:v>21.510093337092556</c:v>
                </c:pt>
                <c:pt idx="6">
                  <c:v>18.481443304131233</c:v>
                </c:pt>
              </c:numCache>
            </c:numRef>
          </c:val>
          <c:smooth val="0"/>
        </c:ser>
        <c:ser>
          <c:idx val="1"/>
          <c:order val="1"/>
          <c:tx>
            <c:strRef>
              <c:f>Summary!$J$72</c:f>
              <c:strCache>
                <c:ptCount val="1"/>
                <c:pt idx="0">
                  <c:v>Absolute Gas % Change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txPr>
              <a:bodyPr/>
              <a:lstStyle/>
              <a:p>
                <a:pPr>
                  <a:defRPr sz="1100"/>
                </a:pPr>
                <a:endParaRPr lang="en-US"/>
              </a:p>
            </c:txPr>
            <c:showLegendKey val="0"/>
            <c:showVal val="1"/>
            <c:showCatName val="0"/>
            <c:showSerName val="0"/>
            <c:showPercent val="0"/>
            <c:showBubbleSize val="0"/>
            <c:showLeaderLines val="0"/>
          </c:dLbls>
          <c:cat>
            <c:strRef>
              <c:f>Summary!$K$70:$Q$70</c:f>
              <c:strCache>
                <c:ptCount val="7"/>
                <c:pt idx="0">
                  <c:v>2007/08</c:v>
                </c:pt>
                <c:pt idx="1">
                  <c:v>2008/09</c:v>
                </c:pt>
                <c:pt idx="2">
                  <c:v>2009/10</c:v>
                </c:pt>
                <c:pt idx="3">
                  <c:v>2010/11</c:v>
                </c:pt>
                <c:pt idx="4">
                  <c:v>2011/12</c:v>
                </c:pt>
                <c:pt idx="5">
                  <c:v>2012/13</c:v>
                </c:pt>
                <c:pt idx="6">
                  <c:v>2013/14</c:v>
                </c:pt>
              </c:strCache>
            </c:strRef>
          </c:cat>
          <c:val>
            <c:numRef>
              <c:f>Summary!$K$72:$Q$72</c:f>
              <c:numCache>
                <c:formatCode>0</c:formatCode>
                <c:ptCount val="7"/>
                <c:pt idx="0">
                  <c:v>0</c:v>
                </c:pt>
                <c:pt idx="1">
                  <c:v>2.3839441728173369</c:v>
                </c:pt>
                <c:pt idx="2">
                  <c:v>10.980001874135283</c:v>
                </c:pt>
                <c:pt idx="3">
                  <c:v>36.663058037559864</c:v>
                </c:pt>
                <c:pt idx="4">
                  <c:v>-11.051582817486789</c:v>
                </c:pt>
                <c:pt idx="5">
                  <c:v>25.696483791485917</c:v>
                </c:pt>
                <c:pt idx="6">
                  <c:v>9.726194347828482</c:v>
                </c:pt>
              </c:numCache>
            </c:numRef>
          </c:val>
          <c:smooth val="0"/>
        </c:ser>
        <c:ser>
          <c:idx val="2"/>
          <c:order val="2"/>
          <c:tx>
            <c:strRef>
              <c:f>Summary!$J$73</c:f>
              <c:strCache>
                <c:ptCount val="1"/>
                <c:pt idx="0">
                  <c:v>Gas Weather Corrected % Change</c:v>
                </c:pt>
              </c:strCache>
            </c:strRef>
          </c:tx>
          <c:spPr>
            <a:ln>
              <a:solidFill>
                <a:schemeClr val="accent6">
                  <a:lumMod val="75000"/>
                </a:schemeClr>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layout>
                <c:manualLayout>
                  <c:x val="2.1667035908054751E-2"/>
                  <c:y val="1.6400360962905224E-2"/>
                </c:manualLayout>
              </c:layout>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Summary!$K$70:$Q$70</c:f>
              <c:strCache>
                <c:ptCount val="7"/>
                <c:pt idx="0">
                  <c:v>2007/08</c:v>
                </c:pt>
                <c:pt idx="1">
                  <c:v>2008/09</c:v>
                </c:pt>
                <c:pt idx="2">
                  <c:v>2009/10</c:v>
                </c:pt>
                <c:pt idx="3">
                  <c:v>2010/11</c:v>
                </c:pt>
                <c:pt idx="4">
                  <c:v>2011/12</c:v>
                </c:pt>
                <c:pt idx="5">
                  <c:v>2012/13</c:v>
                </c:pt>
                <c:pt idx="6">
                  <c:v>2013/14</c:v>
                </c:pt>
              </c:strCache>
            </c:strRef>
          </c:cat>
          <c:val>
            <c:numRef>
              <c:f>Summary!$K$73:$Q$73</c:f>
              <c:numCache>
                <c:formatCode>0</c:formatCode>
                <c:ptCount val="7"/>
                <c:pt idx="0">
                  <c:v>0</c:v>
                </c:pt>
                <c:pt idx="1">
                  <c:v>-11.625980006133545</c:v>
                </c:pt>
                <c:pt idx="2">
                  <c:v>-9.396980109024355</c:v>
                </c:pt>
                <c:pt idx="3">
                  <c:v>15.608702924580811</c:v>
                </c:pt>
                <c:pt idx="4">
                  <c:v>-10.751999082280733</c:v>
                </c:pt>
                <c:pt idx="5">
                  <c:v>-0.87927404765260064</c:v>
                </c:pt>
                <c:pt idx="6">
                  <c:v>-5.956345888062387</c:v>
                </c:pt>
              </c:numCache>
            </c:numRef>
          </c:val>
          <c:smooth val="0"/>
        </c:ser>
        <c:ser>
          <c:idx val="5"/>
          <c:order val="3"/>
          <c:tx>
            <c:strRef>
              <c:f>Summary!$J$76</c:f>
              <c:strCache>
                <c:ptCount val="1"/>
                <c:pt idx="0">
                  <c:v>CO2 Weather Corrected % Change</c:v>
                </c:pt>
              </c:strCache>
            </c:strRef>
          </c:tx>
          <c:spPr>
            <a:ln>
              <a:solidFill>
                <a:schemeClr val="bg1">
                  <a:lumMod val="50000"/>
                </a:schemeClr>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layout>
                <c:manualLayout>
                  <c:x val="2.1667035908054751E-2"/>
                  <c:y val="4.5921010696134627E-2"/>
                </c:manualLayout>
              </c:layout>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Summary!$K$70:$Q$70</c:f>
              <c:strCache>
                <c:ptCount val="7"/>
                <c:pt idx="0">
                  <c:v>2007/08</c:v>
                </c:pt>
                <c:pt idx="1">
                  <c:v>2008/09</c:v>
                </c:pt>
                <c:pt idx="2">
                  <c:v>2009/10</c:v>
                </c:pt>
                <c:pt idx="3">
                  <c:v>2010/11</c:v>
                </c:pt>
                <c:pt idx="4">
                  <c:v>2011/12</c:v>
                </c:pt>
                <c:pt idx="5">
                  <c:v>2012/13</c:v>
                </c:pt>
                <c:pt idx="6">
                  <c:v>2013/14</c:v>
                </c:pt>
              </c:strCache>
            </c:strRef>
          </c:cat>
          <c:val>
            <c:numRef>
              <c:f>Summary!$K$76:$Q$76</c:f>
              <c:numCache>
                <c:formatCode>0</c:formatCode>
                <c:ptCount val="7"/>
                <c:pt idx="0">
                  <c:v>0</c:v>
                </c:pt>
                <c:pt idx="1">
                  <c:v>1.8643385049279715</c:v>
                </c:pt>
                <c:pt idx="2">
                  <c:v>3.2417940188355061</c:v>
                </c:pt>
                <c:pt idx="3">
                  <c:v>13.033384229970338</c:v>
                </c:pt>
                <c:pt idx="4">
                  <c:v>-2.9982670068645803</c:v>
                </c:pt>
                <c:pt idx="5">
                  <c:v>3.6342310586710482</c:v>
                </c:pt>
                <c:pt idx="6">
                  <c:v>-8.0583129186485536</c:v>
                </c:pt>
              </c:numCache>
            </c:numRef>
          </c:val>
          <c:smooth val="0"/>
        </c:ser>
        <c:ser>
          <c:idx val="6"/>
          <c:order val="4"/>
          <c:tx>
            <c:strRef>
              <c:f>Summary!$J$77</c:f>
              <c:strCache>
                <c:ptCount val="1"/>
                <c:pt idx="0">
                  <c:v>Absolute CO2 % Change</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layout>
                <c:manualLayout>
                  <c:x val="2.1667035908054751E-2"/>
                  <c:y val="6.5601443851620901E-3"/>
                </c:manualLayout>
              </c:layout>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Summary!$K$70:$Q$70</c:f>
              <c:strCache>
                <c:ptCount val="7"/>
                <c:pt idx="0">
                  <c:v>2007/08</c:v>
                </c:pt>
                <c:pt idx="1">
                  <c:v>2008/09</c:v>
                </c:pt>
                <c:pt idx="2">
                  <c:v>2009/10</c:v>
                </c:pt>
                <c:pt idx="3">
                  <c:v>2010/11</c:v>
                </c:pt>
                <c:pt idx="4">
                  <c:v>2011/12</c:v>
                </c:pt>
                <c:pt idx="5">
                  <c:v>2012/13</c:v>
                </c:pt>
                <c:pt idx="6">
                  <c:v>2013/14</c:v>
                </c:pt>
              </c:strCache>
            </c:strRef>
          </c:cat>
          <c:val>
            <c:numRef>
              <c:f>Summary!$K$77:$Q$77</c:f>
              <c:numCache>
                <c:formatCode>0</c:formatCode>
                <c:ptCount val="7"/>
                <c:pt idx="0">
                  <c:v>0</c:v>
                </c:pt>
                <c:pt idx="1">
                  <c:v>8.4571964186784214</c:v>
                </c:pt>
                <c:pt idx="2">
                  <c:v>11.969583965946896</c:v>
                </c:pt>
                <c:pt idx="3">
                  <c:v>20.581087710671781</c:v>
                </c:pt>
                <c:pt idx="4">
                  <c:v>1.1308949269905213</c:v>
                </c:pt>
                <c:pt idx="5">
                  <c:v>16.723816184486552</c:v>
                </c:pt>
                <c:pt idx="6">
                  <c:v>-2.4091625250463409</c:v>
                </c:pt>
              </c:numCache>
            </c:numRef>
          </c:val>
          <c:smooth val="0"/>
        </c:ser>
        <c:dLbls>
          <c:showLegendKey val="0"/>
          <c:showVal val="1"/>
          <c:showCatName val="0"/>
          <c:showSerName val="0"/>
          <c:showPercent val="0"/>
          <c:showBubbleSize val="0"/>
        </c:dLbls>
        <c:marker val="1"/>
        <c:smooth val="0"/>
        <c:axId val="172558976"/>
        <c:axId val="172573056"/>
      </c:lineChart>
      <c:catAx>
        <c:axId val="172558976"/>
        <c:scaling>
          <c:orientation val="minMax"/>
        </c:scaling>
        <c:delete val="0"/>
        <c:axPos val="b"/>
        <c:majorTickMark val="none"/>
        <c:minorTickMark val="none"/>
        <c:tickLblPos val="nextTo"/>
        <c:crossAx val="172573056"/>
        <c:crosses val="autoZero"/>
        <c:auto val="1"/>
        <c:lblAlgn val="ctr"/>
        <c:lblOffset val="100"/>
        <c:noMultiLvlLbl val="0"/>
      </c:catAx>
      <c:valAx>
        <c:axId val="172573056"/>
        <c:scaling>
          <c:orientation val="minMax"/>
          <c:min val="-20"/>
        </c:scaling>
        <c:delete val="1"/>
        <c:axPos val="l"/>
        <c:numFmt formatCode="0" sourceLinked="1"/>
        <c:majorTickMark val="none"/>
        <c:minorTickMark val="none"/>
        <c:tickLblPos val="nextTo"/>
        <c:crossAx val="172558976"/>
        <c:crosses val="autoZero"/>
        <c:crossBetween val="between"/>
      </c:valAx>
    </c:plotArea>
    <c:legend>
      <c:legendPos val="b"/>
      <c:layout>
        <c:manualLayout>
          <c:xMode val="edge"/>
          <c:yMode val="edge"/>
          <c:x val="6.6131224589205465E-2"/>
          <c:y val="0.76669032208670251"/>
          <c:w val="0.88870299368498351"/>
          <c:h val="0.21087138322369389"/>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36B41-EC79-4BC9-9808-7E1F5BE49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1112</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Dartington</dc:creator>
  <cp:lastModifiedBy>Lorraine Elms</cp:lastModifiedBy>
  <cp:revision>4</cp:revision>
  <cp:lastPrinted>2014-11-04T09:41:00Z</cp:lastPrinted>
  <dcterms:created xsi:type="dcterms:W3CDTF">2014-11-04T11:44:00Z</dcterms:created>
  <dcterms:modified xsi:type="dcterms:W3CDTF">2014-11-04T15:50:00Z</dcterms:modified>
</cp:coreProperties>
</file>