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F9" w:rsidRDefault="000938F9" w:rsidP="000938F9">
      <w:pPr>
        <w:outlineLvl w:val="0"/>
        <w:rPr>
          <w:rFonts w:cs="Arial"/>
          <w:b/>
          <w:szCs w:val="22"/>
        </w:rPr>
      </w:pPr>
      <w:r>
        <w:rPr>
          <w:rFonts w:cs="Arial"/>
          <w:b/>
          <w:szCs w:val="22"/>
        </w:rPr>
        <w:t>Bath Magistrates’ and County Court and Family Court (Magistrates)</w:t>
      </w:r>
    </w:p>
    <w:p w:rsidR="000938F9" w:rsidRPr="000D496A" w:rsidRDefault="000938F9" w:rsidP="000938F9">
      <w:pPr>
        <w:pStyle w:val="HMCTSnormal"/>
        <w:rPr>
          <w:b/>
        </w:rPr>
      </w:pPr>
      <w:r w:rsidRPr="000D496A">
        <w:rPr>
          <w:b/>
        </w:rPr>
        <w:t>Proposal</w:t>
      </w:r>
    </w:p>
    <w:p w:rsidR="000938F9" w:rsidRPr="00DD5107" w:rsidRDefault="000938F9" w:rsidP="000938F9">
      <w:pPr>
        <w:pStyle w:val="HMCTSnormal"/>
      </w:pPr>
      <w:r w:rsidRPr="00DD5107">
        <w:t xml:space="preserve">Bath Magistrates’ Court is co-located with </w:t>
      </w:r>
      <w:smartTag w:uri="urn:schemas-microsoft-com:office:smarttags" w:element="Street">
        <w:smartTag w:uri="urn:schemas-microsoft-com:office:smarttags" w:element="address">
          <w:r w:rsidRPr="00DD5107">
            <w:t>Bath County Court</w:t>
          </w:r>
        </w:smartTag>
      </w:smartTag>
      <w:r w:rsidRPr="00DD5107">
        <w:t xml:space="preserve"> </w:t>
      </w:r>
      <w:r>
        <w:t xml:space="preserve">at Bath Law Courts, </w:t>
      </w:r>
      <w:r w:rsidRPr="00DD5107">
        <w:t xml:space="preserve">and is one of four magistrates’ courts in </w:t>
      </w:r>
      <w:smartTag w:uri="urn:schemas-microsoft-com:office:smarttags" w:element="place">
        <w:smartTag w:uri="urn:schemas-microsoft-com:office:smarttags" w:element="City">
          <w:r w:rsidRPr="00DD5107">
            <w:t>Somerset</w:t>
          </w:r>
        </w:smartTag>
      </w:smartTag>
      <w:r w:rsidRPr="00DD5107">
        <w:t xml:space="preserve">. The court deals with criminal business in adult and youth cases. The jurisdiction of the court covers the city of </w:t>
      </w:r>
      <w:smartTag w:uri="urn:schemas-microsoft-com:office:smarttags" w:element="place">
        <w:smartTag w:uri="urn:schemas-microsoft-com:office:smarttags" w:element="City">
          <w:r w:rsidRPr="00DD5107">
            <w:t>Bath</w:t>
          </w:r>
        </w:smartTag>
      </w:smartTag>
      <w:r w:rsidRPr="00DD5107">
        <w:t xml:space="preserve"> and the surrounding rural area. </w:t>
      </w:r>
    </w:p>
    <w:p w:rsidR="000938F9" w:rsidRPr="00DD5107" w:rsidRDefault="000938F9" w:rsidP="000938F9">
      <w:pPr>
        <w:pStyle w:val="HMCTSnormal"/>
      </w:pPr>
      <w:r w:rsidRPr="00DD5107">
        <w:t xml:space="preserve">The proposal is to close Bath Magistrates’ Court and transfer the workload to Bristol Magistrates’ Court. </w:t>
      </w:r>
    </w:p>
    <w:p w:rsidR="000938F9" w:rsidRPr="00DD5107" w:rsidRDefault="000938F9" w:rsidP="000938F9">
      <w:pPr>
        <w:pStyle w:val="HMCTSnormal"/>
      </w:pPr>
      <w:r w:rsidRPr="00DD5107">
        <w:t xml:space="preserve">This proposal is linked to the </w:t>
      </w:r>
      <w:r>
        <w:t>proposed closure of</w:t>
      </w:r>
      <w:r w:rsidRPr="00DD5107">
        <w:t xml:space="preserve"> North Avon Magistrates’ Court (also known as Yate Magistrates’ Court) </w:t>
      </w:r>
      <w:r>
        <w:t>which is also contained within this consultation</w:t>
      </w:r>
      <w:r w:rsidRPr="00DD5107">
        <w:t>. The capacity at Bristol Magistrates</w:t>
      </w:r>
      <w:r>
        <w:t>’</w:t>
      </w:r>
      <w:r w:rsidRPr="00DD5107">
        <w:t xml:space="preserve"> Court would only support the workload from </w:t>
      </w:r>
      <w:r>
        <w:t xml:space="preserve">either Bath Magistrates’ Court or North Avon Magistrates’ Court </w:t>
      </w:r>
      <w:r w:rsidRPr="00DD5107">
        <w:t xml:space="preserve">and the responses to </w:t>
      </w:r>
      <w:r>
        <w:t>the</w:t>
      </w:r>
      <w:r w:rsidRPr="00DD5107">
        <w:t xml:space="preserve"> consultation will inform </w:t>
      </w:r>
      <w:r>
        <w:t xml:space="preserve">the decision on whether either of the two proposals </w:t>
      </w:r>
      <w:proofErr w:type="gramStart"/>
      <w:r>
        <w:t>are</w:t>
      </w:r>
      <w:proofErr w:type="gramEnd"/>
      <w:r>
        <w:t xml:space="preserve"> implemented.</w:t>
      </w:r>
      <w:r w:rsidRPr="00DD5107">
        <w:t xml:space="preserve"> </w:t>
      </w:r>
    </w:p>
    <w:p w:rsidR="000938F9" w:rsidRDefault="000938F9" w:rsidP="000938F9">
      <w:pPr>
        <w:pStyle w:val="HMCTSnormal"/>
      </w:pPr>
      <w:r w:rsidRPr="003B411C">
        <w:t xml:space="preserve">Bristol Magistrates’ Court is a modern purpose built 12 courtroom building situated in the centre of </w:t>
      </w:r>
      <w:smartTag w:uri="urn:schemas-microsoft-com:office:smarttags" w:element="place">
        <w:smartTag w:uri="urn:schemas-microsoft-com:office:smarttags" w:element="City">
          <w:r w:rsidRPr="003B411C">
            <w:t>Bristol</w:t>
          </w:r>
        </w:smartTag>
      </w:smartTag>
      <w:r w:rsidRPr="003B411C">
        <w:t xml:space="preserve">. </w:t>
      </w:r>
      <w:r w:rsidRPr="005A54AF">
        <w:t>The court has excellent facilities for c</w:t>
      </w:r>
      <w:r>
        <w:t>ourt users,</w:t>
      </w:r>
      <w:r w:rsidRPr="005A54AF">
        <w:t xml:space="preserve"> staff and judiciary. The move to a significantly larger, </w:t>
      </w:r>
      <w:r>
        <w:t>modern</w:t>
      </w:r>
      <w:r w:rsidRPr="005A54AF">
        <w:t xml:space="preserve"> </w:t>
      </w:r>
      <w:r w:rsidRPr="00E24E3D">
        <w:t>building</w:t>
      </w:r>
      <w:r w:rsidRPr="002F6BBF">
        <w:t xml:space="preserve"> </w:t>
      </w:r>
      <w:r w:rsidRPr="005A54AF">
        <w:t xml:space="preserve">would </w:t>
      </w:r>
      <w:r>
        <w:t xml:space="preserve">provide better services for our users, </w:t>
      </w:r>
      <w:r w:rsidRPr="005A54AF">
        <w:t>enable more flexibility in the listing of cases and allow more efficient use of staff and judicial time</w:t>
      </w:r>
      <w:r>
        <w:t>.</w:t>
      </w:r>
    </w:p>
    <w:p w:rsidR="000938F9" w:rsidRPr="003B411C" w:rsidRDefault="000938F9" w:rsidP="000938F9">
      <w:pPr>
        <w:pStyle w:val="HMCTSnormal"/>
      </w:pPr>
      <w:r w:rsidRPr="003B411C">
        <w:t>There would be no enabling works required at Bristol Magistrates’ Court to accommodate the workload from Bath Magistrates’ Court.</w:t>
      </w:r>
    </w:p>
    <w:p w:rsidR="000938F9" w:rsidRPr="00236F71" w:rsidRDefault="000938F9" w:rsidP="000938F9">
      <w:pPr>
        <w:rPr>
          <w:rFonts w:cs="Arial"/>
          <w:color w:val="000080"/>
          <w:szCs w:val="22"/>
        </w:rPr>
      </w:pPr>
      <w:r w:rsidRPr="009435C5">
        <w:rPr>
          <w:rFonts w:cs="Arial"/>
          <w:color w:val="000000"/>
          <w:szCs w:val="22"/>
        </w:rPr>
        <w:t>Should this proposal go ahead the Judicial Business Group (JBG) would undertake local stakeholder engagement to consider the need for the merger of Local Justice Areas.</w:t>
      </w:r>
    </w:p>
    <w:p w:rsidR="000938F9" w:rsidRPr="002F6BBF" w:rsidRDefault="000938F9" w:rsidP="000938F9">
      <w:pPr>
        <w:pStyle w:val="HMCTSnormal"/>
        <w:rPr>
          <w:b/>
          <w:bCs/>
        </w:rPr>
      </w:pPr>
      <w:r w:rsidRPr="002F6BBF">
        <w:rPr>
          <w:b/>
          <w:bCs/>
        </w:rPr>
        <w:t>Accommodation</w:t>
      </w:r>
    </w:p>
    <w:p w:rsidR="000938F9" w:rsidRPr="00370263" w:rsidRDefault="000938F9" w:rsidP="000938F9">
      <w:pPr>
        <w:pStyle w:val="HMCTSnormal"/>
      </w:pPr>
      <w:r>
        <w:t>Bath Magistrates’ Court was built in 1989 and is in a good state of repair. It</w:t>
      </w:r>
      <w:r w:rsidRPr="007D0BFE">
        <w:t xml:space="preserve"> has a total of </w:t>
      </w:r>
      <w:r>
        <w:t>five</w:t>
      </w:r>
      <w:r w:rsidRPr="007D0BFE">
        <w:t xml:space="preserve"> </w:t>
      </w:r>
      <w:r>
        <w:t>c</w:t>
      </w:r>
      <w:r w:rsidRPr="007D0BFE">
        <w:t xml:space="preserve">ourtrooms </w:t>
      </w:r>
      <w:r>
        <w:t>of which four</w:t>
      </w:r>
      <w:r w:rsidRPr="007D0BFE">
        <w:t xml:space="preserve"> are magistrates’ </w:t>
      </w:r>
      <w:r w:rsidRPr="006506EB">
        <w:t>courtrooms.</w:t>
      </w:r>
      <w:r>
        <w:t xml:space="preserve"> </w:t>
      </w:r>
    </w:p>
    <w:p w:rsidR="000938F9" w:rsidRPr="00370263" w:rsidRDefault="000938F9" w:rsidP="000938F9">
      <w:pPr>
        <w:pStyle w:val="HMCTSnormal"/>
      </w:pPr>
      <w:r w:rsidRPr="00370263">
        <w:t xml:space="preserve">The court has separate waiting rooms for prosecution and defence witnesses. It also has video link facilities for use by witnesses giving evidence but it does not have a prison video link. </w:t>
      </w:r>
    </w:p>
    <w:p w:rsidR="000938F9" w:rsidRPr="006506EB" w:rsidRDefault="000938F9" w:rsidP="000938F9">
      <w:pPr>
        <w:pStyle w:val="HMCTSnormal"/>
      </w:pPr>
      <w:r w:rsidRPr="006506EB">
        <w:t xml:space="preserve">All courtrooms are without a fitted hearing loop system and have to get by with antiquated portable loop equipment. This can sometimes be incompatible with the more modern hearing aids worn by court users. </w:t>
      </w:r>
    </w:p>
    <w:p w:rsidR="000938F9" w:rsidRDefault="000938F9" w:rsidP="000938F9">
      <w:pPr>
        <w:rPr>
          <w:rFonts w:cs="Arial"/>
          <w:b/>
          <w:szCs w:val="22"/>
        </w:rPr>
      </w:pPr>
      <w:r>
        <w:rPr>
          <w:rFonts w:cs="Arial"/>
          <w:b/>
          <w:szCs w:val="22"/>
        </w:rPr>
        <w:t>Workload</w:t>
      </w:r>
    </w:p>
    <w:p w:rsidR="000938F9" w:rsidRPr="003A3424" w:rsidRDefault="000938F9" w:rsidP="000938F9">
      <w:pPr>
        <w:pStyle w:val="HMCTSnormal"/>
      </w:pPr>
      <w:r w:rsidRPr="002F6BBF">
        <w:t xml:space="preserve">Bath Magistrates’ Court </w:t>
      </w:r>
      <w:r w:rsidRPr="003A3424">
        <w:t xml:space="preserve">has four </w:t>
      </w:r>
      <w:r w:rsidRPr="002F6BBF">
        <w:t xml:space="preserve">courtrooms </w:t>
      </w:r>
      <w:r w:rsidRPr="003A3424">
        <w:t xml:space="preserve">and is capable of sitting up to 992 days per year (at 248 days per courtroom). In the financial year 2014/15 </w:t>
      </w:r>
      <w:r>
        <w:t xml:space="preserve">Bath Law Courts (Magistrates’ and County) </w:t>
      </w:r>
      <w:r w:rsidRPr="003A3424">
        <w:t xml:space="preserve">was </w:t>
      </w:r>
      <w:r>
        <w:t>utilised for approximately 46%</w:t>
      </w:r>
      <w:r w:rsidRPr="003A3424">
        <w:t xml:space="preserve"> of its current capacity. </w:t>
      </w:r>
    </w:p>
    <w:p w:rsidR="000938F9" w:rsidRDefault="000938F9" w:rsidP="000938F9">
      <w:pPr>
        <w:pStyle w:val="HMCTSnormal"/>
      </w:pPr>
      <w:r w:rsidRPr="003B411C">
        <w:t xml:space="preserve">Bath Magistrates’ Court is currently the centralised road traffic court dealing with all minor motoring offences committed in </w:t>
      </w:r>
      <w:smartTag w:uri="urn:schemas-microsoft-com:office:smarttags" w:element="City">
        <w:r w:rsidRPr="003B411C">
          <w:t>Somerset</w:t>
        </w:r>
      </w:smartTag>
      <w:r w:rsidRPr="003B411C">
        <w:t xml:space="preserve">, </w:t>
      </w:r>
      <w:smartTag w:uri="urn:schemas-microsoft-com:office:smarttags" w:element="City">
        <w:r w:rsidRPr="003B411C">
          <w:t>Bristol</w:t>
        </w:r>
      </w:smartTag>
      <w:r w:rsidRPr="003B411C">
        <w:t xml:space="preserve">, </w:t>
      </w:r>
      <w:r>
        <w:t xml:space="preserve">and </w:t>
      </w:r>
      <w:smartTag w:uri="urn:schemas-microsoft-com:office:smarttags" w:element="place">
        <w:r w:rsidRPr="003B411C">
          <w:t>Avon</w:t>
        </w:r>
      </w:smartTag>
      <w:r w:rsidRPr="003B411C">
        <w:t>.</w:t>
      </w:r>
    </w:p>
    <w:p w:rsidR="000938F9" w:rsidRPr="003B411C" w:rsidRDefault="000938F9" w:rsidP="000938F9">
      <w:pPr>
        <w:pStyle w:val="HMCTSnormal"/>
      </w:pPr>
    </w:p>
    <w:p w:rsidR="000938F9" w:rsidRDefault="000938F9" w:rsidP="000938F9">
      <w:pPr>
        <w:rPr>
          <w:rFonts w:cs="Arial"/>
          <w:b/>
          <w:szCs w:val="22"/>
        </w:rPr>
      </w:pPr>
      <w:r>
        <w:rPr>
          <w:rFonts w:cs="Arial"/>
          <w:b/>
          <w:szCs w:val="22"/>
        </w:rPr>
        <w:lastRenderedPageBreak/>
        <w:t>Location</w:t>
      </w:r>
    </w:p>
    <w:p w:rsidR="000938F9" w:rsidRDefault="000938F9" w:rsidP="000938F9">
      <w:pPr>
        <w:pStyle w:val="HMCTSnormal"/>
      </w:pPr>
      <w:r>
        <w:t>Should</w:t>
      </w:r>
      <w:r w:rsidRPr="003B411C">
        <w:t xml:space="preserve"> Bath Magistrates</w:t>
      </w:r>
      <w:r>
        <w:t>’</w:t>
      </w:r>
      <w:r w:rsidRPr="003B411C">
        <w:t xml:space="preserve"> Court</w:t>
      </w:r>
      <w:r>
        <w:t xml:space="preserve"> close</w:t>
      </w:r>
      <w:r w:rsidRPr="003B411C">
        <w:t xml:space="preserve"> rather than North Avon Magistrates’ Court (Yate Magistrates’ Court), the proposal is for all the work to be moved to Bristol Magistrates’ Court. Bristol Magistrates’ Court is located in the centre of </w:t>
      </w:r>
      <w:smartTag w:uri="urn:schemas-microsoft-com:office:smarttags" w:element="City">
        <w:r w:rsidRPr="003B411C">
          <w:t>Bristol</w:t>
        </w:r>
      </w:smartTag>
      <w:r w:rsidRPr="003B411C">
        <w:t xml:space="preserve"> and is 13 miles from </w:t>
      </w:r>
      <w:smartTag w:uri="urn:schemas-microsoft-com:office:smarttags" w:element="place">
        <w:smartTag w:uri="urn:schemas-microsoft-com:office:smarttags" w:element="City">
          <w:r w:rsidRPr="003B411C">
            <w:t>Bath</w:t>
          </w:r>
        </w:smartTag>
      </w:smartTag>
      <w:r w:rsidRPr="003B411C">
        <w:t xml:space="preserve">. There is a frequent bus and train service between </w:t>
      </w:r>
      <w:smartTag w:uri="urn:schemas-microsoft-com:office:smarttags" w:element="City">
        <w:r w:rsidRPr="003B411C">
          <w:t>Bath</w:t>
        </w:r>
      </w:smartTag>
      <w:r w:rsidRPr="003B411C">
        <w:t xml:space="preserve"> and </w:t>
      </w:r>
      <w:smartTag w:uri="urn:schemas-microsoft-com:office:smarttags" w:element="place">
        <w:smartTag w:uri="urn:schemas-microsoft-com:office:smarttags" w:element="City">
          <w:r w:rsidRPr="003B411C">
            <w:t>Bristol</w:t>
          </w:r>
        </w:smartTag>
      </w:smartTag>
      <w:r w:rsidRPr="003B411C">
        <w:t>. Travel time by train is approximately 20 minutes and by bus is approximately one hour. The approximate cost of a return rail ticket is £7</w:t>
      </w:r>
      <w:r>
        <w:t>.00</w:t>
      </w:r>
      <w:r w:rsidRPr="003B411C">
        <w:t xml:space="preserve">. </w:t>
      </w:r>
      <w:r>
        <w:t>The journey time by car is approximately 30 minutes.</w:t>
      </w:r>
    </w:p>
    <w:p w:rsidR="000938F9" w:rsidRDefault="000938F9" w:rsidP="000938F9">
      <w:pPr>
        <w:pStyle w:val="HMCTSnormal"/>
      </w:pPr>
      <w:r>
        <w:t xml:space="preserve">Travel time data for this court pre and post closure is shown below: </w:t>
      </w:r>
    </w:p>
    <w:tbl>
      <w:tblPr>
        <w:tblW w:w="7249" w:type="dxa"/>
        <w:tblInd w:w="108" w:type="dxa"/>
        <w:tblLook w:val="04A0" w:firstRow="1" w:lastRow="0" w:firstColumn="1" w:lastColumn="0" w:noHBand="0" w:noVBand="1"/>
      </w:tblPr>
      <w:tblGrid>
        <w:gridCol w:w="1329"/>
        <w:gridCol w:w="1236"/>
        <w:gridCol w:w="976"/>
        <w:gridCol w:w="1150"/>
        <w:gridCol w:w="1582"/>
        <w:gridCol w:w="976"/>
      </w:tblGrid>
      <w:tr w:rsidR="000938F9" w:rsidRPr="005F3EEE" w:rsidTr="00FE7193">
        <w:trPr>
          <w:trHeight w:val="675"/>
        </w:trPr>
        <w:tc>
          <w:tcPr>
            <w:tcW w:w="1329" w:type="dxa"/>
            <w:tcBorders>
              <w:top w:val="single" w:sz="4" w:space="0" w:color="auto"/>
              <w:left w:val="single" w:sz="4" w:space="0" w:color="auto"/>
              <w:bottom w:val="single" w:sz="4" w:space="0" w:color="auto"/>
              <w:right w:val="single" w:sz="4" w:space="0" w:color="auto"/>
            </w:tcBorders>
            <w:shd w:val="clear" w:color="000000" w:fill="E0E0E0"/>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Before</w:t>
            </w:r>
          </w:p>
        </w:tc>
        <w:tc>
          <w:tcPr>
            <w:tcW w:w="1236" w:type="dxa"/>
            <w:tcBorders>
              <w:top w:val="single" w:sz="4" w:space="0" w:color="auto"/>
              <w:left w:val="nil"/>
              <w:bottom w:val="single" w:sz="4" w:space="0" w:color="auto"/>
              <w:right w:val="single" w:sz="4" w:space="0" w:color="auto"/>
            </w:tcBorders>
            <w:shd w:val="clear" w:color="000000" w:fill="E0E0E0"/>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 Time</w:t>
            </w:r>
          </w:p>
        </w:tc>
        <w:tc>
          <w:tcPr>
            <w:tcW w:w="976" w:type="dxa"/>
            <w:tcBorders>
              <w:top w:val="single" w:sz="4" w:space="0" w:color="auto"/>
              <w:left w:val="nil"/>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w:t>
            </w:r>
          </w:p>
        </w:tc>
        <w:tc>
          <w:tcPr>
            <w:tcW w:w="1136" w:type="dxa"/>
            <w:tcBorders>
              <w:top w:val="single" w:sz="4" w:space="0" w:color="auto"/>
              <w:left w:val="nil"/>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After</w:t>
            </w:r>
          </w:p>
        </w:tc>
        <w:tc>
          <w:tcPr>
            <w:tcW w:w="1596" w:type="dxa"/>
            <w:tcBorders>
              <w:top w:val="single" w:sz="4" w:space="0" w:color="auto"/>
              <w:left w:val="nil"/>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 Time</w:t>
            </w:r>
          </w:p>
        </w:tc>
        <w:tc>
          <w:tcPr>
            <w:tcW w:w="976" w:type="dxa"/>
            <w:tcBorders>
              <w:top w:val="single" w:sz="4" w:space="0" w:color="auto"/>
              <w:left w:val="nil"/>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w:t>
            </w:r>
          </w:p>
        </w:tc>
      </w:tr>
      <w:tr w:rsidR="000938F9" w:rsidRPr="005F3EEE" w:rsidTr="00FE7193">
        <w:trPr>
          <w:trHeight w:val="300"/>
        </w:trPr>
        <w:tc>
          <w:tcPr>
            <w:tcW w:w="1329" w:type="dxa"/>
            <w:vMerge w:val="restart"/>
            <w:tcBorders>
              <w:top w:val="nil"/>
              <w:left w:val="single" w:sz="4" w:space="0" w:color="auto"/>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By Car</w:t>
            </w: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0-30min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74%</w:t>
            </w:r>
          </w:p>
        </w:tc>
        <w:tc>
          <w:tcPr>
            <w:tcW w:w="1136" w:type="dxa"/>
            <w:vMerge w:val="restart"/>
            <w:tcBorders>
              <w:top w:val="nil"/>
              <w:left w:val="single" w:sz="4" w:space="0" w:color="auto"/>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By Car</w:t>
            </w: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0-30min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17%</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30-60min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26%</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30-60min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68%</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60-120min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60 - 120min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15%</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&gt;120min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&gt;120min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no data</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no data</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r>
      <w:tr w:rsidR="000938F9" w:rsidRPr="005F3EEE" w:rsidTr="00FE7193">
        <w:trPr>
          <w:trHeight w:val="300"/>
        </w:trPr>
        <w:tc>
          <w:tcPr>
            <w:tcW w:w="1329" w:type="dxa"/>
            <w:vMerge w:val="restart"/>
            <w:tcBorders>
              <w:top w:val="nil"/>
              <w:left w:val="single" w:sz="4" w:space="0" w:color="auto"/>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By Public Transport</w:t>
            </w: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0-30min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23%</w:t>
            </w:r>
          </w:p>
        </w:tc>
        <w:tc>
          <w:tcPr>
            <w:tcW w:w="1136" w:type="dxa"/>
            <w:vMerge w:val="restart"/>
            <w:tcBorders>
              <w:top w:val="nil"/>
              <w:left w:val="single" w:sz="4" w:space="0" w:color="auto"/>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By Public Transport</w:t>
            </w: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0-30min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30-60min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30%</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30-60min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17%</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60-120min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43%</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60-120min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62%</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&gt;120min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4%</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&gt;120min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20%</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no data</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no data</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1%</w:t>
            </w:r>
          </w:p>
        </w:tc>
      </w:tr>
    </w:tbl>
    <w:p w:rsidR="000938F9" w:rsidRDefault="000938F9" w:rsidP="000938F9">
      <w:pPr>
        <w:pStyle w:val="HMCTSnormal"/>
      </w:pPr>
    </w:p>
    <w:p w:rsidR="000938F9" w:rsidRDefault="000938F9" w:rsidP="000938F9">
      <w:pPr>
        <w:rPr>
          <w:rFonts w:cs="Arial"/>
          <w:b/>
          <w:bCs/>
          <w:szCs w:val="22"/>
        </w:rPr>
      </w:pPr>
      <w:r>
        <w:rPr>
          <w:rFonts w:cs="Arial"/>
          <w:b/>
          <w:bCs/>
          <w:szCs w:val="22"/>
        </w:rPr>
        <w:t>Staff implications</w:t>
      </w:r>
    </w:p>
    <w:p w:rsidR="000938F9" w:rsidRPr="002F6BBF" w:rsidRDefault="000938F9" w:rsidP="000938F9">
      <w:pPr>
        <w:pStyle w:val="HMCTSnormal"/>
      </w:pPr>
      <w:r w:rsidRPr="002F6BBF">
        <w:t xml:space="preserve">There </w:t>
      </w:r>
      <w:proofErr w:type="gramStart"/>
      <w:r w:rsidRPr="002F6BBF">
        <w:t>are</w:t>
      </w:r>
      <w:proofErr w:type="gramEnd"/>
      <w:r w:rsidRPr="002F6BBF">
        <w:t xml:space="preserve"> 17 staff based at Bath Magistrates’ Court.  </w:t>
      </w:r>
    </w:p>
    <w:p w:rsidR="000938F9" w:rsidRDefault="000938F9" w:rsidP="000938F9">
      <w:pPr>
        <w:rPr>
          <w:rFonts w:cs="Arial"/>
          <w:b/>
          <w:bCs/>
          <w:szCs w:val="22"/>
        </w:rPr>
      </w:pPr>
      <w:r>
        <w:rPr>
          <w:rFonts w:cs="Arial"/>
          <w:b/>
          <w:bCs/>
          <w:szCs w:val="22"/>
        </w:rPr>
        <w:t>Other information</w:t>
      </w:r>
    </w:p>
    <w:p w:rsidR="000938F9" w:rsidRDefault="000938F9" w:rsidP="000938F9">
      <w:pPr>
        <w:pStyle w:val="HMCTSnormal"/>
      </w:pPr>
      <w:r>
        <w:t>Bath Law Courts</w:t>
      </w:r>
      <w:r w:rsidRPr="0076057A">
        <w:t xml:space="preserve"> </w:t>
      </w:r>
      <w:r w:rsidRPr="002F6BBF">
        <w:t xml:space="preserve">is </w:t>
      </w:r>
      <w:r>
        <w:t xml:space="preserve">a </w:t>
      </w:r>
      <w:r w:rsidRPr="002F6BBF">
        <w:t xml:space="preserve">freehold </w:t>
      </w:r>
      <w:r>
        <w:t xml:space="preserve">building </w:t>
      </w:r>
      <w:r w:rsidRPr="002F6BBF">
        <w:t xml:space="preserve">and contains both the magistrates’ court and county court. The building forms part of a wider </w:t>
      </w:r>
      <w:r w:rsidRPr="00C64295">
        <w:t xml:space="preserve">Ministry of Justice </w:t>
      </w:r>
      <w:r>
        <w:t>(</w:t>
      </w:r>
      <w:proofErr w:type="spellStart"/>
      <w:r>
        <w:t>MoJ</w:t>
      </w:r>
      <w:proofErr w:type="spellEnd"/>
      <w:r>
        <w:t xml:space="preserve">) </w:t>
      </w:r>
      <w:r w:rsidRPr="002F6BBF">
        <w:t xml:space="preserve">site which </w:t>
      </w:r>
      <w:r>
        <w:t>also</w:t>
      </w:r>
      <w:r w:rsidRPr="002F6BBF">
        <w:t xml:space="preserve"> accommodates </w:t>
      </w:r>
      <w:r>
        <w:t xml:space="preserve">National </w:t>
      </w:r>
      <w:r w:rsidRPr="002F6BBF">
        <w:t xml:space="preserve">Probation Service staff. </w:t>
      </w:r>
      <w:r>
        <w:t>It is h</w:t>
      </w:r>
      <w:r w:rsidRPr="002F6BBF">
        <w:t xml:space="preserve">owever </w:t>
      </w:r>
      <w:proofErr w:type="spellStart"/>
      <w:r w:rsidRPr="002F6BBF">
        <w:t>self contained</w:t>
      </w:r>
      <w:proofErr w:type="spellEnd"/>
      <w:r w:rsidRPr="002F6BBF">
        <w:t xml:space="preserve"> within the wider </w:t>
      </w:r>
      <w:proofErr w:type="spellStart"/>
      <w:r w:rsidRPr="002F6BBF">
        <w:t>MoJ</w:t>
      </w:r>
      <w:proofErr w:type="spellEnd"/>
      <w:r w:rsidRPr="002F6BBF">
        <w:t xml:space="preserve"> site.</w:t>
      </w:r>
    </w:p>
    <w:p w:rsidR="000938F9" w:rsidRDefault="000938F9" w:rsidP="000938F9">
      <w:pPr>
        <w:pStyle w:val="HMCTSnormal"/>
      </w:pPr>
      <w:r w:rsidRPr="002F5495">
        <w:t>The 2014/15 operating costs of the Bath Law Courts (County and Magistrates’) were approximately £</w:t>
      </w:r>
      <w:r>
        <w:t>453,000</w:t>
      </w:r>
      <w:r w:rsidRPr="002F5495">
        <w:t>.</w:t>
      </w:r>
    </w:p>
    <w:p w:rsidR="000938F9" w:rsidRPr="002F6BBF" w:rsidRDefault="000938F9" w:rsidP="000938F9">
      <w:pPr>
        <w:pStyle w:val="HMCTSnormal"/>
        <w:rPr>
          <w:b/>
          <w:bCs/>
        </w:rPr>
      </w:pPr>
      <w:r>
        <w:br w:type="page"/>
      </w:r>
      <w:r w:rsidRPr="002F6BBF">
        <w:rPr>
          <w:b/>
          <w:bCs/>
        </w:rPr>
        <w:lastRenderedPageBreak/>
        <w:t xml:space="preserve">Bath </w:t>
      </w:r>
      <w:r>
        <w:rPr>
          <w:b/>
          <w:bCs/>
        </w:rPr>
        <w:t xml:space="preserve">Magistrates’ and </w:t>
      </w:r>
      <w:r w:rsidRPr="002F6BBF">
        <w:rPr>
          <w:b/>
          <w:bCs/>
        </w:rPr>
        <w:t>County Court</w:t>
      </w:r>
      <w:r>
        <w:rPr>
          <w:b/>
          <w:bCs/>
        </w:rPr>
        <w:t xml:space="preserve"> and Family Court (County and Family)</w:t>
      </w:r>
    </w:p>
    <w:p w:rsidR="000938F9" w:rsidRPr="000D496A" w:rsidRDefault="000938F9" w:rsidP="000938F9">
      <w:pPr>
        <w:pStyle w:val="HMCTSnormal"/>
        <w:rPr>
          <w:b/>
        </w:rPr>
      </w:pPr>
      <w:r w:rsidRPr="000D496A">
        <w:rPr>
          <w:b/>
        </w:rPr>
        <w:t>Proposal</w:t>
      </w:r>
    </w:p>
    <w:p w:rsidR="000938F9" w:rsidRPr="00345909" w:rsidRDefault="000938F9" w:rsidP="000938F9">
      <w:pPr>
        <w:pStyle w:val="HMCTSnormal"/>
      </w:pPr>
      <w:smartTag w:uri="urn:schemas-microsoft-com:office:smarttags" w:element="Street">
        <w:smartTag w:uri="urn:schemas-microsoft-com:office:smarttags" w:element="address">
          <w:r w:rsidRPr="00345909">
            <w:t>Bath County Court</w:t>
          </w:r>
        </w:smartTag>
      </w:smartTag>
      <w:r w:rsidRPr="00345909">
        <w:t xml:space="preserve"> </w:t>
      </w:r>
      <w:r>
        <w:t xml:space="preserve">and Family Court </w:t>
      </w:r>
      <w:r w:rsidRPr="00345909">
        <w:t xml:space="preserve">is located in the same building as Bath Magistrates’ Court </w:t>
      </w:r>
      <w:r>
        <w:t xml:space="preserve">at Bath Law Courts, </w:t>
      </w:r>
      <w:r w:rsidRPr="00345909">
        <w:t xml:space="preserve">and is one of four county courts in </w:t>
      </w:r>
      <w:smartTag w:uri="urn:schemas-microsoft-com:office:smarttags" w:element="City">
        <w:smartTag w:uri="urn:schemas-microsoft-com:office:smarttags" w:element="place">
          <w:r w:rsidRPr="00345909">
            <w:t>Somerset</w:t>
          </w:r>
        </w:smartTag>
      </w:smartTag>
      <w:r w:rsidRPr="00345909">
        <w:t>.</w:t>
      </w:r>
    </w:p>
    <w:p w:rsidR="000938F9" w:rsidRDefault="000938F9" w:rsidP="000938F9">
      <w:pPr>
        <w:pStyle w:val="HMCTSnormal"/>
      </w:pPr>
      <w:r w:rsidRPr="00C64295">
        <w:t xml:space="preserve">The proposal is to close </w:t>
      </w:r>
      <w:r w:rsidRPr="00345909">
        <w:t xml:space="preserve">Bath County Court </w:t>
      </w:r>
      <w:r>
        <w:t xml:space="preserve">and Family Court </w:t>
      </w:r>
      <w:r w:rsidRPr="00C64295">
        <w:t xml:space="preserve">and </w:t>
      </w:r>
      <w:r>
        <w:t>transfer</w:t>
      </w:r>
      <w:r w:rsidRPr="00C64295">
        <w:t xml:space="preserve"> the workload to the Bristol Civil </w:t>
      </w:r>
      <w:r>
        <w:t>and</w:t>
      </w:r>
      <w:r w:rsidRPr="00C64295">
        <w:t xml:space="preserve"> Family Justice Centre (CFJC). </w:t>
      </w:r>
    </w:p>
    <w:p w:rsidR="000938F9" w:rsidRPr="00C64295" w:rsidRDefault="000938F9" w:rsidP="000938F9">
      <w:pPr>
        <w:pStyle w:val="HMCTSnormal"/>
      </w:pPr>
      <w:r w:rsidRPr="00C64295">
        <w:t xml:space="preserve">Bristol CFJC is a modern purpose built court situated in the centre of </w:t>
      </w:r>
      <w:smartTag w:uri="urn:schemas-microsoft-com:office:smarttags" w:element="place">
        <w:smartTag w:uri="urn:schemas-microsoft-com:office:smarttags" w:element="City">
          <w:r w:rsidRPr="00C64295">
            <w:t>Bristol</w:t>
          </w:r>
        </w:smartTag>
      </w:smartTag>
      <w:r w:rsidRPr="00C64295">
        <w:t xml:space="preserve">. The court has excellent facilities for </w:t>
      </w:r>
      <w:r>
        <w:t>court users,</w:t>
      </w:r>
      <w:r w:rsidRPr="00C64295">
        <w:t xml:space="preserve"> staff and judiciary. The move to a significantly larger, newer centre would enable more flexibility in the listing of cases</w:t>
      </w:r>
      <w:r>
        <w:t>,</w:t>
      </w:r>
      <w:r w:rsidRPr="00C64295">
        <w:t xml:space="preserve"> </w:t>
      </w:r>
      <w:r>
        <w:t>offer an improved service to court users and allow</w:t>
      </w:r>
      <w:r w:rsidRPr="00C64295">
        <w:t xml:space="preserve"> more efficient use of staff and judicial time.    </w:t>
      </w:r>
    </w:p>
    <w:p w:rsidR="000938F9" w:rsidRPr="00C64295" w:rsidRDefault="000938F9" w:rsidP="000938F9">
      <w:pPr>
        <w:pStyle w:val="HMCTSnormal"/>
      </w:pPr>
      <w:r>
        <w:t>N</w:t>
      </w:r>
      <w:r w:rsidRPr="00C64295">
        <w:t xml:space="preserve">o enabling </w:t>
      </w:r>
      <w:r w:rsidRPr="00DA463A">
        <w:t xml:space="preserve">works would be required at Bristol CFJC to accommodate the workload from </w:t>
      </w:r>
      <w:r w:rsidRPr="00345909">
        <w:t xml:space="preserve">Bath County Court </w:t>
      </w:r>
      <w:r>
        <w:t>and Family Court</w:t>
      </w:r>
      <w:r w:rsidRPr="00C64295">
        <w:t>.</w:t>
      </w:r>
    </w:p>
    <w:p w:rsidR="000938F9" w:rsidRPr="002F6BBF" w:rsidRDefault="000938F9" w:rsidP="000938F9">
      <w:pPr>
        <w:pStyle w:val="HMCTSnormal"/>
        <w:rPr>
          <w:b/>
          <w:bCs/>
        </w:rPr>
      </w:pPr>
      <w:r w:rsidRPr="002F6BBF">
        <w:rPr>
          <w:b/>
          <w:bCs/>
        </w:rPr>
        <w:t xml:space="preserve">Accommodation </w:t>
      </w:r>
    </w:p>
    <w:p w:rsidR="000938F9" w:rsidRDefault="000938F9" w:rsidP="000938F9">
      <w:pPr>
        <w:pStyle w:val="HMCTSnormal"/>
      </w:pPr>
      <w:smartTag w:uri="urn:schemas-microsoft-com:office:smarttags" w:element="Street">
        <w:smartTag w:uri="urn:schemas-microsoft-com:office:smarttags" w:element="address">
          <w:r w:rsidRPr="00345909">
            <w:t>Bath County Court</w:t>
          </w:r>
        </w:smartTag>
      </w:smartTag>
      <w:r w:rsidRPr="00345909">
        <w:t xml:space="preserve"> </w:t>
      </w:r>
      <w:r>
        <w:t xml:space="preserve">and Family Court was built in 1989 and is in a good state of repair. </w:t>
      </w:r>
      <w:r w:rsidRPr="007D0BFE">
        <w:t xml:space="preserve">The </w:t>
      </w:r>
      <w:r>
        <w:t>building</w:t>
      </w:r>
      <w:r w:rsidRPr="007D0BFE">
        <w:t xml:space="preserve"> has a total of </w:t>
      </w:r>
      <w:r>
        <w:t>five</w:t>
      </w:r>
      <w:r w:rsidRPr="007D0BFE">
        <w:t xml:space="preserve"> </w:t>
      </w:r>
      <w:r>
        <w:t>c</w:t>
      </w:r>
      <w:r w:rsidRPr="007D0BFE">
        <w:t xml:space="preserve">ourtrooms </w:t>
      </w:r>
      <w:r>
        <w:t>of which four</w:t>
      </w:r>
      <w:r w:rsidRPr="007D0BFE">
        <w:t xml:space="preserve"> are magistrates’ court</w:t>
      </w:r>
      <w:r>
        <w:t xml:space="preserve">rooms and one is the civil courtroom. </w:t>
      </w:r>
    </w:p>
    <w:p w:rsidR="000938F9" w:rsidRDefault="000938F9" w:rsidP="000938F9">
      <w:pPr>
        <w:pStyle w:val="HMCTSnormal"/>
      </w:pPr>
      <w:r w:rsidRPr="00370263">
        <w:t xml:space="preserve">The civil courtroom does not have a fitted hearing loop system and </w:t>
      </w:r>
      <w:r>
        <w:t>currently uses</w:t>
      </w:r>
      <w:r w:rsidRPr="00370263">
        <w:t xml:space="preserve"> antiquated portable loop equipment. </w:t>
      </w:r>
      <w:r w:rsidRPr="006506EB">
        <w:t>This can sometimes be incompatible with the more modern hearing aids worn by court users.</w:t>
      </w:r>
    </w:p>
    <w:p w:rsidR="000938F9" w:rsidRDefault="000938F9" w:rsidP="000938F9">
      <w:pPr>
        <w:pStyle w:val="HMCTSnormal"/>
      </w:pPr>
      <w:r w:rsidRPr="00C64295">
        <w:t xml:space="preserve">Bristol CFJC is a modern purpose built court centre situated in the centre of </w:t>
      </w:r>
      <w:smartTag w:uri="urn:schemas-microsoft-com:office:smarttags" w:element="place">
        <w:smartTag w:uri="urn:schemas-microsoft-com:office:smarttags" w:element="City">
          <w:r w:rsidRPr="00C64295">
            <w:t>Bristol</w:t>
          </w:r>
        </w:smartTag>
      </w:smartTag>
      <w:r w:rsidRPr="00C64295">
        <w:t xml:space="preserve">. The court has excellent facilities for </w:t>
      </w:r>
      <w:r>
        <w:t>court users,</w:t>
      </w:r>
      <w:r w:rsidRPr="00C64295">
        <w:t xml:space="preserve"> staff and judiciary</w:t>
      </w:r>
      <w:r>
        <w:t>.</w:t>
      </w:r>
    </w:p>
    <w:p w:rsidR="000938F9" w:rsidRPr="002F6BBF" w:rsidRDefault="000938F9" w:rsidP="000938F9">
      <w:pPr>
        <w:pStyle w:val="HMCTSnormal"/>
        <w:rPr>
          <w:b/>
          <w:bCs/>
        </w:rPr>
      </w:pPr>
      <w:r w:rsidRPr="002F6BBF">
        <w:rPr>
          <w:b/>
          <w:bCs/>
        </w:rPr>
        <w:t>Workload</w:t>
      </w:r>
    </w:p>
    <w:p w:rsidR="000938F9" w:rsidRPr="002F6BBF" w:rsidRDefault="000938F9" w:rsidP="000938F9">
      <w:pPr>
        <w:pStyle w:val="HMCTSnormal"/>
      </w:pPr>
      <w:smartTag w:uri="urn:schemas-microsoft-com:office:smarttags" w:element="Street">
        <w:smartTag w:uri="urn:schemas-microsoft-com:office:smarttags" w:element="address">
          <w:r w:rsidRPr="00345909">
            <w:t>Bath County Court</w:t>
          </w:r>
        </w:smartTag>
      </w:smartTag>
      <w:r w:rsidRPr="00345909">
        <w:t xml:space="preserve"> </w:t>
      </w:r>
      <w:r>
        <w:t xml:space="preserve">and Family Court </w:t>
      </w:r>
      <w:r w:rsidRPr="002F6BBF">
        <w:t>has one civil courtroom and is capable of sitting up to 248 days per year. In the financial year 201</w:t>
      </w:r>
      <w:r>
        <w:t>4</w:t>
      </w:r>
      <w:r w:rsidRPr="002F6BBF">
        <w:t>/1</w:t>
      </w:r>
      <w:r>
        <w:t>5</w:t>
      </w:r>
      <w:r w:rsidRPr="002F6BBF">
        <w:t xml:space="preserve"> Bath Law Courts (County and Magistrates</w:t>
      </w:r>
      <w:r>
        <w:t>’</w:t>
      </w:r>
      <w:r w:rsidRPr="002F6BBF">
        <w:t>) was utilised for approximatel</w:t>
      </w:r>
      <w:r>
        <w:t>y 46%</w:t>
      </w:r>
      <w:r w:rsidRPr="002F6BBF">
        <w:t xml:space="preserve"> of its capacity.</w:t>
      </w:r>
    </w:p>
    <w:p w:rsidR="000938F9" w:rsidRPr="002F6BBF" w:rsidRDefault="000938F9" w:rsidP="000938F9">
      <w:pPr>
        <w:pStyle w:val="HMCTSnormal"/>
      </w:pPr>
      <w:proofErr w:type="gramStart"/>
      <w:smartTag w:uri="urn:schemas-microsoft-com:office:smarttags" w:element="Street">
        <w:smartTag w:uri="urn:schemas-microsoft-com:office:smarttags" w:element="address">
          <w:r w:rsidRPr="00345909">
            <w:t>Bath County Court</w:t>
          </w:r>
        </w:smartTag>
      </w:smartTag>
      <w:r w:rsidRPr="00345909">
        <w:t xml:space="preserve"> </w:t>
      </w:r>
      <w:r>
        <w:t xml:space="preserve">and Family Court </w:t>
      </w:r>
      <w:r w:rsidRPr="002F6BBF">
        <w:t xml:space="preserve">deals with civil money claims, housing possession cases, bankruptcy, District Registry, </w:t>
      </w:r>
      <w:r>
        <w:t xml:space="preserve">and </w:t>
      </w:r>
      <w:r w:rsidRPr="002F6BBF">
        <w:t>contested hearings in divorce cases and family work.</w:t>
      </w:r>
      <w:proofErr w:type="gramEnd"/>
    </w:p>
    <w:p w:rsidR="000938F9" w:rsidRPr="002F6BBF" w:rsidRDefault="000938F9" w:rsidP="000938F9">
      <w:pPr>
        <w:pStyle w:val="HMCTSnormal"/>
        <w:rPr>
          <w:b/>
          <w:bCs/>
        </w:rPr>
      </w:pPr>
      <w:r w:rsidRPr="002F6BBF">
        <w:rPr>
          <w:b/>
          <w:bCs/>
        </w:rPr>
        <w:t>Location</w:t>
      </w:r>
    </w:p>
    <w:p w:rsidR="000938F9" w:rsidRDefault="000938F9" w:rsidP="000938F9">
      <w:pPr>
        <w:pStyle w:val="HMCTSnormal"/>
      </w:pPr>
      <w:r w:rsidRPr="00370263">
        <w:t xml:space="preserve">The proposal is for all work that is currently dealt with at </w:t>
      </w:r>
      <w:r w:rsidRPr="00345909">
        <w:t xml:space="preserve">Bath County Court </w:t>
      </w:r>
      <w:r>
        <w:t>and Family Court to be</w:t>
      </w:r>
      <w:r w:rsidRPr="00370263">
        <w:t xml:space="preserve"> moved to the Bristol C</w:t>
      </w:r>
      <w:r>
        <w:t>F</w:t>
      </w:r>
      <w:r w:rsidRPr="00370263">
        <w:t xml:space="preserve">JC which is located in the centre of </w:t>
      </w:r>
      <w:smartTag w:uri="urn:schemas-microsoft-com:office:smarttags" w:element="City">
        <w:r w:rsidRPr="00370263">
          <w:t>Bristol</w:t>
        </w:r>
      </w:smartTag>
      <w:r w:rsidRPr="00370263">
        <w:t xml:space="preserve"> and is 13</w:t>
      </w:r>
      <w:r>
        <w:t xml:space="preserve"> miles from </w:t>
      </w:r>
      <w:smartTag w:uri="urn:schemas-microsoft-com:office:smarttags" w:element="City">
        <w:smartTag w:uri="urn:schemas-microsoft-com:office:smarttags" w:element="place">
          <w:r>
            <w:t>Bath</w:t>
          </w:r>
        </w:smartTag>
      </w:smartTag>
      <w:r>
        <w:t xml:space="preserve">. There is a frequent bus and train service between </w:t>
      </w:r>
      <w:smartTag w:uri="urn:schemas-microsoft-com:office:smarttags" w:element="City">
        <w:r>
          <w:t>Bath</w:t>
        </w:r>
      </w:smartTag>
      <w:r>
        <w:t xml:space="preserve"> and </w:t>
      </w:r>
      <w:smartTag w:uri="urn:schemas-microsoft-com:office:smarttags" w:element="place">
        <w:smartTag w:uri="urn:schemas-microsoft-com:office:smarttags" w:element="City">
          <w:r>
            <w:t>Bristol</w:t>
          </w:r>
        </w:smartTag>
      </w:smartTag>
      <w:r>
        <w:t>. Travel time by t</w:t>
      </w:r>
      <w:r w:rsidRPr="007C6FD7">
        <w:t>rain is approximately</w:t>
      </w:r>
      <w:r>
        <w:t xml:space="preserve"> 20 minutes a</w:t>
      </w:r>
      <w:r w:rsidRPr="007C6FD7">
        <w:t>nd by bus</w:t>
      </w:r>
      <w:r>
        <w:t xml:space="preserve"> is approximately one hour. </w:t>
      </w:r>
      <w:r w:rsidRPr="007C6FD7">
        <w:t xml:space="preserve">The approximate cost of a return </w:t>
      </w:r>
      <w:r>
        <w:t xml:space="preserve">rail </w:t>
      </w:r>
      <w:r w:rsidRPr="007C6FD7">
        <w:t xml:space="preserve">ticket is </w:t>
      </w:r>
      <w:r>
        <w:t>£7.00. The journey time by car is approximately 30 minutes.</w:t>
      </w:r>
    </w:p>
    <w:p w:rsidR="000938F9" w:rsidRDefault="000938F9" w:rsidP="000938F9">
      <w:pPr>
        <w:pStyle w:val="HMCTSnormal"/>
      </w:pPr>
    </w:p>
    <w:p w:rsidR="000938F9" w:rsidRDefault="000938F9" w:rsidP="000938F9">
      <w:pPr>
        <w:pStyle w:val="HMCTSnormal"/>
      </w:pPr>
    </w:p>
    <w:p w:rsidR="000938F9" w:rsidRDefault="000938F9" w:rsidP="000938F9">
      <w:pPr>
        <w:pStyle w:val="HMCTSnormal"/>
      </w:pPr>
    </w:p>
    <w:p w:rsidR="000938F9" w:rsidRDefault="000938F9" w:rsidP="000938F9">
      <w:pPr>
        <w:pStyle w:val="HMCTSnormal"/>
      </w:pPr>
      <w:r>
        <w:lastRenderedPageBreak/>
        <w:t>Travel time data for this court pre and post closure is shown below:</w:t>
      </w:r>
    </w:p>
    <w:tbl>
      <w:tblPr>
        <w:tblW w:w="7249" w:type="dxa"/>
        <w:tblInd w:w="108" w:type="dxa"/>
        <w:tblLook w:val="04A0" w:firstRow="1" w:lastRow="0" w:firstColumn="1" w:lastColumn="0" w:noHBand="0" w:noVBand="1"/>
      </w:tblPr>
      <w:tblGrid>
        <w:gridCol w:w="1329"/>
        <w:gridCol w:w="1236"/>
        <w:gridCol w:w="976"/>
        <w:gridCol w:w="1150"/>
        <w:gridCol w:w="1582"/>
        <w:gridCol w:w="976"/>
      </w:tblGrid>
      <w:tr w:rsidR="000938F9" w:rsidRPr="005F3EEE" w:rsidTr="00FE7193">
        <w:trPr>
          <w:trHeight w:val="675"/>
        </w:trPr>
        <w:tc>
          <w:tcPr>
            <w:tcW w:w="1329" w:type="dxa"/>
            <w:tcBorders>
              <w:top w:val="single" w:sz="4" w:space="0" w:color="auto"/>
              <w:left w:val="single" w:sz="4" w:space="0" w:color="auto"/>
              <w:bottom w:val="single" w:sz="4" w:space="0" w:color="auto"/>
              <w:right w:val="single" w:sz="4" w:space="0" w:color="auto"/>
            </w:tcBorders>
            <w:shd w:val="clear" w:color="000000" w:fill="E0E0E0"/>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Before</w:t>
            </w:r>
          </w:p>
        </w:tc>
        <w:tc>
          <w:tcPr>
            <w:tcW w:w="1236" w:type="dxa"/>
            <w:tcBorders>
              <w:top w:val="single" w:sz="4" w:space="0" w:color="auto"/>
              <w:left w:val="nil"/>
              <w:bottom w:val="single" w:sz="4" w:space="0" w:color="auto"/>
              <w:right w:val="single" w:sz="4" w:space="0" w:color="auto"/>
            </w:tcBorders>
            <w:shd w:val="clear" w:color="000000" w:fill="E0E0E0"/>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 Time</w:t>
            </w:r>
          </w:p>
        </w:tc>
        <w:tc>
          <w:tcPr>
            <w:tcW w:w="976" w:type="dxa"/>
            <w:tcBorders>
              <w:top w:val="single" w:sz="4" w:space="0" w:color="auto"/>
              <w:left w:val="nil"/>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w:t>
            </w:r>
          </w:p>
        </w:tc>
        <w:tc>
          <w:tcPr>
            <w:tcW w:w="1136" w:type="dxa"/>
            <w:tcBorders>
              <w:top w:val="single" w:sz="4" w:space="0" w:color="auto"/>
              <w:left w:val="nil"/>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After</w:t>
            </w:r>
          </w:p>
        </w:tc>
        <w:tc>
          <w:tcPr>
            <w:tcW w:w="1596" w:type="dxa"/>
            <w:tcBorders>
              <w:top w:val="single" w:sz="4" w:space="0" w:color="auto"/>
              <w:left w:val="nil"/>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 Time</w:t>
            </w:r>
          </w:p>
        </w:tc>
        <w:tc>
          <w:tcPr>
            <w:tcW w:w="976" w:type="dxa"/>
            <w:tcBorders>
              <w:top w:val="single" w:sz="4" w:space="0" w:color="auto"/>
              <w:left w:val="nil"/>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w:t>
            </w:r>
          </w:p>
        </w:tc>
      </w:tr>
      <w:tr w:rsidR="000938F9" w:rsidRPr="005F3EEE" w:rsidTr="00FE7193">
        <w:trPr>
          <w:trHeight w:val="300"/>
        </w:trPr>
        <w:tc>
          <w:tcPr>
            <w:tcW w:w="1329" w:type="dxa"/>
            <w:vMerge w:val="restart"/>
            <w:tcBorders>
              <w:top w:val="nil"/>
              <w:left w:val="single" w:sz="4" w:space="0" w:color="auto"/>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By Car</w:t>
            </w: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0-30min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74%</w:t>
            </w:r>
          </w:p>
        </w:tc>
        <w:tc>
          <w:tcPr>
            <w:tcW w:w="1136" w:type="dxa"/>
            <w:vMerge w:val="restart"/>
            <w:tcBorders>
              <w:top w:val="nil"/>
              <w:left w:val="single" w:sz="4" w:space="0" w:color="auto"/>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By Car</w:t>
            </w: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0-30min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17%</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30-60min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26%</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30-60min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68%</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60-120min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60 - 120min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15%</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&gt;120min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&gt;120min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no data</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no data</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r>
      <w:tr w:rsidR="000938F9" w:rsidRPr="005F3EEE" w:rsidTr="00FE7193">
        <w:trPr>
          <w:trHeight w:val="300"/>
        </w:trPr>
        <w:tc>
          <w:tcPr>
            <w:tcW w:w="1329" w:type="dxa"/>
            <w:vMerge w:val="restart"/>
            <w:tcBorders>
              <w:top w:val="nil"/>
              <w:left w:val="single" w:sz="4" w:space="0" w:color="auto"/>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By Public Transport</w:t>
            </w: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0-30min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23%</w:t>
            </w:r>
          </w:p>
        </w:tc>
        <w:tc>
          <w:tcPr>
            <w:tcW w:w="1136" w:type="dxa"/>
            <w:vMerge w:val="restart"/>
            <w:tcBorders>
              <w:top w:val="nil"/>
              <w:left w:val="single" w:sz="4" w:space="0" w:color="auto"/>
              <w:bottom w:val="single" w:sz="4" w:space="0" w:color="auto"/>
              <w:right w:val="single" w:sz="4" w:space="0" w:color="auto"/>
            </w:tcBorders>
            <w:shd w:val="clear" w:color="000000" w:fill="E0E0E0"/>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By Public Transport</w:t>
            </w: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0-30min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30-60min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30%</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30-60min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17%</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60-120min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43%</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60-120min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62%</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&gt;120min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4%</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&gt;120min</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20%</w:t>
            </w:r>
          </w:p>
        </w:tc>
      </w:tr>
      <w:tr w:rsidR="000938F9" w:rsidRPr="005F3EEE" w:rsidTr="00FE7193">
        <w:trPr>
          <w:trHeight w:val="300"/>
        </w:trPr>
        <w:tc>
          <w:tcPr>
            <w:tcW w:w="1329"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23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no data</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0%</w:t>
            </w:r>
          </w:p>
        </w:tc>
        <w:tc>
          <w:tcPr>
            <w:tcW w:w="1136" w:type="dxa"/>
            <w:vMerge/>
            <w:tcBorders>
              <w:top w:val="nil"/>
              <w:left w:val="single" w:sz="4" w:space="0" w:color="auto"/>
              <w:bottom w:val="single" w:sz="4" w:space="0" w:color="auto"/>
              <w:right w:val="single" w:sz="4" w:space="0" w:color="auto"/>
            </w:tcBorders>
            <w:vAlign w:val="center"/>
          </w:tcPr>
          <w:p w:rsidR="000938F9" w:rsidRPr="005F3EEE" w:rsidRDefault="000938F9" w:rsidP="00FE7193">
            <w:pPr>
              <w:spacing w:after="0"/>
              <w:rPr>
                <w:rFonts w:cs="Arial"/>
                <w:b/>
                <w:bCs/>
                <w:color w:val="000000"/>
                <w:sz w:val="20"/>
              </w:rPr>
            </w:pPr>
          </w:p>
        </w:tc>
        <w:tc>
          <w:tcPr>
            <w:tcW w:w="1596" w:type="dxa"/>
            <w:tcBorders>
              <w:top w:val="nil"/>
              <w:left w:val="nil"/>
              <w:bottom w:val="single" w:sz="4" w:space="0" w:color="auto"/>
              <w:right w:val="single" w:sz="4" w:space="0" w:color="auto"/>
            </w:tcBorders>
            <w:shd w:val="clear" w:color="auto" w:fill="auto"/>
            <w:vAlign w:val="center"/>
          </w:tcPr>
          <w:p w:rsidR="000938F9" w:rsidRPr="005F3EEE" w:rsidRDefault="000938F9" w:rsidP="00FE7193">
            <w:pPr>
              <w:spacing w:after="0"/>
              <w:jc w:val="center"/>
              <w:rPr>
                <w:rFonts w:cs="Arial"/>
                <w:b/>
                <w:bCs/>
                <w:color w:val="000000"/>
                <w:sz w:val="20"/>
              </w:rPr>
            </w:pPr>
            <w:r w:rsidRPr="005F3EEE">
              <w:rPr>
                <w:rFonts w:cs="Arial"/>
                <w:b/>
                <w:bCs/>
                <w:color w:val="000000"/>
                <w:sz w:val="20"/>
              </w:rPr>
              <w:t>no data</w:t>
            </w:r>
          </w:p>
        </w:tc>
        <w:tc>
          <w:tcPr>
            <w:tcW w:w="976" w:type="dxa"/>
            <w:tcBorders>
              <w:top w:val="nil"/>
              <w:left w:val="nil"/>
              <w:bottom w:val="single" w:sz="4" w:space="0" w:color="auto"/>
              <w:right w:val="single" w:sz="4" w:space="0" w:color="auto"/>
            </w:tcBorders>
            <w:shd w:val="clear" w:color="auto" w:fill="auto"/>
            <w:noWrap/>
            <w:vAlign w:val="center"/>
          </w:tcPr>
          <w:p w:rsidR="000938F9" w:rsidRPr="005F3EEE" w:rsidRDefault="000938F9" w:rsidP="00FE7193">
            <w:pPr>
              <w:spacing w:after="0"/>
              <w:jc w:val="center"/>
              <w:rPr>
                <w:rFonts w:ascii="Calibri" w:hAnsi="Calibri"/>
                <w:color w:val="000000"/>
                <w:szCs w:val="22"/>
              </w:rPr>
            </w:pPr>
            <w:r w:rsidRPr="005F3EEE">
              <w:rPr>
                <w:rFonts w:ascii="Calibri" w:hAnsi="Calibri"/>
                <w:color w:val="000000"/>
                <w:szCs w:val="22"/>
              </w:rPr>
              <w:t>1%</w:t>
            </w:r>
          </w:p>
        </w:tc>
      </w:tr>
    </w:tbl>
    <w:p w:rsidR="000938F9" w:rsidRDefault="000938F9" w:rsidP="000938F9">
      <w:pPr>
        <w:pStyle w:val="HMCTSnormal"/>
      </w:pPr>
    </w:p>
    <w:p w:rsidR="000938F9" w:rsidRPr="002F6BBF" w:rsidRDefault="000938F9" w:rsidP="000938F9">
      <w:pPr>
        <w:pStyle w:val="HMCTSnormal"/>
        <w:rPr>
          <w:b/>
          <w:bCs/>
        </w:rPr>
      </w:pPr>
      <w:r w:rsidRPr="002F6BBF">
        <w:rPr>
          <w:b/>
          <w:bCs/>
        </w:rPr>
        <w:t>Staff implications</w:t>
      </w:r>
    </w:p>
    <w:p w:rsidR="000938F9" w:rsidRDefault="000938F9" w:rsidP="000938F9">
      <w:pPr>
        <w:pStyle w:val="HMCTSnormal"/>
      </w:pPr>
      <w:r w:rsidRPr="002F6BBF">
        <w:t xml:space="preserve">There </w:t>
      </w:r>
      <w:proofErr w:type="gramStart"/>
      <w:r w:rsidRPr="002F6BBF">
        <w:t>are</w:t>
      </w:r>
      <w:proofErr w:type="gramEnd"/>
      <w:r w:rsidRPr="002F6BBF">
        <w:t xml:space="preserve"> eight staff based at </w:t>
      </w:r>
      <w:r w:rsidRPr="00345909">
        <w:t xml:space="preserve">Bath County Court </w:t>
      </w:r>
      <w:r>
        <w:t>and Family Court</w:t>
      </w:r>
      <w:r w:rsidRPr="00370263">
        <w:t xml:space="preserve">. </w:t>
      </w:r>
    </w:p>
    <w:p w:rsidR="000938F9" w:rsidRDefault="000938F9" w:rsidP="000938F9">
      <w:pPr>
        <w:jc w:val="both"/>
        <w:rPr>
          <w:rFonts w:cs="Arial"/>
          <w:b/>
          <w:bCs/>
          <w:szCs w:val="22"/>
        </w:rPr>
      </w:pPr>
      <w:r>
        <w:rPr>
          <w:rFonts w:cs="Arial"/>
          <w:b/>
          <w:bCs/>
          <w:szCs w:val="22"/>
        </w:rPr>
        <w:t>Other information</w:t>
      </w:r>
    </w:p>
    <w:p w:rsidR="000938F9" w:rsidRDefault="000938F9" w:rsidP="000938F9">
      <w:pPr>
        <w:pStyle w:val="HMCTSnormal"/>
      </w:pPr>
      <w:r w:rsidRPr="00370263">
        <w:t xml:space="preserve">The </w:t>
      </w:r>
      <w:r>
        <w:t xml:space="preserve">Bath Law Courts </w:t>
      </w:r>
      <w:r w:rsidRPr="00370263">
        <w:t xml:space="preserve">building is freehold and contains both the </w:t>
      </w:r>
      <w:r>
        <w:t>magistrates’ c</w:t>
      </w:r>
      <w:r w:rsidRPr="00370263">
        <w:t xml:space="preserve">ourt and </w:t>
      </w:r>
      <w:r>
        <w:t>c</w:t>
      </w:r>
      <w:r w:rsidRPr="00370263">
        <w:t xml:space="preserve">ounty </w:t>
      </w:r>
      <w:r>
        <w:t>c</w:t>
      </w:r>
      <w:r w:rsidRPr="00370263">
        <w:t xml:space="preserve">ourt. The building forms part of a wider </w:t>
      </w:r>
      <w:r w:rsidRPr="00DA463A">
        <w:t>Ministry of Justice</w:t>
      </w:r>
      <w:r>
        <w:t xml:space="preserve"> (</w:t>
      </w:r>
      <w:proofErr w:type="spellStart"/>
      <w:r>
        <w:t>MoJ</w:t>
      </w:r>
      <w:proofErr w:type="spellEnd"/>
      <w:r>
        <w:t xml:space="preserve">) </w:t>
      </w:r>
      <w:r w:rsidRPr="00370263">
        <w:t xml:space="preserve">site which </w:t>
      </w:r>
      <w:r>
        <w:t xml:space="preserve">also </w:t>
      </w:r>
      <w:r w:rsidRPr="00370263">
        <w:t xml:space="preserve">accommodates </w:t>
      </w:r>
      <w:r>
        <w:t>National Probation Service</w:t>
      </w:r>
      <w:r w:rsidRPr="00370263">
        <w:t xml:space="preserve"> staff. </w:t>
      </w:r>
      <w:r>
        <w:t xml:space="preserve">It is, however, </w:t>
      </w:r>
      <w:proofErr w:type="spellStart"/>
      <w:r>
        <w:t xml:space="preserve">self </w:t>
      </w:r>
      <w:r w:rsidRPr="00370263">
        <w:t>contained</w:t>
      </w:r>
      <w:proofErr w:type="spellEnd"/>
      <w:r w:rsidRPr="00370263">
        <w:t xml:space="preserve"> within the wider </w:t>
      </w:r>
      <w:proofErr w:type="spellStart"/>
      <w:r w:rsidRPr="00370263">
        <w:t>M</w:t>
      </w:r>
      <w:r>
        <w:t>o</w:t>
      </w:r>
      <w:r w:rsidRPr="00370263">
        <w:t>J</w:t>
      </w:r>
      <w:proofErr w:type="spellEnd"/>
      <w:r w:rsidRPr="00370263">
        <w:t xml:space="preserve"> site</w:t>
      </w:r>
      <w:r>
        <w:t xml:space="preserve">. </w:t>
      </w:r>
      <w:r w:rsidRPr="00370263">
        <w:t xml:space="preserve"> </w:t>
      </w:r>
    </w:p>
    <w:p w:rsidR="000938F9" w:rsidRDefault="000938F9" w:rsidP="000938F9">
      <w:pPr>
        <w:pStyle w:val="HMCTSnormal"/>
      </w:pPr>
      <w:r w:rsidRPr="002F5495">
        <w:t>The 2014/15 operating costs of the Bath Law Courts (County and Magistrates’) were approximately £</w:t>
      </w:r>
      <w:r>
        <w:t>453,000</w:t>
      </w:r>
      <w:r w:rsidRPr="002F5495">
        <w:t>.</w:t>
      </w:r>
    </w:p>
    <w:p w:rsidR="004B1F79" w:rsidRDefault="000938F9" w:rsidP="000938F9">
      <w:r>
        <w:br w:type="page"/>
      </w:r>
      <w:bookmarkStart w:id="0" w:name="_GoBack"/>
      <w:bookmarkEnd w:id="0"/>
    </w:p>
    <w:sectPr w:rsidR="004B1F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F9"/>
    <w:rsid w:val="000938F9"/>
    <w:rsid w:val="004B1F79"/>
    <w:rsid w:val="00B71BD2"/>
    <w:rsid w:val="00F93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F9"/>
    <w:pPr>
      <w:spacing w:after="24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CTSnormal">
    <w:name w:val="HMCTS normal"/>
    <w:rsid w:val="000938F9"/>
    <w:pPr>
      <w:spacing w:after="240"/>
    </w:pPr>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F9"/>
    <w:pPr>
      <w:spacing w:after="24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CTSnormal">
    <w:name w:val="HMCTS normal"/>
    <w:rsid w:val="000938F9"/>
    <w:pPr>
      <w:spacing w:after="240"/>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83D1927F</Template>
  <TotalTime>1</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vercoed</dc:creator>
  <cp:lastModifiedBy>vercoed</cp:lastModifiedBy>
  <cp:revision>1</cp:revision>
  <dcterms:created xsi:type="dcterms:W3CDTF">2015-08-03T11:41:00Z</dcterms:created>
  <dcterms:modified xsi:type="dcterms:W3CDTF">2015-08-03T11:42:00Z</dcterms:modified>
</cp:coreProperties>
</file>