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70A" w:rsidRPr="00E1206A" w:rsidRDefault="00321B6C" w:rsidP="00E1206A">
      <w:pPr>
        <w:jc w:val="center"/>
        <w:rPr>
          <w:b/>
        </w:rPr>
      </w:pPr>
      <w:bookmarkStart w:id="0" w:name="_GoBack"/>
      <w:bookmarkEnd w:id="0"/>
      <w:r w:rsidRPr="00E1206A">
        <w:rPr>
          <w:b/>
        </w:rPr>
        <w:t>Bath and North East Somerset Council</w:t>
      </w:r>
    </w:p>
    <w:p w:rsidR="00321B6C" w:rsidRPr="00E1206A" w:rsidRDefault="00321B6C" w:rsidP="00E1206A">
      <w:pPr>
        <w:jc w:val="center"/>
        <w:rPr>
          <w:b/>
        </w:rPr>
      </w:pPr>
      <w:r w:rsidRPr="00E1206A">
        <w:rPr>
          <w:b/>
        </w:rPr>
        <w:t>Application to Construct a Vehicle Crossing over the Highway, Footway or Verge in Accordance with</w:t>
      </w:r>
      <w:r w:rsidR="00F90997" w:rsidRPr="00E1206A">
        <w:rPr>
          <w:b/>
        </w:rPr>
        <w:t xml:space="preserve"> </w:t>
      </w:r>
      <w:r w:rsidRPr="00E1206A">
        <w:rPr>
          <w:b/>
        </w:rPr>
        <w:t>Highways Act 1980 Section 184 New Roads and Street Works Act 1991(NRSWA, Traffic Management Act 2004 (TMA)</w:t>
      </w:r>
    </w:p>
    <w:p w:rsidR="00D076E8" w:rsidRDefault="004E6A87">
      <w:r>
        <w:t>Bath and North East Somerset Council is responsible for maintain</w:t>
      </w:r>
      <w:r w:rsidR="00D076E8">
        <w:t>ing public highway footpaths.</w:t>
      </w:r>
    </w:p>
    <w:p w:rsidR="00C74468" w:rsidRDefault="00C74468">
      <w:r>
        <w:t>A vehicle crossing (ofte</w:t>
      </w:r>
      <w:r w:rsidR="00810FC7">
        <w:t>n referred to as a dropped kerb or footway crossing)</w:t>
      </w:r>
      <w:r>
        <w:t xml:space="preserve"> is a specially constructed section of pavement or verge to enable vehicular access to a property</w:t>
      </w:r>
      <w:r w:rsidR="00810FC7">
        <w:t>.</w:t>
      </w:r>
    </w:p>
    <w:p w:rsidR="00810FC7" w:rsidRDefault="00810FC7">
      <w:r>
        <w:t>If you require a dropped kerb for non-vehicular access (</w:t>
      </w:r>
      <w:proofErr w:type="spellStart"/>
      <w:r>
        <w:t>eg</w:t>
      </w:r>
      <w:proofErr w:type="spellEnd"/>
      <w:r>
        <w:t xml:space="preserve"> for a mobility scooter or wheelchair) you will not need to go through this process.</w:t>
      </w:r>
      <w:r w:rsidR="000E32CD">
        <w:t xml:space="preserve"> Please contact</w:t>
      </w:r>
      <w:r>
        <w:t xml:space="preserve"> </w:t>
      </w:r>
      <w:r w:rsidR="000E32CD">
        <w:t>council connect@bathnes.gov.uk</w:t>
      </w:r>
    </w:p>
    <w:p w:rsidR="00321B6C" w:rsidRPr="00E1206A" w:rsidRDefault="00321B6C" w:rsidP="00E1206A">
      <w:pPr>
        <w:jc w:val="center"/>
        <w:rPr>
          <w:b/>
        </w:rPr>
      </w:pPr>
      <w:r w:rsidRPr="00E1206A">
        <w:rPr>
          <w:b/>
        </w:rPr>
        <w:t>SCHEDULE OF CONDITIONS</w:t>
      </w:r>
    </w:p>
    <w:p w:rsidR="00321B6C" w:rsidRDefault="00321B6C" w:rsidP="00321B6C">
      <w:pPr>
        <w:rPr>
          <w:b/>
          <w:u w:val="single"/>
        </w:rPr>
      </w:pPr>
      <w:r w:rsidRPr="00810FC7">
        <w:rPr>
          <w:b/>
          <w:u w:val="single"/>
        </w:rPr>
        <w:t>Important Notes:</w:t>
      </w:r>
      <w:r w:rsidR="000E4C66" w:rsidRPr="00810FC7">
        <w:rPr>
          <w:b/>
          <w:u w:val="single"/>
        </w:rPr>
        <w:t xml:space="preserve"> </w:t>
      </w:r>
      <w:r w:rsidRPr="00810FC7">
        <w:rPr>
          <w:b/>
          <w:u w:val="single"/>
        </w:rPr>
        <w:t>Applicant/Homeowner</w:t>
      </w:r>
    </w:p>
    <w:p w:rsidR="00D94921" w:rsidRDefault="00422A49" w:rsidP="00321B6C">
      <w:r>
        <w:t>You are fully responsible for payment of the licence and construction costs</w:t>
      </w:r>
      <w:r w:rsidR="00CD56EC">
        <w:t>.</w:t>
      </w:r>
    </w:p>
    <w:p w:rsidR="00D94921" w:rsidRPr="00D94921" w:rsidRDefault="00E2736C" w:rsidP="00321B6C">
      <w:r>
        <w:t>W</w:t>
      </w:r>
      <w:r w:rsidR="00D94921">
        <w:t>e can onl</w:t>
      </w:r>
      <w:r w:rsidR="00F94B0D">
        <w:t>y</w:t>
      </w:r>
      <w:r w:rsidR="00D94921">
        <w:t xml:space="preserve"> approve a vehicle crossing with the hom</w:t>
      </w:r>
      <w:r w:rsidR="00F94B0D">
        <w:t>eowner’s consent</w:t>
      </w:r>
      <w:r w:rsidR="00720C2B">
        <w:t>.</w:t>
      </w:r>
    </w:p>
    <w:p w:rsidR="00321B6C" w:rsidRDefault="00321B6C" w:rsidP="00321B6C">
      <w:r>
        <w:t xml:space="preserve">Works on the Public Highway </w:t>
      </w:r>
      <w:r w:rsidR="00810FC7">
        <w:t>m</w:t>
      </w:r>
      <w:r>
        <w:t xml:space="preserve">ust </w:t>
      </w:r>
      <w:r w:rsidR="001649FE">
        <w:t xml:space="preserve">only </w:t>
      </w:r>
      <w:r>
        <w:t xml:space="preserve">be carried out by Contractors </w:t>
      </w:r>
      <w:r w:rsidR="001649FE">
        <w:t>with</w:t>
      </w:r>
      <w:r>
        <w:t xml:space="preserve"> the appropriate accreditation. </w:t>
      </w:r>
      <w:r w:rsidR="009905F4">
        <w:t>(</w:t>
      </w:r>
      <w:r w:rsidR="005D04B9">
        <w:t>New Roads and Street</w:t>
      </w:r>
      <w:r w:rsidR="008A2AAB">
        <w:t xml:space="preserve"> W</w:t>
      </w:r>
      <w:r w:rsidR="005D04B9">
        <w:t xml:space="preserve">orks </w:t>
      </w:r>
      <w:r w:rsidR="004018D2">
        <w:t>Act</w:t>
      </w:r>
      <w:r w:rsidR="005D04B9">
        <w:t xml:space="preserve"> (</w:t>
      </w:r>
      <w:r w:rsidR="00C51EB3">
        <w:t>NRSWA</w:t>
      </w:r>
      <w:r w:rsidR="005D04B9">
        <w:t>)</w:t>
      </w:r>
      <w:r w:rsidR="009905F4">
        <w:t xml:space="preserve"> Supervisor and Operative also £5 million Public Liability Insurance</w:t>
      </w:r>
      <w:r w:rsidR="00810FC7">
        <w:t>)</w:t>
      </w:r>
    </w:p>
    <w:p w:rsidR="00424370" w:rsidRDefault="001649FE" w:rsidP="00BC7D0B">
      <w:r>
        <w:t>The crossover between your property boundary and the carriageway is a public footway and must not be used for parking.</w:t>
      </w:r>
    </w:p>
    <w:p w:rsidR="00BC7D0B" w:rsidRPr="000B450D" w:rsidRDefault="001649FE" w:rsidP="00BC7D0B">
      <w:r>
        <w:t xml:space="preserve"> </w:t>
      </w:r>
      <w:r w:rsidR="00BC7D0B">
        <w:t xml:space="preserve">The length of your parking area should be adequate to ensure no part of your vehicle extends beyond the boundary of your property. The parking area must be a </w:t>
      </w:r>
      <w:r w:rsidR="00BC7D0B" w:rsidRPr="000B450D">
        <w:rPr>
          <w:b/>
        </w:rPr>
        <w:t>minimum</w:t>
      </w:r>
      <w:r w:rsidR="00BC7D0B">
        <w:t xml:space="preserve"> of </w:t>
      </w:r>
      <w:r w:rsidR="00BC7D0B" w:rsidRPr="00040701">
        <w:rPr>
          <w:b/>
        </w:rPr>
        <w:t>4.8m</w:t>
      </w:r>
      <w:r w:rsidR="00BC7D0B">
        <w:t xml:space="preserve"> in </w:t>
      </w:r>
      <w:r w:rsidR="00BC7D0B" w:rsidRPr="000B450D">
        <w:rPr>
          <w:b/>
        </w:rPr>
        <w:t>length</w:t>
      </w:r>
      <w:r w:rsidR="00BC7D0B">
        <w:t xml:space="preserve"> from the front of your property to the footway, (6m in front of a door or garage) and be of a minimum </w:t>
      </w:r>
      <w:r w:rsidR="00BC7D0B" w:rsidRPr="000B450D">
        <w:rPr>
          <w:b/>
        </w:rPr>
        <w:t>width</w:t>
      </w:r>
      <w:r w:rsidR="00BC7D0B">
        <w:t xml:space="preserve"> of </w:t>
      </w:r>
      <w:r w:rsidR="00BC7D0B" w:rsidRPr="00040701">
        <w:rPr>
          <w:b/>
        </w:rPr>
        <w:t>2.8m</w:t>
      </w:r>
      <w:r w:rsidR="000B450D">
        <w:rPr>
          <w:b/>
        </w:rPr>
        <w:t xml:space="preserve"> </w:t>
      </w:r>
      <w:r w:rsidR="000B450D">
        <w:t>for</w:t>
      </w:r>
      <w:r w:rsidR="007060DD">
        <w:t xml:space="preserve"> a</w:t>
      </w:r>
      <w:r w:rsidR="000B450D">
        <w:t xml:space="preserve"> single and </w:t>
      </w:r>
      <w:r w:rsidR="000B450D" w:rsidRPr="000B450D">
        <w:rPr>
          <w:b/>
        </w:rPr>
        <w:t>4.8</w:t>
      </w:r>
      <w:r w:rsidR="000B450D">
        <w:rPr>
          <w:b/>
        </w:rPr>
        <w:t>m</w:t>
      </w:r>
      <w:r w:rsidR="000B450D">
        <w:t xml:space="preserve"> for </w:t>
      </w:r>
      <w:r w:rsidR="007060DD">
        <w:t xml:space="preserve">a </w:t>
      </w:r>
      <w:r w:rsidR="008A2AAB">
        <w:t>double.</w:t>
      </w:r>
    </w:p>
    <w:p w:rsidR="00321B6C" w:rsidRDefault="00321B6C" w:rsidP="00321B6C">
      <w:r>
        <w:t xml:space="preserve">A standard </w:t>
      </w:r>
      <w:r w:rsidR="005D04B9">
        <w:t xml:space="preserve">single </w:t>
      </w:r>
      <w:r>
        <w:t xml:space="preserve">vehicle access consists of </w:t>
      </w:r>
      <w:r w:rsidR="00CD56EC">
        <w:t>4</w:t>
      </w:r>
      <w:r>
        <w:t xml:space="preserve"> dropped kerbs and 2 dropper kerbs (tapered kerbs)</w:t>
      </w:r>
      <w:r w:rsidR="005D04B9">
        <w:t xml:space="preserve">. </w:t>
      </w:r>
      <w:r w:rsidR="005233C7">
        <w:t xml:space="preserve"> Any variation to this must be with the agreement of the Highway Authority.</w:t>
      </w:r>
    </w:p>
    <w:p w:rsidR="005D04B9" w:rsidRDefault="005D04B9" w:rsidP="00321B6C">
      <w:r>
        <w:t>Your proposed access must be located more than 10m away from a road junction</w:t>
      </w:r>
      <w:r w:rsidR="00424370">
        <w:t>.</w:t>
      </w:r>
      <w:r>
        <w:t xml:space="preserve"> </w:t>
      </w:r>
      <w:proofErr w:type="gramStart"/>
      <w:r>
        <w:t>15m on major roads and busy road junctions</w:t>
      </w:r>
      <w:r w:rsidR="00F02274">
        <w:t>.</w:t>
      </w:r>
      <w:proofErr w:type="gramEnd"/>
    </w:p>
    <w:p w:rsidR="00A329F6" w:rsidRDefault="009905F4" w:rsidP="00321B6C">
      <w:r>
        <w:t>If the distance between your access and any adjacent access</w:t>
      </w:r>
      <w:r w:rsidR="00321B6C">
        <w:t xml:space="preserve"> is less than three full kerbs, the kerbs </w:t>
      </w:r>
      <w:r>
        <w:t xml:space="preserve">in </w:t>
      </w:r>
      <w:r w:rsidR="00321B6C">
        <w:t>between may</w:t>
      </w:r>
      <w:r>
        <w:t xml:space="preserve"> also</w:t>
      </w:r>
      <w:r w:rsidR="00321B6C">
        <w:t xml:space="preserve"> have to be dropped and the</w:t>
      </w:r>
      <w:r>
        <w:t xml:space="preserve"> entirety</w:t>
      </w:r>
      <w:r w:rsidR="00321B6C">
        <w:t xml:space="preserve"> cons</w:t>
      </w:r>
      <w:r w:rsidR="00CD56EC">
        <w:t>tructed as a vehicular crossing at the expense of the applicant/homeowner</w:t>
      </w:r>
      <w:r w:rsidR="00F02274">
        <w:t>.</w:t>
      </w:r>
    </w:p>
    <w:p w:rsidR="00D15199" w:rsidRDefault="00D15199" w:rsidP="00321B6C">
      <w:r>
        <w:t xml:space="preserve">Any street furniture, including Street </w:t>
      </w:r>
      <w:proofErr w:type="gramStart"/>
      <w:r>
        <w:t>Lighting,</w:t>
      </w:r>
      <w:proofErr w:type="gramEnd"/>
      <w:r>
        <w:t xml:space="preserve"> </w:t>
      </w:r>
      <w:r w:rsidR="00422A49">
        <w:t xml:space="preserve">or Public Utility apparatus </w:t>
      </w:r>
      <w:r>
        <w:t xml:space="preserve">which </w:t>
      </w:r>
      <w:r w:rsidR="00422A49">
        <w:t>needs</w:t>
      </w:r>
      <w:r>
        <w:t xml:space="preserve"> to be relocated </w:t>
      </w:r>
      <w:r w:rsidR="001649FE">
        <w:t xml:space="preserve">to enable access </w:t>
      </w:r>
      <w:r>
        <w:t>will be at the applicant’s expense</w:t>
      </w:r>
      <w:r w:rsidR="001649FE">
        <w:t>.</w:t>
      </w:r>
    </w:p>
    <w:p w:rsidR="00D15199" w:rsidRDefault="00D15199" w:rsidP="00321B6C">
      <w:r>
        <w:t>Drives should meet the highway at right angles and be constructed of a</w:t>
      </w:r>
      <w:r w:rsidR="000E4C66">
        <w:t xml:space="preserve"> </w:t>
      </w:r>
      <w:r>
        <w:t xml:space="preserve">consolidated material such as </w:t>
      </w:r>
      <w:proofErr w:type="spellStart"/>
      <w:r>
        <w:t>bitmac</w:t>
      </w:r>
      <w:proofErr w:type="spellEnd"/>
      <w:r>
        <w:t>, concrete or blocks (subject to planning approval</w:t>
      </w:r>
      <w:r w:rsidR="000E4C66">
        <w:t>)</w:t>
      </w:r>
      <w:r w:rsidR="00F02274">
        <w:t>.</w:t>
      </w:r>
    </w:p>
    <w:p w:rsidR="00D15199" w:rsidRDefault="00D15199" w:rsidP="00321B6C">
      <w:r>
        <w:lastRenderedPageBreak/>
        <w:t>Provision shall be made within t</w:t>
      </w:r>
      <w:r w:rsidR="000E4C66">
        <w:t>he site for the disposal of surf</w:t>
      </w:r>
      <w:r>
        <w:t>ace water so as to prevent discharge on to the highway.  Details to be provided on proposed plan which will need to be submitted with your application</w:t>
      </w:r>
      <w:r w:rsidR="00F02274">
        <w:t>.</w:t>
      </w:r>
    </w:p>
    <w:p w:rsidR="00D15199" w:rsidRDefault="00614AA3" w:rsidP="00321B6C">
      <w:r>
        <w:t>A</w:t>
      </w:r>
      <w:r w:rsidR="00D15199">
        <w:t xml:space="preserve">ny drain or watercourse which may be crossed or met within the course of the works </w:t>
      </w:r>
      <w:r>
        <w:t xml:space="preserve">must be reconstructed or diverted at the </w:t>
      </w:r>
      <w:proofErr w:type="gramStart"/>
      <w:r>
        <w:t>applicants</w:t>
      </w:r>
      <w:proofErr w:type="gramEnd"/>
      <w:r>
        <w:t xml:space="preserve"> expense </w:t>
      </w:r>
      <w:r w:rsidR="00D15199">
        <w:t xml:space="preserve">to the satisfaction of the </w:t>
      </w:r>
      <w:r w:rsidR="00040701">
        <w:t>Highways Principal Engineer</w:t>
      </w:r>
      <w:r w:rsidR="00D15199">
        <w:t xml:space="preserve">, the </w:t>
      </w:r>
      <w:r w:rsidR="005D04B9">
        <w:t>L</w:t>
      </w:r>
      <w:r w:rsidR="00D15199">
        <w:t>and</w:t>
      </w:r>
      <w:r w:rsidR="005D04B9">
        <w:t xml:space="preserve"> D</w:t>
      </w:r>
      <w:r w:rsidR="00D15199">
        <w:t xml:space="preserve">rainage </w:t>
      </w:r>
      <w:r w:rsidR="005D04B9">
        <w:t>A</w:t>
      </w:r>
      <w:r w:rsidR="00D15199">
        <w:t>uthority or the Flood Management Authority.</w:t>
      </w:r>
    </w:p>
    <w:p w:rsidR="00D15199" w:rsidRDefault="00D15199" w:rsidP="00321B6C">
      <w:r>
        <w:t>To obtain (wherever applicable) consent from the relevant Lead Local Flood Authority, Drainage Board or En</w:t>
      </w:r>
      <w:r w:rsidR="000E4C66">
        <w:t>v</w:t>
      </w:r>
      <w:r>
        <w:t>ironment Agency to carry out works in a watercourse, a legal requirement under section 23 of the Land Drainage Act.</w:t>
      </w:r>
    </w:p>
    <w:p w:rsidR="00D15199" w:rsidRDefault="00D15199" w:rsidP="00321B6C">
      <w:r>
        <w:t>The completion notice should only be submitted by the contractor once the permanent reinstatement of all materials, inclusive of bituminous materials, kerbing and associated works, have been completed.</w:t>
      </w:r>
    </w:p>
    <w:p w:rsidR="007E4346" w:rsidRDefault="007E4346" w:rsidP="00321B6C">
      <w:r>
        <w:t>If retrospective approval is needed for an existing vehicular access, the Highway</w:t>
      </w:r>
      <w:r w:rsidR="004742BE">
        <w:t>s</w:t>
      </w:r>
      <w:r>
        <w:t xml:space="preserve"> Principal</w:t>
      </w:r>
      <w:r w:rsidR="004742BE">
        <w:t xml:space="preserve"> Engineer</w:t>
      </w:r>
      <w:r>
        <w:t xml:space="preserve"> </w:t>
      </w:r>
      <w:r w:rsidR="004742BE">
        <w:t>may instigate investigatory works prior to approval being granted.</w:t>
      </w:r>
    </w:p>
    <w:p w:rsidR="007753B7" w:rsidRDefault="007753B7" w:rsidP="00321B6C">
      <w:r>
        <w:t xml:space="preserve">A signed </w:t>
      </w:r>
      <w:r w:rsidR="00CD56EC">
        <w:t xml:space="preserve">Letter of </w:t>
      </w:r>
      <w:r>
        <w:t>Approval should be kept with the deeds of the property</w:t>
      </w:r>
      <w:r w:rsidR="00040701">
        <w:t>.</w:t>
      </w:r>
    </w:p>
    <w:p w:rsidR="00040701" w:rsidRDefault="00040701" w:rsidP="00321B6C">
      <w:r>
        <w:t>A fee may be incurred if a duplicate record is required.</w:t>
      </w:r>
    </w:p>
    <w:p w:rsidR="007753B7" w:rsidRDefault="007753B7" w:rsidP="00321B6C"/>
    <w:p w:rsidR="007753B7" w:rsidRPr="00810FC7" w:rsidRDefault="007753B7" w:rsidP="00321B6C">
      <w:pPr>
        <w:rPr>
          <w:b/>
          <w:u w:val="single"/>
        </w:rPr>
      </w:pPr>
      <w:r w:rsidRPr="00810FC7">
        <w:rPr>
          <w:b/>
          <w:u w:val="single"/>
        </w:rPr>
        <w:t xml:space="preserve">Important </w:t>
      </w:r>
      <w:r w:rsidR="005D04B9">
        <w:rPr>
          <w:b/>
          <w:u w:val="single"/>
        </w:rPr>
        <w:t xml:space="preserve">Contractor </w:t>
      </w:r>
      <w:r w:rsidR="000E4C66" w:rsidRPr="00810FC7">
        <w:rPr>
          <w:b/>
          <w:u w:val="single"/>
        </w:rPr>
        <w:t>C</w:t>
      </w:r>
      <w:r w:rsidRPr="00810FC7">
        <w:rPr>
          <w:b/>
          <w:u w:val="single"/>
        </w:rPr>
        <w:t xml:space="preserve">onditions </w:t>
      </w:r>
    </w:p>
    <w:p w:rsidR="007753B7" w:rsidRDefault="00614AA3" w:rsidP="00321B6C">
      <w:proofErr w:type="gramStart"/>
      <w:r>
        <w:t>To p</w:t>
      </w:r>
      <w:r w:rsidR="007753B7">
        <w:t xml:space="preserve">rovide the </w:t>
      </w:r>
      <w:r w:rsidR="00040701">
        <w:t xml:space="preserve">Council with the </w:t>
      </w:r>
      <w:r w:rsidR="007753B7">
        <w:t>necessary evidence of competence and accreditation, Public Liability Insurance and NRSWA (Supervisor and Operative) to work on the public highway</w:t>
      </w:r>
      <w:r w:rsidR="00097351">
        <w:t>.</w:t>
      </w:r>
      <w:proofErr w:type="gramEnd"/>
    </w:p>
    <w:p w:rsidR="007753B7" w:rsidRDefault="007753B7" w:rsidP="00321B6C">
      <w:proofErr w:type="gramStart"/>
      <w:r>
        <w:t>To abide by all restrictions or directions</w:t>
      </w:r>
      <w:r w:rsidR="00BA41C9">
        <w:t>,</w:t>
      </w:r>
      <w:r>
        <w:t xml:space="preserve"> given by the Highways </w:t>
      </w:r>
      <w:r w:rsidR="00040701">
        <w:t>Principal Engineer</w:t>
      </w:r>
      <w:r>
        <w:t xml:space="preserve"> as to the timing and phasing of your works</w:t>
      </w:r>
      <w:r w:rsidR="00097351">
        <w:t>.</w:t>
      </w:r>
      <w:proofErr w:type="gramEnd"/>
    </w:p>
    <w:p w:rsidR="007753B7" w:rsidRDefault="007753B7" w:rsidP="00321B6C">
      <w:proofErr w:type="gramStart"/>
      <w:r>
        <w:t xml:space="preserve">To give the </w:t>
      </w:r>
      <w:r w:rsidR="00040701">
        <w:t>H</w:t>
      </w:r>
      <w:r>
        <w:t xml:space="preserve">ighway </w:t>
      </w:r>
      <w:r w:rsidR="00040701">
        <w:t xml:space="preserve">Principal Engineer </w:t>
      </w:r>
      <w:r>
        <w:t xml:space="preserve">7 working days’ notice of commencement </w:t>
      </w:r>
      <w:r w:rsidR="00097351">
        <w:t>of the works.</w:t>
      </w:r>
      <w:proofErr w:type="gramEnd"/>
    </w:p>
    <w:p w:rsidR="007753B7" w:rsidRDefault="007753B7" w:rsidP="00321B6C">
      <w:r>
        <w:t xml:space="preserve">If the work is planned to take longer than 7 working days from start to finish the Highway </w:t>
      </w:r>
      <w:r w:rsidR="00097351">
        <w:t>Principal Engineer</w:t>
      </w:r>
      <w:r>
        <w:t xml:space="preserve"> must be notified in writing stating the reasons why</w:t>
      </w:r>
      <w:r w:rsidR="00097351">
        <w:t>.</w:t>
      </w:r>
    </w:p>
    <w:p w:rsidR="007753B7" w:rsidRDefault="007753B7" w:rsidP="00321B6C">
      <w:proofErr w:type="gramStart"/>
      <w:r>
        <w:t>To carry out the works in accordance with the specification and in such a manner that no danger, unreasonable obstruction or undue inconvenience is caused to the public user of the highway</w:t>
      </w:r>
      <w:r w:rsidR="00097351">
        <w:t>.</w:t>
      </w:r>
      <w:proofErr w:type="gramEnd"/>
    </w:p>
    <w:p w:rsidR="007753B7" w:rsidRDefault="007753B7" w:rsidP="00321B6C">
      <w:r>
        <w:t>To carry out works to the satisfaction</w:t>
      </w:r>
      <w:r w:rsidR="00097351">
        <w:t xml:space="preserve"> of </w:t>
      </w:r>
      <w:r>
        <w:t xml:space="preserve">the </w:t>
      </w:r>
      <w:r w:rsidR="00097351">
        <w:t>H</w:t>
      </w:r>
      <w:r>
        <w:t>ighway</w:t>
      </w:r>
      <w:r w:rsidR="00097351">
        <w:t>s Principal Engineer</w:t>
      </w:r>
      <w:r>
        <w:t xml:space="preserve"> who may, if he thinks fit, carry out remedial works on the crossing at any time from the opening until the expiration of </w:t>
      </w:r>
      <w:r w:rsidR="00097351">
        <w:t>twelve</w:t>
      </w:r>
      <w:r>
        <w:t xml:space="preserve"> months from the dat</w:t>
      </w:r>
      <w:r w:rsidR="00F018FD">
        <w:t xml:space="preserve">e of completion, at the </w:t>
      </w:r>
      <w:proofErr w:type="gramStart"/>
      <w:r w:rsidR="00F018FD">
        <w:t>applicants</w:t>
      </w:r>
      <w:proofErr w:type="gramEnd"/>
      <w:r>
        <w:t xml:space="preserve"> expense. The </w:t>
      </w:r>
      <w:r w:rsidR="00097351">
        <w:t>twelve month</w:t>
      </w:r>
      <w:r>
        <w:t xml:space="preserve"> period starts from the date on the completion notice that shou</w:t>
      </w:r>
      <w:r w:rsidR="000E4C66">
        <w:t>l</w:t>
      </w:r>
      <w:r>
        <w:t xml:space="preserve">d be returned by the </w:t>
      </w:r>
      <w:r w:rsidR="005D04B9">
        <w:t>contractor</w:t>
      </w:r>
    </w:p>
    <w:p w:rsidR="005F4D7D" w:rsidRDefault="005F4D7D" w:rsidP="00321B6C">
      <w:r>
        <w:t>To provide, erect, maintain and subsequently remove warning signs and traffic control in accordance with Chap</w:t>
      </w:r>
      <w:r w:rsidR="00F018FD">
        <w:t>t</w:t>
      </w:r>
      <w:r>
        <w:t>e</w:t>
      </w:r>
      <w:r w:rsidR="00F018FD">
        <w:t>r</w:t>
      </w:r>
      <w:r>
        <w:t xml:space="preserve"> 8 of the Traffic Signs Manual</w:t>
      </w:r>
    </w:p>
    <w:p w:rsidR="005F4D7D" w:rsidRDefault="005F4D7D" w:rsidP="00321B6C">
      <w:r>
        <w:lastRenderedPageBreak/>
        <w:t xml:space="preserve">Statutory Undertakers plans </w:t>
      </w:r>
      <w:r w:rsidR="00BA41C9">
        <w:t xml:space="preserve">must be obtained </w:t>
      </w:r>
      <w:r>
        <w:t>from the homeowner.  It is recommended a hand dug investigatory trench is carried out prior to mechanical excavation. Cable avoidance tools should be used to locate services in the footway prior to works commencing.</w:t>
      </w:r>
    </w:p>
    <w:p w:rsidR="005F4D7D" w:rsidRDefault="005F4D7D" w:rsidP="00321B6C">
      <w:r>
        <w:t>All excavated material from the site shall be removed as soon as is practicable. Excavated material, if retained on site adjacent to the trench</w:t>
      </w:r>
      <w:r w:rsidR="00F018FD">
        <w:t>, shall be stockpiled at a safe distance from the trench edge</w:t>
      </w:r>
    </w:p>
    <w:p w:rsidR="00F018FD" w:rsidRDefault="00F018FD" w:rsidP="00321B6C">
      <w:r>
        <w:t>On the kerb line at the limits of the crossing, provide and lay 2 no pre cast concrete (</w:t>
      </w:r>
      <w:proofErr w:type="spellStart"/>
      <w:r>
        <w:t>pcc</w:t>
      </w:r>
      <w:proofErr w:type="spellEnd"/>
      <w:r>
        <w:t>) dropper (DL2 and DR2) kerbs and in between lay the ne</w:t>
      </w:r>
      <w:r w:rsidR="003E5575">
        <w:t>c</w:t>
      </w:r>
      <w:r>
        <w:t>essary number of 150mm x</w:t>
      </w:r>
      <w:r w:rsidR="003E5575">
        <w:t xml:space="preserve"> 125mm </w:t>
      </w:r>
      <w:proofErr w:type="spellStart"/>
      <w:r w:rsidR="003E5575">
        <w:t>pcc</w:t>
      </w:r>
      <w:proofErr w:type="spellEnd"/>
      <w:r w:rsidR="003E5575">
        <w:t xml:space="preserve"> </w:t>
      </w:r>
      <w:proofErr w:type="spellStart"/>
      <w:r w:rsidR="003E5575">
        <w:t>bullnosed</w:t>
      </w:r>
      <w:proofErr w:type="spellEnd"/>
      <w:r w:rsidR="003E5575">
        <w:t xml:space="preserve"> (BN)</w:t>
      </w:r>
      <w:r w:rsidR="00A34704">
        <w:t xml:space="preserve"> kerbs to ensure a vertical face of 25mm above finished road channel </w:t>
      </w:r>
      <w:r w:rsidR="000E4C66">
        <w:t>l</w:t>
      </w:r>
      <w:r w:rsidR="00A34704">
        <w:t>ine level,  all kerbs are to be laid on a bed of C6/8 or ST1 concrete not less than 125mm thick and 375mm wide, backed up to within 50</w:t>
      </w:r>
      <w:r w:rsidR="009B6824">
        <w:t>mm</w:t>
      </w:r>
      <w:r w:rsidR="00A34704">
        <w:t xml:space="preserve"> of the top with 150mm of concrete of the same quality.  Kerbs should be butt jointed but any open</w:t>
      </w:r>
      <w:r w:rsidR="009B6824">
        <w:t xml:space="preserve"> joints should be filled with 3:1</w:t>
      </w:r>
      <w:r w:rsidR="00A34704">
        <w:t xml:space="preserve"> sand;</w:t>
      </w:r>
      <w:r w:rsidR="000E4C66">
        <w:t xml:space="preserve"> </w:t>
      </w:r>
      <w:r w:rsidR="00A34704">
        <w:t xml:space="preserve">cement mortar.  All </w:t>
      </w:r>
      <w:proofErr w:type="spellStart"/>
      <w:r w:rsidR="00A34704">
        <w:t>pcc</w:t>
      </w:r>
      <w:proofErr w:type="spellEnd"/>
      <w:r w:rsidR="00A34704">
        <w:t xml:space="preserve"> kerbs channels and edgings and quadrants shall conform to BS EN 1340</w:t>
      </w:r>
    </w:p>
    <w:p w:rsidR="00A34704" w:rsidRDefault="00A34704" w:rsidP="00321B6C">
      <w:r>
        <w:t>Any boundary of this crossing with a grass verge or private driveway to have</w:t>
      </w:r>
      <w:r w:rsidR="009B6824">
        <w:t xml:space="preserve"> </w:t>
      </w:r>
      <w:r>
        <w:t xml:space="preserve">150mm x 50mm </w:t>
      </w:r>
      <w:proofErr w:type="spellStart"/>
      <w:r>
        <w:t>pcc</w:t>
      </w:r>
      <w:proofErr w:type="spellEnd"/>
      <w:r>
        <w:t xml:space="preserve"> (EF) edgings laid on and backed up with either side with 100mm of C6/8 or ST1 concrete</w:t>
      </w:r>
    </w:p>
    <w:p w:rsidR="00745E7C" w:rsidRDefault="00A34704" w:rsidP="00321B6C">
      <w:r>
        <w:t xml:space="preserve">On the crossing the sub-base must be 150mm thick of unbound granular material to Clause 803 of the Specification of Highway Works, the binder course must be </w:t>
      </w:r>
      <w:r w:rsidR="005D212A">
        <w:t>6</w:t>
      </w:r>
      <w:r>
        <w:t>0mm compacted thickness of AC 20 dense bin 40/60 and the surface</w:t>
      </w:r>
      <w:r w:rsidR="00745E7C">
        <w:t xml:space="preserve"> </w:t>
      </w:r>
      <w:r>
        <w:t>course to be 20mm compacted thicknes</w:t>
      </w:r>
      <w:r w:rsidR="00745E7C">
        <w:t>s of AC 6 dense surf 100/150 PSV 50</w:t>
      </w:r>
      <w:r w:rsidR="005D04B9">
        <w:t xml:space="preserve"> </w:t>
      </w:r>
      <w:r w:rsidR="00745E7C">
        <w:t>.All bituminous surfacing must accord with the requirements of BS EN 13108</w:t>
      </w:r>
    </w:p>
    <w:p w:rsidR="00745E7C" w:rsidRDefault="00745E7C" w:rsidP="00321B6C">
      <w:r>
        <w:t xml:space="preserve">Where the existing footway is being altered, the full width of the footway shall be reconstructed to give an even </w:t>
      </w:r>
      <w:proofErr w:type="spellStart"/>
      <w:r>
        <w:t>crossfall</w:t>
      </w:r>
      <w:proofErr w:type="spellEnd"/>
      <w:r>
        <w:t xml:space="preserve"> from the back edging to the new kerb</w:t>
      </w:r>
      <w:r w:rsidR="009B6824">
        <w:t>s</w:t>
      </w:r>
      <w:r>
        <w:t xml:space="preserve"> (maximum </w:t>
      </w:r>
      <w:proofErr w:type="spellStart"/>
      <w:r>
        <w:t>crossfall</w:t>
      </w:r>
      <w:proofErr w:type="spellEnd"/>
      <w:r>
        <w:t xml:space="preserve"> 1:14</w:t>
      </w:r>
      <w:r w:rsidR="009B6824">
        <w:t>)</w:t>
      </w:r>
    </w:p>
    <w:p w:rsidR="00745E7C" w:rsidRDefault="00745E7C" w:rsidP="00321B6C">
      <w:r>
        <w:t>The bound vertical face of all joints with existing sur</w:t>
      </w:r>
      <w:r w:rsidR="000E4C66">
        <w:t>f</w:t>
      </w:r>
      <w:r>
        <w:t>aces on the footway and carriageway should be painted with bitumen based edge sealant. Concrete or mortar shall not be mixed on the footway or carriageway</w:t>
      </w:r>
    </w:p>
    <w:p w:rsidR="007753B7" w:rsidRDefault="007753B7" w:rsidP="00321B6C"/>
    <w:p w:rsidR="00321B6C" w:rsidRDefault="00321B6C" w:rsidP="00321B6C">
      <w:pPr>
        <w:ind w:left="360"/>
      </w:pPr>
    </w:p>
    <w:p w:rsidR="00321B6C" w:rsidRDefault="00321B6C"/>
    <w:sectPr w:rsidR="00321B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5845"/>
    <w:multiLevelType w:val="hybridMultilevel"/>
    <w:tmpl w:val="FE2EB1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6C"/>
    <w:rsid w:val="00040701"/>
    <w:rsid w:val="000415ED"/>
    <w:rsid w:val="00097351"/>
    <w:rsid w:val="000B450D"/>
    <w:rsid w:val="000E32CD"/>
    <w:rsid w:val="000E4C66"/>
    <w:rsid w:val="0015770A"/>
    <w:rsid w:val="001649FE"/>
    <w:rsid w:val="00297318"/>
    <w:rsid w:val="00321B6C"/>
    <w:rsid w:val="003E5575"/>
    <w:rsid w:val="004018D2"/>
    <w:rsid w:val="00411428"/>
    <w:rsid w:val="00422A49"/>
    <w:rsid w:val="00424370"/>
    <w:rsid w:val="004742BE"/>
    <w:rsid w:val="004E6A87"/>
    <w:rsid w:val="005233C7"/>
    <w:rsid w:val="005B187E"/>
    <w:rsid w:val="005D04B9"/>
    <w:rsid w:val="005D212A"/>
    <w:rsid w:val="005F4D7D"/>
    <w:rsid w:val="00614AA3"/>
    <w:rsid w:val="00641587"/>
    <w:rsid w:val="007060DD"/>
    <w:rsid w:val="00720C2B"/>
    <w:rsid w:val="00745E7C"/>
    <w:rsid w:val="007753B7"/>
    <w:rsid w:val="007E4346"/>
    <w:rsid w:val="00810FC7"/>
    <w:rsid w:val="008307CE"/>
    <w:rsid w:val="008A2AAB"/>
    <w:rsid w:val="00920BF9"/>
    <w:rsid w:val="009905F4"/>
    <w:rsid w:val="009B6824"/>
    <w:rsid w:val="00A329F6"/>
    <w:rsid w:val="00A34704"/>
    <w:rsid w:val="00BA41C9"/>
    <w:rsid w:val="00BC7D0B"/>
    <w:rsid w:val="00BE492A"/>
    <w:rsid w:val="00C31B51"/>
    <w:rsid w:val="00C51EB3"/>
    <w:rsid w:val="00C74468"/>
    <w:rsid w:val="00CD56EC"/>
    <w:rsid w:val="00D076E8"/>
    <w:rsid w:val="00D15199"/>
    <w:rsid w:val="00D94921"/>
    <w:rsid w:val="00E1206A"/>
    <w:rsid w:val="00E2736C"/>
    <w:rsid w:val="00EA7E52"/>
    <w:rsid w:val="00F018FD"/>
    <w:rsid w:val="00F02274"/>
    <w:rsid w:val="00F0625F"/>
    <w:rsid w:val="00F90997"/>
    <w:rsid w:val="00F9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70A"/>
    <w:pPr>
      <w:spacing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B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099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022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2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27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2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274"/>
    <w:rPr>
      <w:rFonts w:ascii="Arial" w:hAnsi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70A"/>
    <w:pPr>
      <w:spacing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B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099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022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2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27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2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274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A631D-70AA-4E9D-95F9-FAAA0A36A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457D9481</Template>
  <TotalTime>0</TotalTime>
  <Pages>3</Pages>
  <Words>1042</Words>
  <Characters>5946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 Council</Company>
  <LinksUpToDate>false</LinksUpToDate>
  <CharactersWithSpaces>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Trina Cummings</dc:creator>
  <cp:lastModifiedBy>Justin Reeves</cp:lastModifiedBy>
  <cp:revision>2</cp:revision>
  <cp:lastPrinted>2017-11-21T15:23:00Z</cp:lastPrinted>
  <dcterms:created xsi:type="dcterms:W3CDTF">2017-12-15T14:25:00Z</dcterms:created>
  <dcterms:modified xsi:type="dcterms:W3CDTF">2017-12-15T14:25:00Z</dcterms:modified>
</cp:coreProperties>
</file>