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460F3" w14:textId="04ABF65E" w:rsidR="00490D62" w:rsidRPr="00E14F8A" w:rsidRDefault="00E14F8A" w:rsidP="00E01317">
      <w:pPr>
        <w:pStyle w:val="Heading1"/>
      </w:pPr>
      <w:r w:rsidRPr="00E14F8A">
        <w:t>B&amp;NES Food Equity Action Plan 2022-2025</w:t>
      </w:r>
    </w:p>
    <w:p w14:paraId="5DB374DA" w14:textId="5C43CC59" w:rsidR="00E14F8A" w:rsidRPr="00ED2262" w:rsidRDefault="00E14F8A" w:rsidP="00E01317">
      <w:pPr>
        <w:pStyle w:val="Heading3"/>
        <w:rPr>
          <w:b/>
          <w:bCs/>
        </w:rPr>
      </w:pPr>
      <w:r w:rsidRPr="00ED2262">
        <w:rPr>
          <w:b/>
          <w:bCs/>
        </w:rPr>
        <w:t>Goals</w:t>
      </w:r>
    </w:p>
    <w:p w14:paraId="7037D7A0" w14:textId="77777777" w:rsidR="00E14F8A" w:rsidRDefault="00E14F8A" w:rsidP="00453C5E">
      <w:pPr>
        <w:pStyle w:val="ListParagraph"/>
        <w:numPr>
          <w:ilvl w:val="0"/>
          <w:numId w:val="18"/>
        </w:numPr>
      </w:pPr>
      <w:r w:rsidRPr="00E14F8A">
        <w:t>Everyone living in B&amp;NES can reliably afford and access suitable food to meet their needs for energy, nutrition, and social &amp; cultural connection, with dignity and without resort to emergency food aid.</w:t>
      </w:r>
    </w:p>
    <w:p w14:paraId="4B449974" w14:textId="4219BB6B" w:rsidR="00E14F8A" w:rsidRDefault="00E14F8A" w:rsidP="00453C5E">
      <w:pPr>
        <w:pStyle w:val="ListParagraph"/>
        <w:numPr>
          <w:ilvl w:val="0"/>
          <w:numId w:val="18"/>
        </w:numPr>
      </w:pPr>
      <w:r w:rsidRPr="00E14F8A">
        <w:t xml:space="preserve">In partnership with broader strategies, the growing, production, packaging, transport, marketing and consumption of that affordable and accessible food will contribute to a thriving local economy and a flourishing biosphere.   </w:t>
      </w:r>
    </w:p>
    <w:p w14:paraId="0EE92B3A" w14:textId="77777777" w:rsidR="00E14F8A" w:rsidRPr="00ED2262" w:rsidRDefault="00E14F8A" w:rsidP="00E01317">
      <w:pPr>
        <w:pStyle w:val="Heading3"/>
        <w:rPr>
          <w:b/>
          <w:bCs/>
        </w:rPr>
      </w:pPr>
      <w:r w:rsidRPr="00ED2262">
        <w:rPr>
          <w:b/>
          <w:bCs/>
        </w:rPr>
        <w:t>Principles</w:t>
      </w:r>
    </w:p>
    <w:p w14:paraId="59A6F9B4" w14:textId="02F0130E" w:rsidR="00E14F8A" w:rsidRDefault="00E14F8A" w:rsidP="00453C5E">
      <w:pPr>
        <w:pStyle w:val="ListParagraph"/>
        <w:numPr>
          <w:ilvl w:val="0"/>
          <w:numId w:val="16"/>
        </w:numPr>
      </w:pPr>
      <w:r w:rsidRPr="00E14F8A">
        <w:t xml:space="preserve">The </w:t>
      </w:r>
      <w:hyperlink r:id="rId7" w:history="1">
        <w:r w:rsidRPr="00E14F8A">
          <w:rPr>
            <w:rStyle w:val="Hyperlink"/>
          </w:rPr>
          <w:t>right to food</w:t>
        </w:r>
      </w:hyperlink>
      <w:r w:rsidRPr="00E14F8A">
        <w:t xml:space="preserve"> is respected. "The right to food is a human right. It protects the right of all human beings to live in dignity, free from hunger, food insecurity and malnutrition. The right to food is not about charity, but about ensuring that all people have the capacity to feed themselves in dignity </w:t>
      </w:r>
    </w:p>
    <w:p w14:paraId="2DE4999D" w14:textId="6D6C1BD3" w:rsidR="00E14F8A" w:rsidRDefault="00E14F8A" w:rsidP="00453C5E">
      <w:pPr>
        <w:pStyle w:val="ListParagraph"/>
        <w:numPr>
          <w:ilvl w:val="0"/>
          <w:numId w:val="16"/>
        </w:numPr>
      </w:pPr>
      <w:r w:rsidRPr="00E14F8A">
        <w:t>Food poverty is recognised as an acute form of poverty and preventive measures must, therefore, be taken to tackle poverty at source</w:t>
      </w:r>
    </w:p>
    <w:p w14:paraId="50B1F415" w14:textId="6AB6F0D9" w:rsidR="00E14F8A" w:rsidRDefault="00E14F8A" w:rsidP="00453C5E">
      <w:pPr>
        <w:pStyle w:val="ListParagraph"/>
        <w:numPr>
          <w:ilvl w:val="0"/>
          <w:numId w:val="16"/>
        </w:numPr>
      </w:pPr>
      <w:r w:rsidRPr="00E14F8A">
        <w:t>Strategies to reduce food poverty must be sustainable in the longer term and embedded in core practice across all agencies</w:t>
      </w:r>
    </w:p>
    <w:p w14:paraId="7ABB0043" w14:textId="77777777" w:rsidR="00E14F8A" w:rsidRPr="00ED2262" w:rsidRDefault="00E14F8A" w:rsidP="00E01317">
      <w:pPr>
        <w:pStyle w:val="Heading3"/>
        <w:rPr>
          <w:b/>
          <w:bCs/>
        </w:rPr>
      </w:pPr>
      <w:r w:rsidRPr="00ED2262">
        <w:rPr>
          <w:b/>
          <w:bCs/>
        </w:rPr>
        <w:t>Ambition</w:t>
      </w:r>
    </w:p>
    <w:p w14:paraId="1A6B2FD6" w14:textId="39CCA3F7" w:rsidR="00E14F8A" w:rsidRDefault="00E14F8A" w:rsidP="00453C5E">
      <w:pPr>
        <w:pStyle w:val="ListParagraph"/>
        <w:numPr>
          <w:ilvl w:val="0"/>
          <w:numId w:val="17"/>
        </w:numPr>
      </w:pPr>
      <w:r w:rsidRPr="00E14F8A">
        <w:t>The council uses all the levers at its disposal to maximum effect to reduce food insecurity. These include but are not exclusive to welfare support, commissioning and procurement, planning and the community infrastructure levy for example</w:t>
      </w:r>
    </w:p>
    <w:p w14:paraId="1C966E43" w14:textId="77777777" w:rsidR="00101A91" w:rsidRDefault="00101A91"/>
    <w:p w14:paraId="16C0D7A3" w14:textId="03A18D5B" w:rsidR="00E01317" w:rsidRPr="00101A91" w:rsidRDefault="00E14F8A" w:rsidP="00453C5E">
      <w:pPr>
        <w:pStyle w:val="Heading2"/>
        <w:pBdr>
          <w:top w:val="single" w:sz="4" w:space="1" w:color="auto"/>
          <w:left w:val="single" w:sz="4" w:space="4" w:color="auto"/>
          <w:bottom w:val="single" w:sz="4" w:space="1" w:color="auto"/>
          <w:right w:val="single" w:sz="4" w:space="4" w:color="auto"/>
        </w:pBdr>
        <w:rPr>
          <w:b/>
          <w:bCs/>
        </w:rPr>
      </w:pPr>
      <w:r w:rsidRPr="00E01317">
        <w:rPr>
          <w:b/>
          <w:bCs/>
        </w:rPr>
        <w:t>Governance</w:t>
      </w:r>
      <w:r w:rsidRPr="00101A91">
        <w:rPr>
          <w:b/>
          <w:bCs/>
        </w:rPr>
        <w:t xml:space="preserve"> </w:t>
      </w:r>
      <w:r w:rsidRPr="00102E13">
        <w:t xml:space="preserve">– </w:t>
      </w:r>
      <w:r w:rsidRPr="00453C5E">
        <w:rPr>
          <w:sz w:val="28"/>
          <w:szCs w:val="28"/>
        </w:rPr>
        <w:t>overseen by the</w:t>
      </w:r>
      <w:r w:rsidR="004F4B9E">
        <w:rPr>
          <w:sz w:val="28"/>
          <w:szCs w:val="28"/>
        </w:rPr>
        <w:t xml:space="preserve"> B&amp;NES</w:t>
      </w:r>
      <w:r w:rsidRPr="00453C5E">
        <w:rPr>
          <w:sz w:val="28"/>
          <w:szCs w:val="28"/>
        </w:rPr>
        <w:t xml:space="preserve"> Fair Food Alliance (strategic)</w:t>
      </w:r>
    </w:p>
    <w:p w14:paraId="288642C5" w14:textId="77777777" w:rsidR="00E01317" w:rsidRPr="00ED2262" w:rsidRDefault="00E01317" w:rsidP="00E01317">
      <w:pPr>
        <w:pStyle w:val="Heading3"/>
        <w:rPr>
          <w:b/>
          <w:bCs/>
        </w:rPr>
      </w:pPr>
      <w:r w:rsidRPr="00ED2262">
        <w:rPr>
          <w:b/>
          <w:bCs/>
        </w:rPr>
        <w:t>Achieved</w:t>
      </w:r>
    </w:p>
    <w:p w14:paraId="5D2F7D62" w14:textId="3D18D89C" w:rsidR="00ED2262" w:rsidRDefault="00ED2262" w:rsidP="00101A91">
      <w:pPr>
        <w:pStyle w:val="ListParagraph"/>
        <w:numPr>
          <w:ilvl w:val="0"/>
          <w:numId w:val="5"/>
        </w:numPr>
      </w:pPr>
      <w:r w:rsidRPr="00ED2262">
        <w:t>Update</w:t>
      </w:r>
      <w:r w:rsidR="000D3CF3">
        <w:t>d</w:t>
      </w:r>
      <w:r w:rsidRPr="00ED2262">
        <w:t xml:space="preserve"> terms of reference </w:t>
      </w:r>
      <w:r w:rsidR="000D3CF3">
        <w:t>for</w:t>
      </w:r>
      <w:r w:rsidRPr="00ED2262">
        <w:t xml:space="preserve"> group and develop</w:t>
      </w:r>
      <w:r w:rsidR="000D3CF3">
        <w:t>ed</w:t>
      </w:r>
      <w:r w:rsidRPr="00ED2262">
        <w:t xml:space="preserve"> membership from </w:t>
      </w:r>
      <w:r w:rsidR="00101A91">
        <w:t>wider</w:t>
      </w:r>
      <w:r w:rsidRPr="00ED2262">
        <w:t xml:space="preserve"> sectors</w:t>
      </w:r>
    </w:p>
    <w:p w14:paraId="26394C6A" w14:textId="330890A4" w:rsidR="00ED2262" w:rsidRPr="00ED2262" w:rsidRDefault="00ED2262" w:rsidP="00101A91">
      <w:pPr>
        <w:pStyle w:val="ListParagraph"/>
        <w:numPr>
          <w:ilvl w:val="0"/>
          <w:numId w:val="5"/>
        </w:numPr>
      </w:pPr>
      <w:r w:rsidRPr="00ED2262">
        <w:t>Embed</w:t>
      </w:r>
      <w:r w:rsidR="000D3CF3">
        <w:t>ded</w:t>
      </w:r>
      <w:r w:rsidRPr="00ED2262">
        <w:t xml:space="preserve"> food equity into the Council</w:t>
      </w:r>
      <w:r w:rsidR="000D3CF3">
        <w:t>’</w:t>
      </w:r>
      <w:r w:rsidRPr="00ED2262">
        <w:t>s Integrated Health Improvement Strategy</w:t>
      </w:r>
    </w:p>
    <w:p w14:paraId="58EB7C40" w14:textId="74DDCD92" w:rsidR="00ED2262" w:rsidRDefault="00ED2262" w:rsidP="00101A91">
      <w:pPr>
        <w:pStyle w:val="ListParagraph"/>
        <w:numPr>
          <w:ilvl w:val="0"/>
          <w:numId w:val="5"/>
        </w:numPr>
      </w:pPr>
      <w:r>
        <w:t>Inclusion of a local food strategy within the commitments of the 2024 – 2035 Economic Strategy</w:t>
      </w:r>
    </w:p>
    <w:p w14:paraId="5C37FC6C" w14:textId="0742B08B" w:rsidR="00ED2262" w:rsidRDefault="00ED2262" w:rsidP="00101A91">
      <w:pPr>
        <w:pStyle w:val="ListParagraph"/>
        <w:numPr>
          <w:ilvl w:val="0"/>
          <w:numId w:val="5"/>
        </w:numPr>
      </w:pPr>
      <w:r w:rsidRPr="00ED2262">
        <w:t>Improve</w:t>
      </w:r>
      <w:r w:rsidR="000D3CF3">
        <w:t>d</w:t>
      </w:r>
      <w:r w:rsidRPr="00ED2262">
        <w:t xml:space="preserve"> public and professional awareness of the</w:t>
      </w:r>
      <w:r w:rsidR="004F4B9E">
        <w:t xml:space="preserve"> Fair Food Alliance (</w:t>
      </w:r>
      <w:r w:rsidRPr="00ED2262">
        <w:t>FFA</w:t>
      </w:r>
      <w:r w:rsidR="004F4B9E">
        <w:t>)</w:t>
      </w:r>
      <w:r w:rsidRPr="00ED2262">
        <w:t xml:space="preserve"> and its working groups</w:t>
      </w:r>
      <w:r w:rsidR="000D3CF3">
        <w:t>.</w:t>
      </w:r>
      <w:r>
        <w:t xml:space="preserve"> </w:t>
      </w:r>
    </w:p>
    <w:p w14:paraId="37696AE5" w14:textId="71BF9A6E" w:rsidR="00453C5E" w:rsidRPr="00ED2262" w:rsidRDefault="00453C5E" w:rsidP="00101A91">
      <w:pPr>
        <w:pStyle w:val="ListParagraph"/>
        <w:numPr>
          <w:ilvl w:val="0"/>
          <w:numId w:val="5"/>
        </w:numPr>
      </w:pPr>
      <w:r>
        <w:t xml:space="preserve">Maintained active membership of Feeding Britain </w:t>
      </w:r>
      <w:r w:rsidR="00A91AB1">
        <w:t>network</w:t>
      </w:r>
    </w:p>
    <w:p w14:paraId="274E3B0F" w14:textId="2C6F8DEE" w:rsidR="00ED2262" w:rsidRPr="00ED2262" w:rsidRDefault="00E01317" w:rsidP="00E01317">
      <w:pPr>
        <w:pStyle w:val="Heading3"/>
        <w:rPr>
          <w:b/>
          <w:bCs/>
        </w:rPr>
      </w:pPr>
      <w:r w:rsidRPr="00ED2262">
        <w:rPr>
          <w:b/>
          <w:bCs/>
        </w:rPr>
        <w:t>In progress</w:t>
      </w:r>
      <w:r w:rsidR="00453C5E">
        <w:rPr>
          <w:b/>
          <w:bCs/>
        </w:rPr>
        <w:t xml:space="preserve"> and ongoing</w:t>
      </w:r>
      <w:r w:rsidR="00ED2262" w:rsidRPr="00ED2262">
        <w:rPr>
          <w:b/>
          <w:bCs/>
        </w:rPr>
        <w:t xml:space="preserve"> </w:t>
      </w:r>
    </w:p>
    <w:p w14:paraId="560B1684" w14:textId="54CD7AB4" w:rsidR="00ED2262" w:rsidRDefault="00101A91" w:rsidP="00101A91">
      <w:pPr>
        <w:pStyle w:val="ListParagraph"/>
        <w:numPr>
          <w:ilvl w:val="0"/>
          <w:numId w:val="6"/>
        </w:numPr>
      </w:pPr>
      <w:r>
        <w:t>In</w:t>
      </w:r>
      <w:r w:rsidR="00ED2262" w:rsidRPr="00ED2262">
        <w:t>tegrat</w:t>
      </w:r>
      <w:r>
        <w:t>ing</w:t>
      </w:r>
      <w:r w:rsidR="00ED2262" w:rsidRPr="00ED2262">
        <w:t xml:space="preserve"> financial wellbeing within wider determinants of health work across the council</w:t>
      </w:r>
      <w:r>
        <w:t>.</w:t>
      </w:r>
    </w:p>
    <w:p w14:paraId="65686049" w14:textId="4E7CE084" w:rsidR="00ED2262" w:rsidRDefault="00ED2262" w:rsidP="00101A91">
      <w:pPr>
        <w:pStyle w:val="ListParagraph"/>
        <w:numPr>
          <w:ilvl w:val="0"/>
          <w:numId w:val="6"/>
        </w:numPr>
      </w:pPr>
      <w:r w:rsidRPr="00ED2262">
        <w:lastRenderedPageBreak/>
        <w:t>Work</w:t>
      </w:r>
      <w:r w:rsidR="00101A91">
        <w:t>ing</w:t>
      </w:r>
      <w:r w:rsidRPr="00ED2262">
        <w:t xml:space="preserve"> strategically to address income inequality</w:t>
      </w:r>
      <w:r w:rsidR="00101A91">
        <w:t xml:space="preserve"> </w:t>
      </w:r>
      <w:proofErr w:type="gramStart"/>
      <w:r w:rsidR="00101A91">
        <w:t xml:space="preserve">- </w:t>
      </w:r>
      <w:r w:rsidRPr="00ED2262">
        <w:t xml:space="preserve"> </w:t>
      </w:r>
      <w:proofErr w:type="spellStart"/>
      <w:r w:rsidRPr="00ED2262">
        <w:t>e.g</w:t>
      </w:r>
      <w:proofErr w:type="spellEnd"/>
      <w:proofErr w:type="gramEnd"/>
      <w:r w:rsidRPr="00ED2262">
        <w:t xml:space="preserve"> access to good employment, digital inclusion, living wage, social value policies and the potential of anchor institutions</w:t>
      </w:r>
      <w:r w:rsidR="00101A91">
        <w:t>.</w:t>
      </w:r>
    </w:p>
    <w:p w14:paraId="3167FE49" w14:textId="11D30C59" w:rsidR="00ED2262" w:rsidRDefault="00101A91" w:rsidP="00101A91">
      <w:pPr>
        <w:pStyle w:val="ListParagraph"/>
        <w:numPr>
          <w:ilvl w:val="0"/>
          <w:numId w:val="6"/>
        </w:numPr>
      </w:pPr>
      <w:r>
        <w:t>D</w:t>
      </w:r>
      <w:r w:rsidR="00ED2262" w:rsidRPr="00ED2262">
        <w:t>evelop</w:t>
      </w:r>
      <w:r>
        <w:t>ing</w:t>
      </w:r>
      <w:r w:rsidR="00ED2262" w:rsidRPr="00ED2262">
        <w:t xml:space="preserve"> a </w:t>
      </w:r>
      <w:r w:rsidR="00453C5E" w:rsidRPr="00ED2262">
        <w:t>long-term</w:t>
      </w:r>
      <w:r w:rsidR="00ED2262" w:rsidRPr="00ED2262">
        <w:t xml:space="preserve"> sustainable model for co-ordination of affordable food work locally</w:t>
      </w:r>
    </w:p>
    <w:p w14:paraId="39799C88" w14:textId="5F28A9DB" w:rsidR="00ED2262" w:rsidRPr="00ED2262" w:rsidRDefault="00E01317" w:rsidP="00E01317">
      <w:pPr>
        <w:pStyle w:val="Heading3"/>
        <w:rPr>
          <w:b/>
          <w:bCs/>
        </w:rPr>
      </w:pPr>
      <w:r w:rsidRPr="00ED2262">
        <w:rPr>
          <w:b/>
          <w:bCs/>
        </w:rPr>
        <w:t>In plan from 2025</w:t>
      </w:r>
      <w:r w:rsidR="00ED2262" w:rsidRPr="00ED2262">
        <w:rPr>
          <w:b/>
          <w:bCs/>
        </w:rPr>
        <w:t xml:space="preserve"> </w:t>
      </w:r>
    </w:p>
    <w:p w14:paraId="4D6F71CD" w14:textId="247B7F2B" w:rsidR="00ED2262" w:rsidRPr="00101A91" w:rsidRDefault="00ED2262" w:rsidP="00101A91">
      <w:pPr>
        <w:pStyle w:val="ListParagraph"/>
        <w:numPr>
          <w:ilvl w:val="0"/>
          <w:numId w:val="7"/>
        </w:numPr>
        <w:spacing w:before="100" w:beforeAutospacing="1" w:after="100" w:afterAutospacing="1" w:line="240" w:lineRule="auto"/>
        <w:rPr>
          <w:rFonts w:eastAsia="Times New Roman"/>
        </w:rPr>
      </w:pPr>
      <w:r w:rsidRPr="00101A91">
        <w:rPr>
          <w:rFonts w:eastAsia="Times New Roman"/>
        </w:rPr>
        <w:t>Contribute to the conversation with system partners about the development</w:t>
      </w:r>
      <w:r w:rsidR="00453C5E">
        <w:rPr>
          <w:rFonts w:eastAsia="Times New Roman"/>
        </w:rPr>
        <w:t xml:space="preserve"> of</w:t>
      </w:r>
      <w:r w:rsidRPr="00101A91">
        <w:rPr>
          <w:rFonts w:eastAsia="Times New Roman"/>
        </w:rPr>
        <w:t xml:space="preserve"> a local food strategy for B&amp;NES as committed to in the B&amp;NES Economic Strategy 2024-2034</w:t>
      </w:r>
      <w:r w:rsidR="004F4B9E">
        <w:rPr>
          <w:rFonts w:eastAsia="Times New Roman"/>
        </w:rPr>
        <w:t>.</w:t>
      </w:r>
      <w:r w:rsidRPr="00101A91">
        <w:rPr>
          <w:rFonts w:eastAsia="Times New Roman"/>
        </w:rPr>
        <w:t xml:space="preserve"> </w:t>
      </w:r>
    </w:p>
    <w:p w14:paraId="3FFA8576" w14:textId="0A7184F1" w:rsidR="00E01317" w:rsidRPr="00102E13" w:rsidRDefault="00E14F8A" w:rsidP="00453C5E">
      <w:pPr>
        <w:pStyle w:val="Heading2"/>
        <w:pBdr>
          <w:top w:val="single" w:sz="4" w:space="1" w:color="auto"/>
          <w:left w:val="single" w:sz="4" w:space="4" w:color="auto"/>
          <w:bottom w:val="single" w:sz="4" w:space="1" w:color="auto"/>
          <w:right w:val="single" w:sz="4" w:space="4" w:color="auto"/>
        </w:pBdr>
      </w:pPr>
      <w:r w:rsidRPr="00E01317">
        <w:rPr>
          <w:b/>
          <w:bCs/>
        </w:rPr>
        <w:t>Money</w:t>
      </w:r>
      <w:r w:rsidRPr="00102E13">
        <w:rPr>
          <w:b/>
          <w:bCs/>
        </w:rPr>
        <w:t xml:space="preserve"> </w:t>
      </w:r>
      <w:r w:rsidRPr="00453C5E">
        <w:rPr>
          <w:sz w:val="26"/>
          <w:szCs w:val="26"/>
        </w:rPr>
        <w:t>– coordinated through the Income Maximisation Group (operational)</w:t>
      </w:r>
    </w:p>
    <w:p w14:paraId="08DED1B1" w14:textId="77777777" w:rsidR="00E01317" w:rsidRPr="00102E13" w:rsidRDefault="00E01317" w:rsidP="00E01317">
      <w:pPr>
        <w:pStyle w:val="Heading3"/>
        <w:rPr>
          <w:b/>
          <w:bCs/>
        </w:rPr>
      </w:pPr>
      <w:r w:rsidRPr="00102E13">
        <w:rPr>
          <w:b/>
          <w:bCs/>
        </w:rPr>
        <w:t>Achieved</w:t>
      </w:r>
    </w:p>
    <w:p w14:paraId="4E46D2C2" w14:textId="77777777" w:rsidR="000D3CF3" w:rsidRDefault="00ED2262" w:rsidP="00101A91">
      <w:pPr>
        <w:pStyle w:val="ListParagraph"/>
        <w:numPr>
          <w:ilvl w:val="0"/>
          <w:numId w:val="8"/>
        </w:numPr>
      </w:pPr>
      <w:r>
        <w:t>Pro</w:t>
      </w:r>
      <w:r w:rsidR="000D3CF3">
        <w:t>a</w:t>
      </w:r>
      <w:r>
        <w:t xml:space="preserve">ctive promotion of </w:t>
      </w:r>
      <w:r w:rsidRPr="00ED2262">
        <w:t>Free School Meals (FSM)</w:t>
      </w:r>
      <w:r>
        <w:t xml:space="preserve"> and Healthy Start Scheme to maximise uptake</w:t>
      </w:r>
    </w:p>
    <w:p w14:paraId="6D5285D5" w14:textId="5210C6EC" w:rsidR="000D3CF3" w:rsidRDefault="000D3CF3" w:rsidP="00101A91">
      <w:pPr>
        <w:pStyle w:val="ListParagraph"/>
        <w:numPr>
          <w:ilvl w:val="0"/>
          <w:numId w:val="8"/>
        </w:numPr>
      </w:pPr>
      <w:r>
        <w:t xml:space="preserve">Closer working of partner providers of crisis funds to households and individuals </w:t>
      </w:r>
    </w:p>
    <w:p w14:paraId="0717F313" w14:textId="01B61E37" w:rsidR="000D3CF3" w:rsidRDefault="00101A91" w:rsidP="00101A91">
      <w:pPr>
        <w:pStyle w:val="ListParagraph"/>
        <w:numPr>
          <w:ilvl w:val="0"/>
          <w:numId w:val="8"/>
        </w:numPr>
      </w:pPr>
      <w:r>
        <w:t>Affordable</w:t>
      </w:r>
      <w:r w:rsidR="000D3CF3" w:rsidRPr="000D3CF3">
        <w:t xml:space="preserve"> Schools </w:t>
      </w:r>
      <w:r>
        <w:t xml:space="preserve">programme </w:t>
      </w:r>
      <w:r w:rsidR="000D3CF3" w:rsidRPr="000D3CF3">
        <w:t>embed</w:t>
      </w:r>
      <w:r>
        <w:t>ded into</w:t>
      </w:r>
      <w:r w:rsidR="000D3CF3" w:rsidRPr="000D3CF3">
        <w:t xml:space="preserve"> Public Health schools programme and </w:t>
      </w:r>
      <w:r>
        <w:t xml:space="preserve">50% of schools now participating. </w:t>
      </w:r>
    </w:p>
    <w:p w14:paraId="69780B59" w14:textId="43C68D44" w:rsidR="000D3CF3" w:rsidRDefault="00101A91" w:rsidP="00101A91">
      <w:pPr>
        <w:pStyle w:val="ListParagraph"/>
        <w:numPr>
          <w:ilvl w:val="0"/>
          <w:numId w:val="8"/>
        </w:numPr>
      </w:pPr>
      <w:r>
        <w:t>Update, re-</w:t>
      </w:r>
      <w:r w:rsidR="000D3CF3" w:rsidRPr="000D3CF3">
        <w:t xml:space="preserve">print and distribution of B&amp;NES </w:t>
      </w:r>
      <w:r>
        <w:t>‘Worried About Money?’</w:t>
      </w:r>
      <w:r w:rsidR="000D3CF3" w:rsidRPr="000D3CF3">
        <w:t xml:space="preserve"> leaflet  </w:t>
      </w:r>
    </w:p>
    <w:p w14:paraId="729864FE" w14:textId="5972E08A" w:rsidR="000D3CF3" w:rsidRDefault="00101A91" w:rsidP="00101A91">
      <w:pPr>
        <w:pStyle w:val="ListParagraph"/>
        <w:numPr>
          <w:ilvl w:val="0"/>
          <w:numId w:val="8"/>
        </w:numPr>
      </w:pPr>
      <w:r>
        <w:t>A</w:t>
      </w:r>
      <w:r w:rsidR="000D3CF3" w:rsidRPr="000D3CF3">
        <w:t xml:space="preserve">wareness campaign on illegal lending </w:t>
      </w:r>
    </w:p>
    <w:p w14:paraId="3F21EF21" w14:textId="306160AE" w:rsidR="000D3CF3" w:rsidRDefault="00101A91" w:rsidP="00101A91">
      <w:pPr>
        <w:pStyle w:val="ListParagraph"/>
        <w:numPr>
          <w:ilvl w:val="0"/>
          <w:numId w:val="8"/>
        </w:numPr>
      </w:pPr>
      <w:r>
        <w:t>S</w:t>
      </w:r>
      <w:r w:rsidR="000D3CF3" w:rsidRPr="000D3CF3">
        <w:t>ervices /organisations</w:t>
      </w:r>
      <w:r>
        <w:t xml:space="preserve"> </w:t>
      </w:r>
      <w:r w:rsidR="000D3CF3" w:rsidRPr="000D3CF3">
        <w:t>mov</w:t>
      </w:r>
      <w:r>
        <w:t>ing</w:t>
      </w:r>
      <w:r w:rsidR="000D3CF3" w:rsidRPr="000D3CF3">
        <w:t xml:space="preserve"> from signposting to </w:t>
      </w:r>
      <w:r>
        <w:t xml:space="preserve">more </w:t>
      </w:r>
      <w:r w:rsidR="000D3CF3" w:rsidRPr="000D3CF3">
        <w:t>direct referral, building on the community wellbeing hub model</w:t>
      </w:r>
      <w:r>
        <w:t xml:space="preserve"> and processes. </w:t>
      </w:r>
      <w:r w:rsidR="000D3CF3" w:rsidRPr="000D3CF3">
        <w:t xml:space="preserve">   </w:t>
      </w:r>
    </w:p>
    <w:p w14:paraId="671F3443" w14:textId="51D197A1" w:rsidR="00E01317" w:rsidRPr="00102E13" w:rsidRDefault="00E01317" w:rsidP="00E01317">
      <w:pPr>
        <w:pStyle w:val="Heading3"/>
        <w:rPr>
          <w:b/>
          <w:bCs/>
        </w:rPr>
      </w:pPr>
      <w:r w:rsidRPr="00102E13">
        <w:rPr>
          <w:b/>
          <w:bCs/>
        </w:rPr>
        <w:t>In progress</w:t>
      </w:r>
      <w:r w:rsidR="009B3BA6">
        <w:rPr>
          <w:b/>
          <w:bCs/>
        </w:rPr>
        <w:t xml:space="preserve"> and ongoing</w:t>
      </w:r>
    </w:p>
    <w:p w14:paraId="55DE121D" w14:textId="27A64F2D" w:rsidR="00ED2262" w:rsidRDefault="00ED2262" w:rsidP="00101A91">
      <w:pPr>
        <w:pStyle w:val="ListParagraph"/>
        <w:numPr>
          <w:ilvl w:val="0"/>
          <w:numId w:val="9"/>
        </w:numPr>
      </w:pPr>
      <w:r w:rsidRPr="00ED2262">
        <w:t>Promotion of pension credit entitlements</w:t>
      </w:r>
      <w:r w:rsidR="00101A91">
        <w:t xml:space="preserve"> with local and national resources </w:t>
      </w:r>
    </w:p>
    <w:p w14:paraId="0993DD13" w14:textId="27904FA7" w:rsidR="000D3CF3" w:rsidRDefault="000D3CF3" w:rsidP="00101A91">
      <w:pPr>
        <w:pStyle w:val="ListParagraph"/>
        <w:numPr>
          <w:ilvl w:val="0"/>
          <w:numId w:val="9"/>
        </w:numPr>
      </w:pPr>
      <w:r w:rsidRPr="000D3CF3">
        <w:t>Mainstream</w:t>
      </w:r>
      <w:r w:rsidR="00101A91">
        <w:t xml:space="preserve"> non-specialist</w:t>
      </w:r>
      <w:r w:rsidRPr="000D3CF3">
        <w:t xml:space="preserve"> financial support and guidance, alongside awareness of food insecurity, within </w:t>
      </w:r>
      <w:r w:rsidR="00101A91">
        <w:t xml:space="preserve">public-facing </w:t>
      </w:r>
      <w:r w:rsidRPr="000D3CF3">
        <w:t>services</w:t>
      </w:r>
    </w:p>
    <w:p w14:paraId="7A93728A" w14:textId="4BC1D9FC" w:rsidR="00E14F8A" w:rsidRPr="00102E13" w:rsidRDefault="00E01317" w:rsidP="00E01317">
      <w:pPr>
        <w:pStyle w:val="Heading3"/>
        <w:rPr>
          <w:b/>
          <w:bCs/>
        </w:rPr>
      </w:pPr>
      <w:r w:rsidRPr="00102E13">
        <w:rPr>
          <w:b/>
          <w:bCs/>
        </w:rPr>
        <w:t xml:space="preserve">In plan from 2025 </w:t>
      </w:r>
    </w:p>
    <w:p w14:paraId="244DEE00" w14:textId="7FFCBBB9" w:rsidR="000D3CF3" w:rsidRDefault="00101A91" w:rsidP="00102E13">
      <w:pPr>
        <w:pStyle w:val="ListParagraph"/>
        <w:numPr>
          <w:ilvl w:val="0"/>
          <w:numId w:val="10"/>
        </w:numPr>
      </w:pPr>
      <w:r>
        <w:t>P</w:t>
      </w:r>
      <w:r w:rsidR="000D3CF3">
        <w:t>romot</w:t>
      </w:r>
      <w:r>
        <w:t xml:space="preserve">ion of </w:t>
      </w:r>
      <w:r w:rsidR="000D3CF3">
        <w:t>Credit Union</w:t>
      </w:r>
      <w:r>
        <w:t xml:space="preserve"> and </w:t>
      </w:r>
      <w:r w:rsidR="000D3CF3" w:rsidRPr="000D3CF3">
        <w:t>safe and secure borrowing and saving options</w:t>
      </w:r>
    </w:p>
    <w:p w14:paraId="1C48FC6A" w14:textId="068BE7FD" w:rsidR="00101A91" w:rsidRDefault="00101A91" w:rsidP="00102E13">
      <w:pPr>
        <w:pStyle w:val="ListParagraph"/>
        <w:numPr>
          <w:ilvl w:val="0"/>
          <w:numId w:val="10"/>
        </w:numPr>
      </w:pPr>
      <w:r>
        <w:t xml:space="preserve">Raise awareness of gambling related harms and </w:t>
      </w:r>
      <w:r w:rsidR="00102E13">
        <w:t xml:space="preserve">routes into support and recovery </w:t>
      </w:r>
      <w:r>
        <w:t xml:space="preserve"> </w:t>
      </w:r>
    </w:p>
    <w:p w14:paraId="7FD60A64" w14:textId="77777777" w:rsidR="00E01317" w:rsidRDefault="00E14F8A" w:rsidP="00453C5E">
      <w:pPr>
        <w:pStyle w:val="Heading2"/>
        <w:pBdr>
          <w:top w:val="single" w:sz="4" w:space="1" w:color="auto"/>
          <w:left w:val="single" w:sz="4" w:space="4" w:color="auto"/>
          <w:bottom w:val="single" w:sz="4" w:space="1" w:color="auto"/>
          <w:right w:val="single" w:sz="4" w:space="4" w:color="auto"/>
        </w:pBdr>
      </w:pPr>
      <w:r w:rsidRPr="00E01317">
        <w:rPr>
          <w:b/>
          <w:bCs/>
        </w:rPr>
        <w:t xml:space="preserve">Food </w:t>
      </w:r>
      <w:r w:rsidRPr="00453C5E">
        <w:rPr>
          <w:sz w:val="28"/>
          <w:szCs w:val="28"/>
        </w:rPr>
        <w:t>– coordinated through the Affordable Food Network (operational)</w:t>
      </w:r>
    </w:p>
    <w:p w14:paraId="51599D7B" w14:textId="77777777" w:rsidR="00E01317" w:rsidRPr="009B3BA6" w:rsidRDefault="00E14F8A" w:rsidP="00E01317">
      <w:pPr>
        <w:pStyle w:val="Heading3"/>
        <w:rPr>
          <w:b/>
          <w:bCs/>
        </w:rPr>
      </w:pPr>
      <w:r w:rsidRPr="009B3BA6">
        <w:rPr>
          <w:b/>
          <w:bCs/>
        </w:rPr>
        <w:t xml:space="preserve"> </w:t>
      </w:r>
      <w:r w:rsidR="00E01317" w:rsidRPr="009B3BA6">
        <w:rPr>
          <w:b/>
          <w:bCs/>
        </w:rPr>
        <w:t>Achieved</w:t>
      </w:r>
    </w:p>
    <w:p w14:paraId="554B044F" w14:textId="1A57BD15" w:rsidR="000D3CF3" w:rsidRDefault="00102E13" w:rsidP="009B3BA6">
      <w:pPr>
        <w:pStyle w:val="ListParagraph"/>
        <w:numPr>
          <w:ilvl w:val="0"/>
          <w:numId w:val="11"/>
        </w:numPr>
      </w:pPr>
      <w:r>
        <w:t>Secured funding to increase financial advice and support alongside Affordable Food provision</w:t>
      </w:r>
    </w:p>
    <w:p w14:paraId="1324090F" w14:textId="2EFC9751" w:rsidR="00453C5E" w:rsidRDefault="00453C5E" w:rsidP="009B3BA6">
      <w:pPr>
        <w:pStyle w:val="ListParagraph"/>
        <w:numPr>
          <w:ilvl w:val="0"/>
          <w:numId w:val="11"/>
        </w:numPr>
      </w:pPr>
      <w:r>
        <w:t>Supported Affordable Food Network members to adapt to changes in surplus food supply and</w:t>
      </w:r>
      <w:r w:rsidR="00A91AB1">
        <w:t xml:space="preserve"> continued high demand for services</w:t>
      </w:r>
      <w:r>
        <w:t xml:space="preserve">  </w:t>
      </w:r>
    </w:p>
    <w:p w14:paraId="75FB5AF6" w14:textId="23E961A1" w:rsidR="00E01317" w:rsidRPr="009B3BA6" w:rsidRDefault="00E01317" w:rsidP="00E01317">
      <w:pPr>
        <w:pStyle w:val="Heading3"/>
        <w:rPr>
          <w:b/>
          <w:bCs/>
        </w:rPr>
      </w:pPr>
      <w:r w:rsidRPr="009B3BA6">
        <w:rPr>
          <w:b/>
          <w:bCs/>
        </w:rPr>
        <w:t>In progress</w:t>
      </w:r>
      <w:r w:rsidR="009B3BA6" w:rsidRPr="009B3BA6">
        <w:rPr>
          <w:b/>
          <w:bCs/>
        </w:rPr>
        <w:t xml:space="preserve"> and ongoing</w:t>
      </w:r>
    </w:p>
    <w:p w14:paraId="02044BE3" w14:textId="1025F3A6" w:rsidR="000D3CF3" w:rsidRDefault="000D3CF3" w:rsidP="009B3BA6">
      <w:pPr>
        <w:pStyle w:val="ListParagraph"/>
        <w:numPr>
          <w:ilvl w:val="0"/>
          <w:numId w:val="12"/>
        </w:numPr>
      </w:pPr>
      <w:r w:rsidRPr="000D3CF3">
        <w:t>Develop</w:t>
      </w:r>
      <w:r w:rsidR="00102E13">
        <w:t>ing</w:t>
      </w:r>
      <w:r w:rsidRPr="000D3CF3">
        <w:t xml:space="preserve"> locality food </w:t>
      </w:r>
      <w:r w:rsidR="00102E13">
        <w:t>networks</w:t>
      </w:r>
      <w:r w:rsidRPr="000D3CF3">
        <w:t xml:space="preserve"> with integral wraparound support </w:t>
      </w:r>
    </w:p>
    <w:p w14:paraId="66EC7472" w14:textId="71D219A6" w:rsidR="000D3CF3" w:rsidRPr="000D3CF3" w:rsidRDefault="00102E13" w:rsidP="009B3BA6">
      <w:pPr>
        <w:pStyle w:val="ListParagraph"/>
        <w:numPr>
          <w:ilvl w:val="0"/>
          <w:numId w:val="12"/>
        </w:numPr>
      </w:pPr>
      <w:r>
        <w:lastRenderedPageBreak/>
        <w:t xml:space="preserve">Building capacity within the Affordable Food Network around cooking skills, community meals and nutrition </w:t>
      </w:r>
    </w:p>
    <w:p w14:paraId="6BBE6BB3" w14:textId="77777777" w:rsidR="000D3CF3" w:rsidRPr="009B3BA6" w:rsidRDefault="00E01317" w:rsidP="00E01317">
      <w:pPr>
        <w:pStyle w:val="Heading3"/>
        <w:rPr>
          <w:b/>
          <w:bCs/>
        </w:rPr>
      </w:pPr>
      <w:r w:rsidRPr="009B3BA6">
        <w:rPr>
          <w:b/>
          <w:bCs/>
        </w:rPr>
        <w:t>In plan from 2025</w:t>
      </w:r>
    </w:p>
    <w:p w14:paraId="1A2FA53F" w14:textId="77777777" w:rsidR="00453C5E" w:rsidRDefault="009B3BA6" w:rsidP="00E01317">
      <w:pPr>
        <w:pStyle w:val="ListParagraph"/>
        <w:numPr>
          <w:ilvl w:val="0"/>
          <w:numId w:val="13"/>
        </w:numPr>
      </w:pPr>
      <w:r>
        <w:t xml:space="preserve">Develop </w:t>
      </w:r>
      <w:r w:rsidR="000D3CF3" w:rsidRPr="000D3CF3">
        <w:t>opportunities for education and experience of food growing</w:t>
      </w:r>
    </w:p>
    <w:p w14:paraId="30A4026F" w14:textId="4152A278" w:rsidR="00E14F8A" w:rsidRDefault="00E14F8A" w:rsidP="00453C5E">
      <w:pPr>
        <w:pStyle w:val="ListParagraph"/>
      </w:pPr>
      <w:r>
        <w:t xml:space="preserve">  </w:t>
      </w:r>
    </w:p>
    <w:p w14:paraId="71FDC1C3" w14:textId="77777777" w:rsidR="00E01317" w:rsidRDefault="00E14F8A" w:rsidP="00453C5E">
      <w:pPr>
        <w:pStyle w:val="Heading2"/>
        <w:pBdr>
          <w:top w:val="single" w:sz="4" w:space="1" w:color="auto"/>
          <w:left w:val="single" w:sz="4" w:space="4" w:color="auto"/>
          <w:bottom w:val="single" w:sz="4" w:space="1" w:color="auto"/>
          <w:right w:val="single" w:sz="4" w:space="4" w:color="auto"/>
        </w:pBdr>
      </w:pPr>
      <w:r w:rsidRPr="00E01317">
        <w:rPr>
          <w:b/>
          <w:bCs/>
        </w:rPr>
        <w:t>Inclusion</w:t>
      </w:r>
      <w:r>
        <w:t xml:space="preserve"> (Hear My Voice) – led by a research partnership with University of Bath </w:t>
      </w:r>
    </w:p>
    <w:p w14:paraId="14C7FCC5" w14:textId="48AF53FD" w:rsidR="00E01317" w:rsidRDefault="00E01317" w:rsidP="00E01317">
      <w:pPr>
        <w:pStyle w:val="Heading3"/>
      </w:pPr>
      <w:r>
        <w:t>Achieved</w:t>
      </w:r>
    </w:p>
    <w:p w14:paraId="4D472D48" w14:textId="2B45D9C4" w:rsidR="00102E13" w:rsidRDefault="009B3BA6" w:rsidP="009B3BA6">
      <w:pPr>
        <w:pStyle w:val="ListParagraph"/>
        <w:numPr>
          <w:ilvl w:val="0"/>
          <w:numId w:val="13"/>
        </w:numPr>
      </w:pPr>
      <w:r>
        <w:t xml:space="preserve">Incorporated </w:t>
      </w:r>
      <w:r w:rsidR="00102E13" w:rsidRPr="00102E13">
        <w:t>University of Bath</w:t>
      </w:r>
      <w:r>
        <w:t xml:space="preserve"> research recommendations </w:t>
      </w:r>
      <w:r w:rsidR="00102E13" w:rsidRPr="00102E13">
        <w:t xml:space="preserve">into FFA action plan </w:t>
      </w:r>
    </w:p>
    <w:p w14:paraId="57463DA9" w14:textId="55C15E5D" w:rsidR="00102E13" w:rsidRDefault="00102E13" w:rsidP="009B3BA6">
      <w:pPr>
        <w:pStyle w:val="ListParagraph"/>
        <w:numPr>
          <w:ilvl w:val="0"/>
          <w:numId w:val="13"/>
        </w:numPr>
      </w:pPr>
      <w:r w:rsidRPr="00102E13">
        <w:t>Use</w:t>
      </w:r>
      <w:r w:rsidR="009B3BA6">
        <w:t>d</w:t>
      </w:r>
      <w:r w:rsidRPr="00102E13">
        <w:t xml:space="preserve"> research findings to develop a </w:t>
      </w:r>
      <w:r w:rsidR="009B3BA6">
        <w:t xml:space="preserve">toolkit </w:t>
      </w:r>
      <w:r w:rsidRPr="00102E13">
        <w:t xml:space="preserve">resource </w:t>
      </w:r>
      <w:r w:rsidR="009B3BA6">
        <w:t>and</w:t>
      </w:r>
      <w:r w:rsidRPr="00102E13">
        <w:t xml:space="preserve"> </w:t>
      </w:r>
      <w:r w:rsidR="009B3BA6">
        <w:t>facilitated</w:t>
      </w:r>
      <w:r w:rsidRPr="00102E13">
        <w:t xml:space="preserve"> </w:t>
      </w:r>
      <w:r w:rsidR="009B3BA6">
        <w:t>workshops</w:t>
      </w:r>
      <w:r w:rsidRPr="00102E13">
        <w:t xml:space="preserve"> </w:t>
      </w:r>
      <w:r w:rsidR="009B3BA6">
        <w:t>for</w:t>
      </w:r>
      <w:r w:rsidRPr="00102E13">
        <w:t xml:space="preserve"> community engagement</w:t>
      </w:r>
      <w:r w:rsidR="00A91AB1">
        <w:t xml:space="preserve"> around older people’s support,  and with transport professionals</w:t>
      </w:r>
      <w:r w:rsidRPr="00102E13">
        <w:t>.</w:t>
      </w:r>
    </w:p>
    <w:p w14:paraId="20AEEF81" w14:textId="1E89969D" w:rsidR="00102E13" w:rsidRDefault="00102E13" w:rsidP="009B3BA6">
      <w:pPr>
        <w:pStyle w:val="ListParagraph"/>
        <w:numPr>
          <w:ilvl w:val="0"/>
          <w:numId w:val="13"/>
        </w:numPr>
      </w:pPr>
      <w:r w:rsidRPr="00102E13">
        <w:t>Disseminate research and consultation findings to inform other partnership strategies.</w:t>
      </w:r>
      <w:r w:rsidR="00B4483C" w:rsidRPr="00B4483C">
        <w:t xml:space="preserve"> </w:t>
      </w:r>
    </w:p>
    <w:p w14:paraId="65735F4D" w14:textId="1EA31D4C" w:rsidR="00102E13" w:rsidRPr="00102E13" w:rsidRDefault="009B3BA6" w:rsidP="009B3BA6">
      <w:pPr>
        <w:pStyle w:val="ListParagraph"/>
        <w:numPr>
          <w:ilvl w:val="0"/>
          <w:numId w:val="13"/>
        </w:numPr>
      </w:pPr>
      <w:r>
        <w:t xml:space="preserve">Promoted </w:t>
      </w:r>
      <w:r w:rsidR="00102E13" w:rsidRPr="00102E13">
        <w:t>Dignity in Practice training and practice development workshops</w:t>
      </w:r>
    </w:p>
    <w:p w14:paraId="5738C797" w14:textId="63FC2447" w:rsidR="00E01317" w:rsidRDefault="00E01317" w:rsidP="00E01317">
      <w:pPr>
        <w:pStyle w:val="Heading3"/>
      </w:pPr>
      <w:r>
        <w:t>In progress</w:t>
      </w:r>
      <w:r w:rsidR="009B3BA6">
        <w:t xml:space="preserve"> and ongoing</w:t>
      </w:r>
    </w:p>
    <w:p w14:paraId="7804013B" w14:textId="5DA9B433" w:rsidR="00102E13" w:rsidRDefault="009B3BA6" w:rsidP="009B3BA6">
      <w:pPr>
        <w:pStyle w:val="ListParagraph"/>
        <w:numPr>
          <w:ilvl w:val="0"/>
          <w:numId w:val="14"/>
        </w:numPr>
      </w:pPr>
      <w:r>
        <w:t>I</w:t>
      </w:r>
      <w:r w:rsidR="00102E13" w:rsidRPr="00102E13">
        <w:t>mprov</w:t>
      </w:r>
      <w:r>
        <w:t>ing</w:t>
      </w:r>
      <w:r w:rsidR="00102E13" w:rsidRPr="00102E13">
        <w:t xml:space="preserve"> equalities data relating to </w:t>
      </w:r>
      <w:r>
        <w:t>who</w:t>
      </w:r>
      <w:r w:rsidR="00102E13" w:rsidRPr="00102E13">
        <w:t xml:space="preserve"> access</w:t>
      </w:r>
      <w:r>
        <w:t>es affordable</w:t>
      </w:r>
      <w:r w:rsidR="00102E13" w:rsidRPr="00102E13">
        <w:t xml:space="preserve"> food projects </w:t>
      </w:r>
    </w:p>
    <w:p w14:paraId="0210552A" w14:textId="426584BF" w:rsidR="00102E13" w:rsidRDefault="00102E13" w:rsidP="009B3BA6">
      <w:pPr>
        <w:pStyle w:val="ListParagraph"/>
        <w:numPr>
          <w:ilvl w:val="0"/>
          <w:numId w:val="14"/>
        </w:numPr>
      </w:pPr>
      <w:r w:rsidRPr="00102E13">
        <w:t>Proactive engagement of agencies working with marginalised and vulnerable groups</w:t>
      </w:r>
    </w:p>
    <w:p w14:paraId="1065E07D" w14:textId="351C080C" w:rsidR="00102E13" w:rsidRDefault="009B3BA6" w:rsidP="009B3BA6">
      <w:pPr>
        <w:pStyle w:val="ListParagraph"/>
        <w:numPr>
          <w:ilvl w:val="0"/>
          <w:numId w:val="14"/>
        </w:numPr>
      </w:pPr>
      <w:r>
        <w:t>R</w:t>
      </w:r>
      <w:r w:rsidR="00102E13" w:rsidRPr="00102E13">
        <w:t>ais</w:t>
      </w:r>
      <w:r>
        <w:t>ing</w:t>
      </w:r>
      <w:r w:rsidR="00102E13" w:rsidRPr="00102E13">
        <w:t xml:space="preserve"> awareness of support offered around digital inclusion</w:t>
      </w:r>
    </w:p>
    <w:p w14:paraId="7B682E93" w14:textId="264630B1" w:rsidR="00B4483C" w:rsidRPr="00102E13" w:rsidRDefault="009B3BA6" w:rsidP="009B3BA6">
      <w:pPr>
        <w:pStyle w:val="ListParagraph"/>
        <w:numPr>
          <w:ilvl w:val="0"/>
          <w:numId w:val="14"/>
        </w:numPr>
      </w:pPr>
      <w:r>
        <w:t>R</w:t>
      </w:r>
      <w:r w:rsidR="00B4483C" w:rsidRPr="00B4483C">
        <w:t>educing stigma associated with accessing support</w:t>
      </w:r>
    </w:p>
    <w:p w14:paraId="384DC446" w14:textId="77777777" w:rsidR="00E01317" w:rsidRDefault="00E01317" w:rsidP="00E01317">
      <w:pPr>
        <w:pStyle w:val="Heading3"/>
      </w:pPr>
      <w:r>
        <w:t xml:space="preserve">In plan from 2025 </w:t>
      </w:r>
    </w:p>
    <w:p w14:paraId="106E7446" w14:textId="27960A96" w:rsidR="00E01317" w:rsidRDefault="00102E13" w:rsidP="00453C5E">
      <w:pPr>
        <w:pStyle w:val="ListParagraph"/>
        <w:numPr>
          <w:ilvl w:val="0"/>
          <w:numId w:val="15"/>
        </w:numPr>
      </w:pPr>
      <w:r w:rsidRPr="00102E13">
        <w:t>Continue to build local knowledge of need and involvement of those with lived experience</w:t>
      </w:r>
    </w:p>
    <w:p w14:paraId="5AEF2F89" w14:textId="45C0CA62" w:rsidR="00102E13" w:rsidRDefault="009B3BA6" w:rsidP="00453C5E">
      <w:pPr>
        <w:pStyle w:val="ListParagraph"/>
        <w:numPr>
          <w:ilvl w:val="0"/>
          <w:numId w:val="15"/>
        </w:numPr>
      </w:pPr>
      <w:r>
        <w:t>Improving p</w:t>
      </w:r>
      <w:r w:rsidR="00102E13" w:rsidRPr="00102E13">
        <w:t>ro</w:t>
      </w:r>
      <w:r>
        <w:t>vision</w:t>
      </w:r>
      <w:r w:rsidR="00102E13" w:rsidRPr="00102E13">
        <w:t xml:space="preserve"> of culturally sensitive </w:t>
      </w:r>
      <w:r w:rsidR="00453C5E">
        <w:t xml:space="preserve">affordable </w:t>
      </w:r>
      <w:r w:rsidR="00102E13" w:rsidRPr="00102E13">
        <w:t xml:space="preserve">food provision </w:t>
      </w:r>
    </w:p>
    <w:p w14:paraId="749BCD17" w14:textId="443069A1" w:rsidR="00E14F8A" w:rsidRDefault="00453C5E" w:rsidP="00453C5E">
      <w:pPr>
        <w:pStyle w:val="ListParagraph"/>
        <w:numPr>
          <w:ilvl w:val="0"/>
          <w:numId w:val="15"/>
        </w:numPr>
      </w:pPr>
      <w:r>
        <w:t xml:space="preserve">Give focus to the </w:t>
      </w:r>
      <w:r w:rsidR="00102E13" w:rsidRPr="00102E13">
        <w:t>experience of food insecurity</w:t>
      </w:r>
      <w:r w:rsidR="004F4B9E">
        <w:t xml:space="preserve"> among</w:t>
      </w:r>
      <w:r w:rsidR="00102E13" w:rsidRPr="00102E13">
        <w:t xml:space="preserve"> 18-24 yr olds living away from home</w:t>
      </w:r>
    </w:p>
    <w:sectPr w:rsidR="00E14F8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DDB13" w14:textId="77777777" w:rsidR="00102E13" w:rsidRDefault="00102E13" w:rsidP="00102E13">
      <w:pPr>
        <w:spacing w:after="0" w:line="240" w:lineRule="auto"/>
      </w:pPr>
      <w:r>
        <w:separator/>
      </w:r>
    </w:p>
  </w:endnote>
  <w:endnote w:type="continuationSeparator" w:id="0">
    <w:p w14:paraId="574BBBB9" w14:textId="77777777" w:rsidR="00102E13" w:rsidRDefault="00102E13" w:rsidP="0010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82488"/>
      <w:docPartObj>
        <w:docPartGallery w:val="Page Numbers (Bottom of Page)"/>
        <w:docPartUnique/>
      </w:docPartObj>
    </w:sdtPr>
    <w:sdtEndPr>
      <w:rPr>
        <w:noProof/>
      </w:rPr>
    </w:sdtEndPr>
    <w:sdtContent>
      <w:p w14:paraId="434D00B2" w14:textId="70E1F445" w:rsidR="00102E13" w:rsidRDefault="00102E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C966F2" w14:textId="77777777" w:rsidR="00102E13" w:rsidRDefault="0010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2FFE7" w14:textId="77777777" w:rsidR="00102E13" w:rsidRDefault="00102E13" w:rsidP="00102E13">
      <w:pPr>
        <w:spacing w:after="0" w:line="240" w:lineRule="auto"/>
      </w:pPr>
      <w:r>
        <w:separator/>
      </w:r>
    </w:p>
  </w:footnote>
  <w:footnote w:type="continuationSeparator" w:id="0">
    <w:p w14:paraId="160CC379" w14:textId="77777777" w:rsidR="00102E13" w:rsidRDefault="00102E13" w:rsidP="00102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83AEF"/>
    <w:multiLevelType w:val="hybridMultilevel"/>
    <w:tmpl w:val="3DCE80C2"/>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28EE"/>
    <w:multiLevelType w:val="hybridMultilevel"/>
    <w:tmpl w:val="B7000680"/>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66F71"/>
    <w:multiLevelType w:val="hybridMultilevel"/>
    <w:tmpl w:val="15580EFE"/>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B7453"/>
    <w:multiLevelType w:val="hybridMultilevel"/>
    <w:tmpl w:val="F2E8625A"/>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F6C21"/>
    <w:multiLevelType w:val="hybridMultilevel"/>
    <w:tmpl w:val="BE40333E"/>
    <w:lvl w:ilvl="0" w:tplc="7BC00812">
      <w:start w:val="1"/>
      <w:numFmt w:val="bullet"/>
      <w:lvlText w:val=""/>
      <w:lvlJc w:val="left"/>
      <w:pPr>
        <w:ind w:left="830" w:hanging="4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C93C02"/>
    <w:multiLevelType w:val="hybridMultilevel"/>
    <w:tmpl w:val="BF302F72"/>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F2178"/>
    <w:multiLevelType w:val="hybridMultilevel"/>
    <w:tmpl w:val="6D04B636"/>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60CA4"/>
    <w:multiLevelType w:val="hybridMultilevel"/>
    <w:tmpl w:val="380CA6F8"/>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223BC"/>
    <w:multiLevelType w:val="hybridMultilevel"/>
    <w:tmpl w:val="130C1A30"/>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E7018"/>
    <w:multiLevelType w:val="hybridMultilevel"/>
    <w:tmpl w:val="23AAAD54"/>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5453B"/>
    <w:multiLevelType w:val="hybridMultilevel"/>
    <w:tmpl w:val="E36079CA"/>
    <w:lvl w:ilvl="0" w:tplc="7BC008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84619C"/>
    <w:multiLevelType w:val="hybridMultilevel"/>
    <w:tmpl w:val="AD0E773A"/>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06D39"/>
    <w:multiLevelType w:val="hybridMultilevel"/>
    <w:tmpl w:val="CD9C5436"/>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7489C"/>
    <w:multiLevelType w:val="hybridMultilevel"/>
    <w:tmpl w:val="82AA5324"/>
    <w:lvl w:ilvl="0" w:tplc="3C88AB62">
      <w:start w:val="1"/>
      <w:numFmt w:val="decimal"/>
      <w:lvlText w:val="%1."/>
      <w:lvlJc w:val="left"/>
      <w:pPr>
        <w:ind w:left="830" w:hanging="4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5354BB"/>
    <w:multiLevelType w:val="hybridMultilevel"/>
    <w:tmpl w:val="7EF2877C"/>
    <w:lvl w:ilvl="0" w:tplc="7BC00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06927"/>
    <w:multiLevelType w:val="hybridMultilevel"/>
    <w:tmpl w:val="8306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D740F"/>
    <w:multiLevelType w:val="hybridMultilevel"/>
    <w:tmpl w:val="621A0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9626825">
    <w:abstractNumId w:val="13"/>
  </w:num>
  <w:num w:numId="2" w16cid:durableId="730932565">
    <w:abstractNumId w:val="16"/>
  </w:num>
  <w:num w:numId="3" w16cid:durableId="2100907757">
    <w:abstractNumId w:val="16"/>
  </w:num>
  <w:num w:numId="4" w16cid:durableId="449591462">
    <w:abstractNumId w:val="15"/>
  </w:num>
  <w:num w:numId="5" w16cid:durableId="834227911">
    <w:abstractNumId w:val="10"/>
  </w:num>
  <w:num w:numId="6" w16cid:durableId="378209935">
    <w:abstractNumId w:val="9"/>
  </w:num>
  <w:num w:numId="7" w16cid:durableId="1352949800">
    <w:abstractNumId w:val="5"/>
  </w:num>
  <w:num w:numId="8" w16cid:durableId="838732041">
    <w:abstractNumId w:val="7"/>
  </w:num>
  <w:num w:numId="9" w16cid:durableId="1446076425">
    <w:abstractNumId w:val="2"/>
  </w:num>
  <w:num w:numId="10" w16cid:durableId="1459883325">
    <w:abstractNumId w:val="1"/>
  </w:num>
  <w:num w:numId="11" w16cid:durableId="1573193988">
    <w:abstractNumId w:val="0"/>
  </w:num>
  <w:num w:numId="12" w16cid:durableId="334116105">
    <w:abstractNumId w:val="12"/>
  </w:num>
  <w:num w:numId="13" w16cid:durableId="1086999507">
    <w:abstractNumId w:val="3"/>
  </w:num>
  <w:num w:numId="14" w16cid:durableId="129633129">
    <w:abstractNumId w:val="14"/>
  </w:num>
  <w:num w:numId="15" w16cid:durableId="1984772574">
    <w:abstractNumId w:val="11"/>
  </w:num>
  <w:num w:numId="16" w16cid:durableId="1292050972">
    <w:abstractNumId w:val="8"/>
  </w:num>
  <w:num w:numId="17" w16cid:durableId="1966738309">
    <w:abstractNumId w:val="6"/>
  </w:num>
  <w:num w:numId="18" w16cid:durableId="46229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8A"/>
    <w:rsid w:val="000D3CF3"/>
    <w:rsid w:val="00101A91"/>
    <w:rsid w:val="00102E13"/>
    <w:rsid w:val="0010338D"/>
    <w:rsid w:val="003A02D3"/>
    <w:rsid w:val="00453C5E"/>
    <w:rsid w:val="00490D62"/>
    <w:rsid w:val="004F4B9E"/>
    <w:rsid w:val="009959A9"/>
    <w:rsid w:val="009B3BA6"/>
    <w:rsid w:val="00A91AB1"/>
    <w:rsid w:val="00AD0273"/>
    <w:rsid w:val="00B4483C"/>
    <w:rsid w:val="00B85328"/>
    <w:rsid w:val="00C3330F"/>
    <w:rsid w:val="00CD2371"/>
    <w:rsid w:val="00D65F6A"/>
    <w:rsid w:val="00E01317"/>
    <w:rsid w:val="00E14F8A"/>
    <w:rsid w:val="00ED2262"/>
    <w:rsid w:val="00F50BD0"/>
    <w:rsid w:val="00FE0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00D0"/>
  <w15:chartTrackingRefBased/>
  <w15:docId w15:val="{6848FF37-1647-4DA5-A5CA-0C4F1F77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E14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4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4F8A"/>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E14F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4F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4F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4F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4F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4F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F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4F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4F8A"/>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E14F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4F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4F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4F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4F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4F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4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F8A"/>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E14F8A"/>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E14F8A"/>
    <w:pPr>
      <w:spacing w:before="160"/>
      <w:jc w:val="center"/>
    </w:pPr>
    <w:rPr>
      <w:i/>
      <w:iCs/>
      <w:color w:val="404040" w:themeColor="text1" w:themeTint="BF"/>
    </w:rPr>
  </w:style>
  <w:style w:type="character" w:customStyle="1" w:styleId="QuoteChar">
    <w:name w:val="Quote Char"/>
    <w:basedOn w:val="DefaultParagraphFont"/>
    <w:link w:val="Quote"/>
    <w:uiPriority w:val="29"/>
    <w:rsid w:val="00E14F8A"/>
    <w:rPr>
      <w:i/>
      <w:iCs/>
      <w:color w:val="404040" w:themeColor="text1" w:themeTint="BF"/>
    </w:rPr>
  </w:style>
  <w:style w:type="paragraph" w:styleId="ListParagraph">
    <w:name w:val="List Paragraph"/>
    <w:basedOn w:val="Normal"/>
    <w:uiPriority w:val="34"/>
    <w:qFormat/>
    <w:rsid w:val="00E14F8A"/>
    <w:pPr>
      <w:ind w:left="720"/>
      <w:contextualSpacing/>
    </w:pPr>
  </w:style>
  <w:style w:type="character" w:styleId="IntenseEmphasis">
    <w:name w:val="Intense Emphasis"/>
    <w:basedOn w:val="DefaultParagraphFont"/>
    <w:uiPriority w:val="21"/>
    <w:qFormat/>
    <w:rsid w:val="00E14F8A"/>
    <w:rPr>
      <w:i/>
      <w:iCs/>
      <w:color w:val="2F5496" w:themeColor="accent1" w:themeShade="BF"/>
    </w:rPr>
  </w:style>
  <w:style w:type="paragraph" w:styleId="IntenseQuote">
    <w:name w:val="Intense Quote"/>
    <w:basedOn w:val="Normal"/>
    <w:next w:val="Normal"/>
    <w:link w:val="IntenseQuoteChar"/>
    <w:uiPriority w:val="30"/>
    <w:qFormat/>
    <w:rsid w:val="00E14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F8A"/>
    <w:rPr>
      <w:i/>
      <w:iCs/>
      <w:color w:val="2F5496" w:themeColor="accent1" w:themeShade="BF"/>
    </w:rPr>
  </w:style>
  <w:style w:type="character" w:styleId="IntenseReference">
    <w:name w:val="Intense Reference"/>
    <w:basedOn w:val="DefaultParagraphFont"/>
    <w:uiPriority w:val="32"/>
    <w:qFormat/>
    <w:rsid w:val="00E14F8A"/>
    <w:rPr>
      <w:b/>
      <w:bCs/>
      <w:smallCaps/>
      <w:color w:val="2F5496" w:themeColor="accent1" w:themeShade="BF"/>
      <w:spacing w:val="5"/>
    </w:rPr>
  </w:style>
  <w:style w:type="character" w:styleId="Hyperlink">
    <w:name w:val="Hyperlink"/>
    <w:basedOn w:val="DefaultParagraphFont"/>
    <w:uiPriority w:val="99"/>
    <w:unhideWhenUsed/>
    <w:rsid w:val="00E14F8A"/>
    <w:rPr>
      <w:color w:val="0563C1" w:themeColor="hyperlink"/>
      <w:u w:val="single"/>
    </w:rPr>
  </w:style>
  <w:style w:type="character" w:styleId="UnresolvedMention">
    <w:name w:val="Unresolved Mention"/>
    <w:basedOn w:val="DefaultParagraphFont"/>
    <w:uiPriority w:val="99"/>
    <w:semiHidden/>
    <w:unhideWhenUsed/>
    <w:rsid w:val="00E14F8A"/>
    <w:rPr>
      <w:color w:val="605E5C"/>
      <w:shd w:val="clear" w:color="auto" w:fill="E1DFDD"/>
    </w:rPr>
  </w:style>
  <w:style w:type="paragraph" w:styleId="Header">
    <w:name w:val="header"/>
    <w:basedOn w:val="Normal"/>
    <w:link w:val="HeaderChar"/>
    <w:uiPriority w:val="99"/>
    <w:unhideWhenUsed/>
    <w:rsid w:val="00102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E13"/>
  </w:style>
  <w:style w:type="paragraph" w:styleId="Footer">
    <w:name w:val="footer"/>
    <w:basedOn w:val="Normal"/>
    <w:link w:val="FooterChar"/>
    <w:uiPriority w:val="99"/>
    <w:unhideWhenUsed/>
    <w:rsid w:val="0010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E13"/>
  </w:style>
  <w:style w:type="paragraph" w:styleId="Revision">
    <w:name w:val="Revision"/>
    <w:hidden/>
    <w:uiPriority w:val="99"/>
    <w:semiHidden/>
    <w:rsid w:val="004F4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454070">
      <w:bodyDiv w:val="1"/>
      <w:marLeft w:val="0"/>
      <w:marRight w:val="0"/>
      <w:marTop w:val="0"/>
      <w:marBottom w:val="0"/>
      <w:divBdr>
        <w:top w:val="none" w:sz="0" w:space="0" w:color="auto"/>
        <w:left w:val="none" w:sz="0" w:space="0" w:color="auto"/>
        <w:bottom w:val="none" w:sz="0" w:space="0" w:color="auto"/>
        <w:right w:val="none" w:sz="0" w:space="0" w:color="auto"/>
      </w:divBdr>
    </w:div>
    <w:div w:id="499586246">
      <w:bodyDiv w:val="1"/>
      <w:marLeft w:val="0"/>
      <w:marRight w:val="0"/>
      <w:marTop w:val="0"/>
      <w:marBottom w:val="0"/>
      <w:divBdr>
        <w:top w:val="none" w:sz="0" w:space="0" w:color="auto"/>
        <w:left w:val="none" w:sz="0" w:space="0" w:color="auto"/>
        <w:bottom w:val="none" w:sz="0" w:space="0" w:color="auto"/>
        <w:right w:val="none" w:sz="0" w:space="0" w:color="auto"/>
      </w:divBdr>
    </w:div>
    <w:div w:id="900866485">
      <w:bodyDiv w:val="1"/>
      <w:marLeft w:val="0"/>
      <w:marRight w:val="0"/>
      <w:marTop w:val="0"/>
      <w:marBottom w:val="0"/>
      <w:divBdr>
        <w:top w:val="none" w:sz="0" w:space="0" w:color="auto"/>
        <w:left w:val="none" w:sz="0" w:space="0" w:color="auto"/>
        <w:bottom w:val="none" w:sz="0" w:space="0" w:color="auto"/>
        <w:right w:val="none" w:sz="0" w:space="0" w:color="auto"/>
      </w:divBdr>
    </w:div>
    <w:div w:id="1315834076">
      <w:bodyDiv w:val="1"/>
      <w:marLeft w:val="0"/>
      <w:marRight w:val="0"/>
      <w:marTop w:val="0"/>
      <w:marBottom w:val="0"/>
      <w:divBdr>
        <w:top w:val="none" w:sz="0" w:space="0" w:color="auto"/>
        <w:left w:val="none" w:sz="0" w:space="0" w:color="auto"/>
        <w:bottom w:val="none" w:sz="0" w:space="0" w:color="auto"/>
        <w:right w:val="none" w:sz="0" w:space="0" w:color="auto"/>
      </w:divBdr>
    </w:div>
    <w:div w:id="1583024590">
      <w:bodyDiv w:val="1"/>
      <w:marLeft w:val="0"/>
      <w:marRight w:val="0"/>
      <w:marTop w:val="0"/>
      <w:marBottom w:val="0"/>
      <w:divBdr>
        <w:top w:val="none" w:sz="0" w:space="0" w:color="auto"/>
        <w:left w:val="none" w:sz="0" w:space="0" w:color="auto"/>
        <w:bottom w:val="none" w:sz="0" w:space="0" w:color="auto"/>
        <w:right w:val="none" w:sz="0" w:space="0" w:color="auto"/>
      </w:divBdr>
    </w:div>
    <w:div w:id="19795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mcmahoc\AppData\Local\Microsoft\Windows\INetCache\Content.Outlook\2ZTQNELI\%22%20www.righttofood.org\work-of-jean-ziegler-at-the-un\what-is-the-right-to-f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Carmichael</dc:creator>
  <cp:keywords/>
  <dc:description/>
  <cp:lastModifiedBy>Milly Carmichael</cp:lastModifiedBy>
  <cp:revision>4</cp:revision>
  <dcterms:created xsi:type="dcterms:W3CDTF">2024-09-10T15:47:00Z</dcterms:created>
  <dcterms:modified xsi:type="dcterms:W3CDTF">2024-09-25T08:54:00Z</dcterms:modified>
</cp:coreProperties>
</file>