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D3255" w14:textId="11FC7240" w:rsidR="00991550" w:rsidRPr="00991550" w:rsidRDefault="00991550">
      <w:pPr>
        <w:rPr>
          <w:color w:val="215E99" w:themeColor="text2" w:themeTint="BF"/>
          <w:sz w:val="44"/>
          <w:szCs w:val="44"/>
        </w:rPr>
      </w:pPr>
      <w:r w:rsidRPr="00991550">
        <w:rPr>
          <w:color w:val="215E99" w:themeColor="text2" w:themeTint="BF"/>
          <w:sz w:val="44"/>
          <w:szCs w:val="44"/>
        </w:rPr>
        <w:t>Appendix 3: Investigating traffic displacement concerns</w:t>
      </w:r>
    </w:p>
    <w:p w14:paraId="7E8C7DB7" w14:textId="30BBCD57" w:rsidR="00991550" w:rsidRDefault="00991550">
      <w:r>
        <w:t xml:space="preserve">The purpose of Bath’s Clean </w:t>
      </w:r>
      <w:r w:rsidR="00756401">
        <w:t>a</w:t>
      </w:r>
      <w:r>
        <w:t xml:space="preserve">ir </w:t>
      </w:r>
      <w:r w:rsidR="00756401">
        <w:t>z</w:t>
      </w:r>
      <w:r>
        <w:t>one (CAZ) is to reduce air pollution and improve vehicle compliance in line with</w:t>
      </w:r>
      <w:r w:rsidR="00756401">
        <w:t xml:space="preserve"> the</w:t>
      </w:r>
      <w:r>
        <w:t xml:space="preserve"> minimum emissions standards, whilst minimising the impact of the CAZ on traffic flows in and around Bath.</w:t>
      </w:r>
    </w:p>
    <w:p w14:paraId="222198F1" w14:textId="157245CE" w:rsidR="00991550" w:rsidRDefault="00991550">
      <w:r>
        <w:t>Traffic flows have been substantially impacted by the Covid-19 pandemic</w:t>
      </w:r>
      <w:r w:rsidR="003B3F4B">
        <w:t xml:space="preserve">. National traffic volumes are only just </w:t>
      </w:r>
      <w:r w:rsidR="00DD7879">
        <w:t xml:space="preserve">almost </w:t>
      </w:r>
      <w:r w:rsidR="003B3F4B">
        <w:t>returning to pre-pandemic levels, and in the case of LGVs, exceeding pre-pandemic levels</w:t>
      </w:r>
      <w:r w:rsidR="003B3F4B">
        <w:rPr>
          <w:rStyle w:val="FootnoteReference"/>
        </w:rPr>
        <w:footnoteReference w:id="1"/>
      </w:r>
      <w:r w:rsidR="003B3F4B">
        <w:t xml:space="preserve">. Locally, traffic volumes were slower to recover, however, the volumes recorded throughout 2023 are similar, if not </w:t>
      </w:r>
      <w:r w:rsidR="00756401">
        <w:t xml:space="preserve">only </w:t>
      </w:r>
      <w:r w:rsidR="003B3F4B">
        <w:t xml:space="preserve">marginally lower, to those recorded pre-pandemic. </w:t>
      </w:r>
    </w:p>
    <w:p w14:paraId="44C45F92" w14:textId="779F960B" w:rsidR="003B3F4B" w:rsidRDefault="003B3F4B">
      <w:r>
        <w:t xml:space="preserve">A key commitment for the Council is to monitor any concerns arising from the introduction of the CAZ. As a result, we are monitoring 10 discrete locations where the public have expressed concern over a perceived increase in traffic within their community since the introduction of the CAZ in March 2021. In addition to the temporary surveys detailed below, we have provided extra permanent ANPR cameras to monitor traffic flows and fleet composition through Bathampton where the community expressed concerns about potential traffic displacement during the development of the </w:t>
      </w:r>
      <w:hyperlink r:id="rId8" w:history="1">
        <w:r w:rsidRPr="003B3F4B">
          <w:rPr>
            <w:rStyle w:val="Hyperlink"/>
          </w:rPr>
          <w:t>Full Business Case</w:t>
        </w:r>
      </w:hyperlink>
      <w:r w:rsidR="00756401">
        <w:rPr>
          <w:rStyle w:val="Hyperlink"/>
        </w:rPr>
        <w:t xml:space="preserve">. </w:t>
      </w:r>
    </w:p>
    <w:p w14:paraId="321FDF9E" w14:textId="523C9025" w:rsidR="003B3F4B" w:rsidRDefault="003B3F4B">
      <w:r>
        <w:t xml:space="preserve">These 10 locations, and what we are doing to log, monitor and investigation concerns </w:t>
      </w:r>
      <w:r w:rsidR="00756401">
        <w:t>are</w:t>
      </w:r>
      <w:r>
        <w:t xml:space="preserve"> listed in the tables below. The work is ongoing and will be updated annually in subsequent reports. </w:t>
      </w:r>
    </w:p>
    <w:p w14:paraId="0FE2240D" w14:textId="28405F1D" w:rsidR="00991550" w:rsidRDefault="003B3F4B" w:rsidP="003B3F4B">
      <w:pPr>
        <w:rPr>
          <w:szCs w:val="24"/>
        </w:rPr>
      </w:pPr>
      <w:r>
        <w:t xml:space="preserve">In terms of air quality, we report the nearest diffusion data </w:t>
      </w:r>
      <w:r w:rsidR="00756401">
        <w:t>to</w:t>
      </w:r>
      <w:r>
        <w:t xml:space="preserve"> the area of concern to understand the situation more locally. The legal limit for nitrogen dioxide (NO</w:t>
      </w:r>
      <w:r>
        <w:rPr>
          <w:vertAlign w:val="subscript"/>
        </w:rPr>
        <w:t>2</w:t>
      </w:r>
      <w:r>
        <w:t xml:space="preserve">) is 40 </w:t>
      </w:r>
      <w:r w:rsidRPr="009B49F0">
        <w:rPr>
          <w:szCs w:val="24"/>
        </w:rPr>
        <w:t>μg/m</w:t>
      </w:r>
      <w:r w:rsidRPr="009733DA">
        <w:rPr>
          <w:szCs w:val="24"/>
          <w:vertAlign w:val="superscript"/>
        </w:rPr>
        <w:t>3</w:t>
      </w:r>
      <w:r>
        <w:rPr>
          <w:szCs w:val="24"/>
        </w:rPr>
        <w:t xml:space="preserve"> as an annual average. To ensure compliance with the Ministerial Direction, we are generally concerned with any site where NO</w:t>
      </w:r>
      <w:r>
        <w:rPr>
          <w:szCs w:val="24"/>
          <w:vertAlign w:val="subscript"/>
        </w:rPr>
        <w:t xml:space="preserve">2 </w:t>
      </w:r>
      <w:r>
        <w:rPr>
          <w:szCs w:val="24"/>
        </w:rPr>
        <w:t xml:space="preserve">concentrations are above 36 </w:t>
      </w:r>
      <w:r w:rsidRPr="009B49F0">
        <w:rPr>
          <w:szCs w:val="24"/>
        </w:rPr>
        <w:t>μg/m</w:t>
      </w:r>
      <w:r w:rsidRPr="009733DA">
        <w:rPr>
          <w:szCs w:val="24"/>
          <w:vertAlign w:val="superscript"/>
        </w:rPr>
        <w:t>3</w:t>
      </w:r>
      <w:r>
        <w:rPr>
          <w:szCs w:val="24"/>
        </w:rPr>
        <w:t xml:space="preserve"> (within 10% of the objective)</w:t>
      </w:r>
      <w:r w:rsidR="00237DB8">
        <w:rPr>
          <w:szCs w:val="24"/>
        </w:rPr>
        <w:t xml:space="preserve">, to ensure we do not breach the objective. </w:t>
      </w:r>
    </w:p>
    <w:p w14:paraId="3B2C86B0" w14:textId="6C56B9F6" w:rsidR="00237DB8" w:rsidRDefault="00237DB8" w:rsidP="003B3F4B">
      <w:pPr>
        <w:rPr>
          <w:szCs w:val="24"/>
        </w:rPr>
      </w:pPr>
      <w:r>
        <w:rPr>
          <w:szCs w:val="24"/>
        </w:rPr>
        <w:t xml:space="preserve">Throughout this appendix, we reference traffic volumes over a weekday and 7-day average. A weekday average has been calculated using the volumes recorded between Monday and Friday. A 7-day average considers those volumes recorded between Monday and Sunday. </w:t>
      </w:r>
    </w:p>
    <w:p w14:paraId="7C75EDED" w14:textId="31AD51CD" w:rsidR="00237DB8" w:rsidRDefault="00237DB8" w:rsidP="003B3F4B">
      <w:pPr>
        <w:rPr>
          <w:szCs w:val="24"/>
        </w:rPr>
      </w:pPr>
      <w:r>
        <w:rPr>
          <w:szCs w:val="24"/>
        </w:rPr>
        <w:t xml:space="preserve">A range of monitoring methods are also referenced throughout this document, as well as our previous reports. The following bullet points outline these methods and the data they provide. </w:t>
      </w:r>
    </w:p>
    <w:p w14:paraId="7D990B48" w14:textId="77777777" w:rsidR="00237DB8" w:rsidRPr="001F13C7" w:rsidRDefault="00237DB8" w:rsidP="00237DB8">
      <w:pPr>
        <w:pStyle w:val="ListParagraph"/>
        <w:numPr>
          <w:ilvl w:val="0"/>
          <w:numId w:val="2"/>
        </w:numPr>
        <w:spacing w:after="0"/>
        <w:rPr>
          <w:b/>
          <w:bCs/>
          <w:szCs w:val="24"/>
        </w:rPr>
      </w:pPr>
      <w:r w:rsidRPr="00A46677">
        <w:rPr>
          <w:b/>
          <w:bCs/>
          <w:szCs w:val="24"/>
        </w:rPr>
        <w:lastRenderedPageBreak/>
        <w:t>Temporary Radar Counter-</w:t>
      </w:r>
      <w:r>
        <w:rPr>
          <w:b/>
          <w:bCs/>
          <w:szCs w:val="24"/>
        </w:rPr>
        <w:t xml:space="preserve"> </w:t>
      </w:r>
      <w:r>
        <w:rPr>
          <w:szCs w:val="24"/>
        </w:rPr>
        <w:t xml:space="preserve">Records the volume of traffic only. No speed or classification data is available. </w:t>
      </w:r>
    </w:p>
    <w:p w14:paraId="7352BB32" w14:textId="77777777" w:rsidR="00237DB8" w:rsidRPr="001F13C7" w:rsidRDefault="00237DB8" w:rsidP="00237DB8">
      <w:pPr>
        <w:pStyle w:val="ListParagraph"/>
        <w:numPr>
          <w:ilvl w:val="0"/>
          <w:numId w:val="2"/>
        </w:numPr>
        <w:spacing w:after="0"/>
        <w:rPr>
          <w:b/>
          <w:bCs/>
          <w:szCs w:val="24"/>
        </w:rPr>
      </w:pPr>
      <w:r w:rsidRPr="00A46677">
        <w:rPr>
          <w:b/>
          <w:bCs/>
          <w:szCs w:val="24"/>
        </w:rPr>
        <w:t>Temporary Automatic Traffic Counters (ATC)-</w:t>
      </w:r>
      <w:r>
        <w:rPr>
          <w:b/>
          <w:bCs/>
          <w:szCs w:val="24"/>
        </w:rPr>
        <w:t xml:space="preserve"> </w:t>
      </w:r>
      <w:r>
        <w:rPr>
          <w:szCs w:val="24"/>
        </w:rPr>
        <w:t xml:space="preserve">Records the volume and speed of vehicles. The classification is also recorded however, this is based on axle-distance so is not always accurate, particularly when classifying cars/vans and small HGVs </w:t>
      </w:r>
    </w:p>
    <w:p w14:paraId="47E458B0" w14:textId="77777777" w:rsidR="00237DB8" w:rsidRPr="00A46677" w:rsidRDefault="00237DB8" w:rsidP="00237DB8">
      <w:pPr>
        <w:pStyle w:val="ListParagraph"/>
        <w:numPr>
          <w:ilvl w:val="0"/>
          <w:numId w:val="2"/>
        </w:numPr>
        <w:spacing w:after="0"/>
        <w:rPr>
          <w:b/>
          <w:bCs/>
          <w:szCs w:val="24"/>
        </w:rPr>
      </w:pPr>
      <w:r w:rsidRPr="00A46677">
        <w:rPr>
          <w:b/>
          <w:bCs/>
          <w:szCs w:val="24"/>
        </w:rPr>
        <w:t xml:space="preserve">Temporary automatic number plate recognition camera (ANPR)- </w:t>
      </w:r>
      <w:r>
        <w:rPr>
          <w:szCs w:val="24"/>
        </w:rPr>
        <w:t xml:space="preserve">ANPR cameras can accurately record the volume and classification of vehicles. In addition, the compliance status of the vehicle can also be determined by the vehicle’s registration number., i.e., whether a vehicle is of Euro 6 diesel or Euro 4 petrol standard.   </w:t>
      </w:r>
    </w:p>
    <w:p w14:paraId="44F1716C" w14:textId="77777777" w:rsidR="00237DB8" w:rsidRDefault="00237DB8" w:rsidP="003B3F4B">
      <w:pPr>
        <w:rPr>
          <w:szCs w:val="24"/>
        </w:rPr>
      </w:pPr>
    </w:p>
    <w:p w14:paraId="529D9E39" w14:textId="108080FD" w:rsidR="00237DB8" w:rsidRDefault="00237DB8" w:rsidP="003B3F4B">
      <w:r>
        <w:t xml:space="preserve">Please note that traffic flow data is published in the 2023 Annual Monitoring Report accompanying this appendix. Due to unprecedented changes in travel behaviour during the Covid-19 pandemic, we are discounting data from 2020 for comparison purposes (unless otherwise stated). </w:t>
      </w:r>
    </w:p>
    <w:p w14:paraId="54C39E88" w14:textId="154AE3DF" w:rsidR="00237DB8" w:rsidRDefault="00237DB8" w:rsidP="003B3F4B">
      <w:r>
        <w:t xml:space="preserve">The following summary table provides a summary of those locations which are included in this document, as well as a status of the case regarding the monitoring we have completed. </w:t>
      </w:r>
    </w:p>
    <w:tbl>
      <w:tblPr>
        <w:tblStyle w:val="TableGrid"/>
        <w:tblW w:w="5000" w:type="pct"/>
        <w:tblLook w:val="04A0" w:firstRow="1" w:lastRow="0" w:firstColumn="1" w:lastColumn="0" w:noHBand="0" w:noVBand="1"/>
      </w:tblPr>
      <w:tblGrid>
        <w:gridCol w:w="6974"/>
        <w:gridCol w:w="6974"/>
      </w:tblGrid>
      <w:tr w:rsidR="00237DB8" w:rsidRPr="00352E38" w14:paraId="5EFDC5F6" w14:textId="77777777" w:rsidTr="00565167">
        <w:trPr>
          <w:tblHeader/>
        </w:trPr>
        <w:tc>
          <w:tcPr>
            <w:tcW w:w="2500" w:type="pct"/>
            <w:shd w:val="clear" w:color="auto" w:fill="C1E4F5" w:themeFill="accent1" w:themeFillTint="33"/>
          </w:tcPr>
          <w:p w14:paraId="399DBCE2" w14:textId="77777777" w:rsidR="00237DB8" w:rsidRPr="0043605B" w:rsidRDefault="00237DB8" w:rsidP="00565167">
            <w:pPr>
              <w:rPr>
                <w:b/>
                <w:bCs/>
                <w:color w:val="000000" w:themeColor="text1"/>
                <w:szCs w:val="24"/>
              </w:rPr>
            </w:pPr>
            <w:r w:rsidRPr="0043605B">
              <w:rPr>
                <w:b/>
                <w:bCs/>
                <w:color w:val="000000" w:themeColor="text1"/>
                <w:szCs w:val="24"/>
              </w:rPr>
              <w:t>Location of Concern</w:t>
            </w:r>
          </w:p>
        </w:tc>
        <w:tc>
          <w:tcPr>
            <w:tcW w:w="2500" w:type="pct"/>
            <w:shd w:val="clear" w:color="auto" w:fill="C1E4F5" w:themeFill="accent1" w:themeFillTint="33"/>
          </w:tcPr>
          <w:p w14:paraId="73640416" w14:textId="77777777" w:rsidR="00237DB8" w:rsidRPr="0043605B" w:rsidRDefault="00237DB8" w:rsidP="00565167">
            <w:pPr>
              <w:rPr>
                <w:b/>
                <w:bCs/>
                <w:color w:val="000000" w:themeColor="text1"/>
                <w:szCs w:val="24"/>
              </w:rPr>
            </w:pPr>
            <w:r w:rsidRPr="0043605B">
              <w:rPr>
                <w:b/>
                <w:bCs/>
                <w:color w:val="000000" w:themeColor="text1"/>
                <w:szCs w:val="24"/>
              </w:rPr>
              <w:t xml:space="preserve">Status of case </w:t>
            </w:r>
          </w:p>
        </w:tc>
      </w:tr>
      <w:tr w:rsidR="00237DB8" w:rsidRPr="00352E38" w14:paraId="2E732C31" w14:textId="77777777" w:rsidTr="00565167">
        <w:tc>
          <w:tcPr>
            <w:tcW w:w="2500" w:type="pct"/>
          </w:tcPr>
          <w:p w14:paraId="48A065E1" w14:textId="77777777" w:rsidR="00237DB8" w:rsidRPr="0043605B" w:rsidRDefault="00237DB8" w:rsidP="00565167">
            <w:pPr>
              <w:rPr>
                <w:color w:val="000000" w:themeColor="text1"/>
                <w:szCs w:val="24"/>
              </w:rPr>
            </w:pPr>
            <w:r w:rsidRPr="0043605B">
              <w:rPr>
                <w:color w:val="000000" w:themeColor="text1"/>
                <w:szCs w:val="24"/>
              </w:rPr>
              <w:t>Whiteway Road</w:t>
            </w:r>
          </w:p>
        </w:tc>
        <w:tc>
          <w:tcPr>
            <w:tcW w:w="2500" w:type="pct"/>
          </w:tcPr>
          <w:p w14:paraId="4C7137B6" w14:textId="77777777" w:rsidR="00237DB8" w:rsidRPr="0043605B" w:rsidRDefault="00237DB8" w:rsidP="00565167">
            <w:pPr>
              <w:rPr>
                <w:color w:val="000000" w:themeColor="text1"/>
                <w:szCs w:val="24"/>
              </w:rPr>
            </w:pPr>
            <w:r w:rsidRPr="0043605B">
              <w:rPr>
                <w:color w:val="000000" w:themeColor="text1"/>
                <w:szCs w:val="24"/>
              </w:rPr>
              <w:t xml:space="preserve">To be reviewed annually </w:t>
            </w:r>
          </w:p>
        </w:tc>
      </w:tr>
      <w:tr w:rsidR="00237DB8" w:rsidRPr="00352E38" w14:paraId="55FB3905" w14:textId="77777777" w:rsidTr="00565167">
        <w:tc>
          <w:tcPr>
            <w:tcW w:w="2500" w:type="pct"/>
          </w:tcPr>
          <w:p w14:paraId="13731CEF" w14:textId="77777777" w:rsidR="00237DB8" w:rsidRPr="0043605B" w:rsidRDefault="00237DB8" w:rsidP="00565167">
            <w:pPr>
              <w:rPr>
                <w:color w:val="000000" w:themeColor="text1"/>
                <w:szCs w:val="24"/>
              </w:rPr>
            </w:pPr>
            <w:r w:rsidRPr="0043605B">
              <w:rPr>
                <w:color w:val="000000" w:themeColor="text1"/>
                <w:szCs w:val="24"/>
              </w:rPr>
              <w:t>Lansdown Lane</w:t>
            </w:r>
          </w:p>
        </w:tc>
        <w:tc>
          <w:tcPr>
            <w:tcW w:w="2500" w:type="pct"/>
          </w:tcPr>
          <w:p w14:paraId="4229BB17" w14:textId="77777777" w:rsidR="00237DB8" w:rsidRPr="0043605B" w:rsidRDefault="00237DB8" w:rsidP="00565167">
            <w:pPr>
              <w:rPr>
                <w:color w:val="000000" w:themeColor="text1"/>
                <w:szCs w:val="24"/>
              </w:rPr>
            </w:pPr>
            <w:r w:rsidRPr="0043605B">
              <w:rPr>
                <w:color w:val="000000" w:themeColor="text1"/>
                <w:szCs w:val="24"/>
              </w:rPr>
              <w:t xml:space="preserve">To be reviewed annually </w:t>
            </w:r>
          </w:p>
        </w:tc>
      </w:tr>
      <w:tr w:rsidR="00237DB8" w:rsidRPr="00352E38" w14:paraId="0CE55DB3" w14:textId="77777777" w:rsidTr="00565167">
        <w:tc>
          <w:tcPr>
            <w:tcW w:w="2500" w:type="pct"/>
          </w:tcPr>
          <w:p w14:paraId="21C76297" w14:textId="77777777" w:rsidR="00237DB8" w:rsidRPr="0043605B" w:rsidRDefault="00237DB8" w:rsidP="00565167">
            <w:pPr>
              <w:rPr>
                <w:color w:val="000000" w:themeColor="text1"/>
                <w:szCs w:val="24"/>
              </w:rPr>
            </w:pPr>
            <w:r w:rsidRPr="0043605B">
              <w:rPr>
                <w:color w:val="000000" w:themeColor="text1"/>
                <w:szCs w:val="24"/>
              </w:rPr>
              <w:t>Oldfield Park (Lyndhurst Road)</w:t>
            </w:r>
          </w:p>
        </w:tc>
        <w:tc>
          <w:tcPr>
            <w:tcW w:w="2500" w:type="pct"/>
          </w:tcPr>
          <w:p w14:paraId="791DF24D" w14:textId="77777777" w:rsidR="00237DB8" w:rsidRPr="0043605B" w:rsidRDefault="00237DB8" w:rsidP="00565167">
            <w:pPr>
              <w:rPr>
                <w:color w:val="000000" w:themeColor="text1"/>
                <w:szCs w:val="24"/>
              </w:rPr>
            </w:pPr>
            <w:r w:rsidRPr="0043605B">
              <w:rPr>
                <w:color w:val="000000" w:themeColor="text1"/>
                <w:szCs w:val="24"/>
              </w:rPr>
              <w:t xml:space="preserve">To be reviewed annually </w:t>
            </w:r>
          </w:p>
        </w:tc>
      </w:tr>
      <w:tr w:rsidR="00237DB8" w:rsidRPr="00352E38" w14:paraId="475B158A" w14:textId="77777777" w:rsidTr="00565167">
        <w:tc>
          <w:tcPr>
            <w:tcW w:w="2500" w:type="pct"/>
          </w:tcPr>
          <w:p w14:paraId="56485AE4" w14:textId="77777777" w:rsidR="00237DB8" w:rsidRPr="0043605B" w:rsidRDefault="00237DB8" w:rsidP="00565167">
            <w:pPr>
              <w:rPr>
                <w:color w:val="000000" w:themeColor="text1"/>
                <w:szCs w:val="24"/>
              </w:rPr>
            </w:pPr>
            <w:r w:rsidRPr="0043605B">
              <w:rPr>
                <w:color w:val="000000" w:themeColor="text1"/>
                <w:szCs w:val="24"/>
              </w:rPr>
              <w:t>Charlcombe Lane</w:t>
            </w:r>
          </w:p>
        </w:tc>
        <w:tc>
          <w:tcPr>
            <w:tcW w:w="2500" w:type="pct"/>
          </w:tcPr>
          <w:p w14:paraId="30D3C5E1" w14:textId="77777777" w:rsidR="00237DB8" w:rsidRPr="0043605B" w:rsidRDefault="00237DB8" w:rsidP="00565167">
            <w:pPr>
              <w:rPr>
                <w:color w:val="000000" w:themeColor="text1"/>
                <w:szCs w:val="24"/>
              </w:rPr>
            </w:pPr>
            <w:r w:rsidRPr="0043605B">
              <w:rPr>
                <w:color w:val="000000" w:themeColor="text1"/>
                <w:szCs w:val="24"/>
              </w:rPr>
              <w:t xml:space="preserve">To be reviewed annually </w:t>
            </w:r>
          </w:p>
        </w:tc>
      </w:tr>
      <w:tr w:rsidR="00237DB8" w:rsidRPr="00352E38" w14:paraId="20160536" w14:textId="77777777" w:rsidTr="00565167">
        <w:tc>
          <w:tcPr>
            <w:tcW w:w="2500" w:type="pct"/>
          </w:tcPr>
          <w:p w14:paraId="0C562FF2" w14:textId="77777777" w:rsidR="00237DB8" w:rsidRPr="0043605B" w:rsidRDefault="00237DB8" w:rsidP="00565167">
            <w:pPr>
              <w:rPr>
                <w:color w:val="000000" w:themeColor="text1"/>
                <w:szCs w:val="24"/>
              </w:rPr>
            </w:pPr>
            <w:r w:rsidRPr="0043605B">
              <w:rPr>
                <w:color w:val="000000" w:themeColor="text1"/>
                <w:szCs w:val="24"/>
              </w:rPr>
              <w:t>Upper Camden Place</w:t>
            </w:r>
          </w:p>
        </w:tc>
        <w:tc>
          <w:tcPr>
            <w:tcW w:w="2500" w:type="pct"/>
          </w:tcPr>
          <w:p w14:paraId="6179FE1A" w14:textId="77777777" w:rsidR="00237DB8" w:rsidRPr="0043605B" w:rsidRDefault="00237DB8" w:rsidP="00565167">
            <w:pPr>
              <w:rPr>
                <w:color w:val="000000" w:themeColor="text1"/>
                <w:szCs w:val="24"/>
              </w:rPr>
            </w:pPr>
            <w:r w:rsidRPr="0043605B">
              <w:rPr>
                <w:color w:val="000000" w:themeColor="text1"/>
                <w:szCs w:val="24"/>
              </w:rPr>
              <w:t xml:space="preserve">To be reviewed annually </w:t>
            </w:r>
          </w:p>
        </w:tc>
      </w:tr>
      <w:tr w:rsidR="00237DB8" w:rsidRPr="00352E38" w14:paraId="6E9B0DD2" w14:textId="77777777" w:rsidTr="00565167">
        <w:tc>
          <w:tcPr>
            <w:tcW w:w="2500" w:type="pct"/>
          </w:tcPr>
          <w:p w14:paraId="07D2B353" w14:textId="77777777" w:rsidR="00237DB8" w:rsidRPr="0043605B" w:rsidRDefault="00237DB8" w:rsidP="00565167">
            <w:pPr>
              <w:rPr>
                <w:color w:val="000000" w:themeColor="text1"/>
                <w:szCs w:val="24"/>
              </w:rPr>
            </w:pPr>
            <w:r w:rsidRPr="0043605B">
              <w:rPr>
                <w:color w:val="000000" w:themeColor="text1"/>
                <w:szCs w:val="24"/>
              </w:rPr>
              <w:t>Shophouse Road</w:t>
            </w:r>
          </w:p>
        </w:tc>
        <w:tc>
          <w:tcPr>
            <w:tcW w:w="2500" w:type="pct"/>
          </w:tcPr>
          <w:p w14:paraId="39362E4D" w14:textId="77777777" w:rsidR="00237DB8" w:rsidRPr="0043605B" w:rsidRDefault="00237DB8" w:rsidP="00565167">
            <w:pPr>
              <w:rPr>
                <w:color w:val="000000" w:themeColor="text1"/>
                <w:szCs w:val="24"/>
              </w:rPr>
            </w:pPr>
            <w:r w:rsidRPr="0043605B">
              <w:rPr>
                <w:color w:val="000000" w:themeColor="text1"/>
                <w:szCs w:val="24"/>
              </w:rPr>
              <w:t xml:space="preserve">To be reviewed annually </w:t>
            </w:r>
          </w:p>
        </w:tc>
      </w:tr>
      <w:tr w:rsidR="00237DB8" w:rsidRPr="00352E38" w14:paraId="2222DBF7" w14:textId="77777777" w:rsidTr="00565167">
        <w:tc>
          <w:tcPr>
            <w:tcW w:w="2500" w:type="pct"/>
          </w:tcPr>
          <w:p w14:paraId="4D6E26ED" w14:textId="77777777" w:rsidR="00237DB8" w:rsidRPr="0043605B" w:rsidRDefault="00237DB8" w:rsidP="00565167">
            <w:pPr>
              <w:rPr>
                <w:color w:val="000000" w:themeColor="text1"/>
                <w:szCs w:val="24"/>
              </w:rPr>
            </w:pPr>
            <w:r w:rsidRPr="0043605B">
              <w:rPr>
                <w:color w:val="000000" w:themeColor="text1"/>
                <w:szCs w:val="24"/>
              </w:rPr>
              <w:t>Bradford Road and Brassknocker Hill</w:t>
            </w:r>
          </w:p>
        </w:tc>
        <w:tc>
          <w:tcPr>
            <w:tcW w:w="2500" w:type="pct"/>
          </w:tcPr>
          <w:p w14:paraId="15D832D5" w14:textId="77777777" w:rsidR="00237DB8" w:rsidRPr="0043605B" w:rsidRDefault="00237DB8" w:rsidP="00565167">
            <w:pPr>
              <w:rPr>
                <w:color w:val="000000" w:themeColor="text1"/>
                <w:szCs w:val="24"/>
              </w:rPr>
            </w:pPr>
            <w:r>
              <w:rPr>
                <w:color w:val="000000" w:themeColor="text1"/>
                <w:szCs w:val="24"/>
              </w:rPr>
              <w:t>To be reviewed annually</w:t>
            </w:r>
          </w:p>
        </w:tc>
      </w:tr>
      <w:tr w:rsidR="00237DB8" w:rsidRPr="00352E38" w14:paraId="474B2395" w14:textId="77777777" w:rsidTr="00565167">
        <w:trPr>
          <w:trHeight w:val="96"/>
        </w:trPr>
        <w:tc>
          <w:tcPr>
            <w:tcW w:w="2500" w:type="pct"/>
          </w:tcPr>
          <w:p w14:paraId="2E5D4A41" w14:textId="77777777" w:rsidR="00237DB8" w:rsidRPr="0043605B" w:rsidRDefault="00237DB8" w:rsidP="00565167">
            <w:pPr>
              <w:rPr>
                <w:color w:val="000000" w:themeColor="text1"/>
                <w:szCs w:val="24"/>
              </w:rPr>
            </w:pPr>
            <w:r w:rsidRPr="0043605B">
              <w:rPr>
                <w:color w:val="000000" w:themeColor="text1"/>
                <w:szCs w:val="24"/>
              </w:rPr>
              <w:t>Englishcombe Lane</w:t>
            </w:r>
          </w:p>
        </w:tc>
        <w:tc>
          <w:tcPr>
            <w:tcW w:w="2500" w:type="pct"/>
          </w:tcPr>
          <w:p w14:paraId="4BF669F1" w14:textId="77777777" w:rsidR="00237DB8" w:rsidRPr="0043605B" w:rsidRDefault="00237DB8" w:rsidP="00565167">
            <w:pPr>
              <w:rPr>
                <w:color w:val="000000" w:themeColor="text1"/>
                <w:szCs w:val="24"/>
              </w:rPr>
            </w:pPr>
            <w:r w:rsidRPr="0043605B">
              <w:rPr>
                <w:color w:val="000000" w:themeColor="text1"/>
                <w:szCs w:val="24"/>
              </w:rPr>
              <w:t>To be reviewed annually</w:t>
            </w:r>
          </w:p>
        </w:tc>
      </w:tr>
      <w:tr w:rsidR="00237DB8" w:rsidRPr="00352E38" w14:paraId="3BDCFD05" w14:textId="77777777" w:rsidTr="00565167">
        <w:tc>
          <w:tcPr>
            <w:tcW w:w="2500" w:type="pct"/>
          </w:tcPr>
          <w:p w14:paraId="28A0ED96" w14:textId="77777777" w:rsidR="00237DB8" w:rsidRPr="0043605B" w:rsidRDefault="00237DB8" w:rsidP="00565167">
            <w:pPr>
              <w:rPr>
                <w:color w:val="000000" w:themeColor="text1"/>
                <w:szCs w:val="24"/>
              </w:rPr>
            </w:pPr>
            <w:r w:rsidRPr="0043605B">
              <w:rPr>
                <w:color w:val="000000" w:themeColor="text1"/>
                <w:szCs w:val="24"/>
              </w:rPr>
              <w:t>Cavendish Road</w:t>
            </w:r>
          </w:p>
        </w:tc>
        <w:tc>
          <w:tcPr>
            <w:tcW w:w="2500" w:type="pct"/>
          </w:tcPr>
          <w:p w14:paraId="40C760E5" w14:textId="77777777" w:rsidR="00237DB8" w:rsidRPr="0043605B" w:rsidRDefault="00237DB8" w:rsidP="00565167">
            <w:pPr>
              <w:rPr>
                <w:color w:val="000000" w:themeColor="text1"/>
                <w:szCs w:val="24"/>
              </w:rPr>
            </w:pPr>
            <w:r w:rsidRPr="0043605B">
              <w:rPr>
                <w:color w:val="000000" w:themeColor="text1"/>
                <w:szCs w:val="24"/>
              </w:rPr>
              <w:t xml:space="preserve">To be reviewed annually </w:t>
            </w:r>
          </w:p>
        </w:tc>
      </w:tr>
    </w:tbl>
    <w:p w14:paraId="30BD9956" w14:textId="77777777" w:rsidR="00237DB8" w:rsidRDefault="00237DB8" w:rsidP="003B3F4B"/>
    <w:p w14:paraId="27786D46" w14:textId="77777777" w:rsidR="00237DB8" w:rsidRDefault="00237DB8" w:rsidP="003B3F4B"/>
    <w:p w14:paraId="1FB978D0" w14:textId="77777777" w:rsidR="00237DB8" w:rsidRDefault="00237DB8" w:rsidP="003B3F4B"/>
    <w:p w14:paraId="5EED22A9" w14:textId="77777777" w:rsidR="00237DB8" w:rsidRPr="003B3F4B" w:rsidRDefault="00237DB8" w:rsidP="003B3F4B"/>
    <w:p w14:paraId="20DE9E91" w14:textId="2A7C7EDA" w:rsidR="00991550" w:rsidRPr="00991550" w:rsidRDefault="00F42EA8">
      <w:r>
        <w:lastRenderedPageBreak/>
        <w:t xml:space="preserve">Table </w:t>
      </w:r>
      <w:r w:rsidR="00B65233">
        <w:t>1</w:t>
      </w:r>
      <w:r>
        <w:t xml:space="preserve">, below, presents </w:t>
      </w:r>
      <w:r w:rsidR="00991550">
        <w:t>three</w:t>
      </w:r>
      <w:r>
        <w:t xml:space="preserve"> locations (Whiteway Road, Lansdown Lane and Oldfield Park (Moorland Road)) which have previously been subject to ANPR monitoring following </w:t>
      </w:r>
      <w:r w:rsidR="00A50B46">
        <w:t xml:space="preserve">perceptions of </w:t>
      </w:r>
      <w:r>
        <w:t>increase</w:t>
      </w:r>
      <w:r w:rsidR="00A50B46">
        <w:t>d</w:t>
      </w:r>
      <w:r>
        <w:t xml:space="preserve"> non-compliance following the introduction of Bath’s Clean Air Zone</w:t>
      </w:r>
      <w:r w:rsidR="00991550">
        <w:t xml:space="preserve">. Whilst the surveys concluded that vehicle compliance was marginally lower than within the CAZ, the Council was encouraged by the increase in compliance between the </w:t>
      </w:r>
      <w:r w:rsidR="00756401">
        <w:t>previous surveys</w:t>
      </w:r>
      <w:r w:rsidR="00991550">
        <w:t>, and the reduction in NO</w:t>
      </w:r>
      <w:r w:rsidR="00991550">
        <w:rPr>
          <w:vertAlign w:val="subscript"/>
        </w:rPr>
        <w:t xml:space="preserve">2 </w:t>
      </w:r>
      <w:r w:rsidR="00991550">
        <w:rPr>
          <w:vertAlign w:val="subscript"/>
        </w:rPr>
        <w:softHyphen/>
      </w:r>
      <w:r w:rsidR="00991550">
        <w:t xml:space="preserve">concentrations. Therefore, moving forward, these locations will continue to be monitored and reviewed annually with ATCs to ensure that traffic </w:t>
      </w:r>
      <w:r w:rsidR="00237DB8">
        <w:t>volumes</w:t>
      </w:r>
      <w:r w:rsidR="00991550">
        <w:t xml:space="preserve"> remain consistent, and that air quality continues to improve. </w:t>
      </w:r>
    </w:p>
    <w:p w14:paraId="1AE31A59" w14:textId="7766F4ED" w:rsidR="00F42EA8" w:rsidRDefault="00F42EA8">
      <w:r>
        <w:t xml:space="preserve">The results of the previous ANPR surveys at these three locations can be viewed via the following link: </w:t>
      </w:r>
      <w:hyperlink r:id="rId9" w:history="1">
        <w:r w:rsidRPr="00F1689A">
          <w:rPr>
            <w:rStyle w:val="Hyperlink"/>
          </w:rPr>
          <w:t>https://beta.bathnes.gov.uk/sites/default/files/Appendix%202%20-%20Investigating%20traffic%20displacement%20concerns%20Q3%202022.pdf</w:t>
        </w:r>
      </w:hyperlink>
      <w:r>
        <w:t xml:space="preserve">  </w:t>
      </w:r>
    </w:p>
    <w:p w14:paraId="337AC7E3" w14:textId="083487EA" w:rsidR="008E7846" w:rsidRDefault="008E7846">
      <w:r>
        <w:t xml:space="preserve">Table </w:t>
      </w:r>
      <w:r w:rsidR="00B65233">
        <w:t>1</w:t>
      </w:r>
      <w:r>
        <w:t xml:space="preserve">: Locations of investigation that have previously been monitored via ANPR surveys. </w:t>
      </w:r>
    </w:p>
    <w:tbl>
      <w:tblPr>
        <w:tblStyle w:val="TableGrid"/>
        <w:tblW w:w="5000" w:type="pct"/>
        <w:tblLook w:val="04A0" w:firstRow="1" w:lastRow="0" w:firstColumn="1" w:lastColumn="0" w:noHBand="0" w:noVBand="1"/>
      </w:tblPr>
      <w:tblGrid>
        <w:gridCol w:w="3487"/>
        <w:gridCol w:w="3487"/>
        <w:gridCol w:w="3487"/>
        <w:gridCol w:w="3487"/>
      </w:tblGrid>
      <w:tr w:rsidR="00F42EA8" w14:paraId="1121C898" w14:textId="77777777" w:rsidTr="00275A88">
        <w:trPr>
          <w:tblHeader/>
        </w:trPr>
        <w:tc>
          <w:tcPr>
            <w:tcW w:w="1250" w:type="pct"/>
            <w:shd w:val="clear" w:color="auto" w:fill="C1E4F5" w:themeFill="accent1" w:themeFillTint="33"/>
          </w:tcPr>
          <w:p w14:paraId="0ED16D3E" w14:textId="08955084" w:rsidR="00F42EA8" w:rsidRDefault="00F42EA8" w:rsidP="00F42EA8">
            <w:r w:rsidRPr="00C2250C">
              <w:rPr>
                <w:b/>
                <w:bCs/>
              </w:rPr>
              <w:t>Area for investigation</w:t>
            </w:r>
          </w:p>
        </w:tc>
        <w:tc>
          <w:tcPr>
            <w:tcW w:w="1250" w:type="pct"/>
            <w:shd w:val="clear" w:color="auto" w:fill="C1E4F5" w:themeFill="accent1" w:themeFillTint="33"/>
          </w:tcPr>
          <w:p w14:paraId="1358AC6F" w14:textId="633E8535" w:rsidR="00F42EA8" w:rsidRDefault="00F42EA8" w:rsidP="00F42EA8">
            <w:r w:rsidRPr="00C2250C">
              <w:rPr>
                <w:b/>
                <w:bCs/>
              </w:rPr>
              <w:t>Status</w:t>
            </w:r>
          </w:p>
        </w:tc>
        <w:tc>
          <w:tcPr>
            <w:tcW w:w="1250" w:type="pct"/>
            <w:shd w:val="clear" w:color="auto" w:fill="C1E4F5" w:themeFill="accent1" w:themeFillTint="33"/>
          </w:tcPr>
          <w:p w14:paraId="4BDBC7AF" w14:textId="7089375D" w:rsidR="00F42EA8" w:rsidRDefault="00F42EA8" w:rsidP="00F42EA8">
            <w:r w:rsidRPr="00C2250C">
              <w:rPr>
                <w:b/>
                <w:bCs/>
              </w:rPr>
              <w:t>Air quality monitoring results</w:t>
            </w:r>
          </w:p>
        </w:tc>
        <w:tc>
          <w:tcPr>
            <w:tcW w:w="1250" w:type="pct"/>
            <w:shd w:val="clear" w:color="auto" w:fill="C1E4F5" w:themeFill="accent1" w:themeFillTint="33"/>
          </w:tcPr>
          <w:p w14:paraId="4988689A" w14:textId="5B1DE751" w:rsidR="00F42EA8" w:rsidRDefault="00F42EA8" w:rsidP="00F42EA8">
            <w:r>
              <w:rPr>
                <w:b/>
                <w:bCs/>
              </w:rPr>
              <w:t>Traffic monitoring update for 2023</w:t>
            </w:r>
          </w:p>
        </w:tc>
      </w:tr>
      <w:tr w:rsidR="00F42EA8" w14:paraId="0EF275C2" w14:textId="77777777" w:rsidTr="00F42EA8">
        <w:tc>
          <w:tcPr>
            <w:tcW w:w="1250" w:type="pct"/>
          </w:tcPr>
          <w:p w14:paraId="5819313B" w14:textId="6658E4A6" w:rsidR="00F42EA8" w:rsidRDefault="00F42EA8" w:rsidP="00F42EA8">
            <w:r>
              <w:t>Whiteway Road</w:t>
            </w:r>
          </w:p>
        </w:tc>
        <w:tc>
          <w:tcPr>
            <w:tcW w:w="1250" w:type="pct"/>
          </w:tcPr>
          <w:p w14:paraId="59827F3F" w14:textId="4EEAB7F9" w:rsidR="00F42EA8" w:rsidRDefault="00F42EA8" w:rsidP="00F42EA8">
            <w:r>
              <w:t xml:space="preserve">Annual monitoring to continue. </w:t>
            </w:r>
          </w:p>
        </w:tc>
        <w:tc>
          <w:tcPr>
            <w:tcW w:w="1250" w:type="pct"/>
          </w:tcPr>
          <w:p w14:paraId="7E34FF02" w14:textId="77777777" w:rsidR="00F42EA8" w:rsidRDefault="005C2679" w:rsidP="00F42EA8">
            <w:r>
              <w:t xml:space="preserve">There are two diffusion tube locations situated along Whiteway Road. </w:t>
            </w:r>
          </w:p>
          <w:p w14:paraId="611DEFED" w14:textId="77777777" w:rsidR="005C2679" w:rsidRDefault="005C2679" w:rsidP="00F42EA8"/>
          <w:p w14:paraId="6F7519BC" w14:textId="77777777" w:rsidR="005C2679" w:rsidRDefault="005C2679" w:rsidP="00F42EA8">
            <w:pPr>
              <w:rPr>
                <w:szCs w:val="24"/>
              </w:rPr>
            </w:pPr>
            <w:r>
              <w:t>The 2023 annual NO</w:t>
            </w:r>
            <w:r>
              <w:rPr>
                <w:vertAlign w:val="subscript"/>
              </w:rPr>
              <w:t xml:space="preserve">2 </w:t>
            </w:r>
            <w:r>
              <w:t>concentration at Whiteway Road was 13</w:t>
            </w:r>
            <w:r w:rsidRPr="00C24321">
              <w:rPr>
                <w:szCs w:val="24"/>
              </w:rPr>
              <w:t xml:space="preserve"> μg/m</w:t>
            </w:r>
            <w:r w:rsidRPr="00C24321">
              <w:rPr>
                <w:szCs w:val="24"/>
                <w:vertAlign w:val="superscript"/>
              </w:rPr>
              <w:t>3</w:t>
            </w:r>
            <w:r>
              <w:rPr>
                <w:szCs w:val="24"/>
              </w:rPr>
              <w:t xml:space="preserve">. This has decreased from 18 </w:t>
            </w:r>
            <w:r w:rsidRPr="00C24321">
              <w:rPr>
                <w:szCs w:val="24"/>
              </w:rPr>
              <w:t>μg/m</w:t>
            </w:r>
            <w:r w:rsidRPr="00C24321">
              <w:rPr>
                <w:szCs w:val="24"/>
                <w:vertAlign w:val="superscript"/>
              </w:rPr>
              <w:t>3</w:t>
            </w:r>
            <w:r>
              <w:rPr>
                <w:szCs w:val="24"/>
                <w:vertAlign w:val="superscript"/>
              </w:rPr>
              <w:t xml:space="preserve"> </w:t>
            </w:r>
            <w:r>
              <w:rPr>
                <w:szCs w:val="24"/>
              </w:rPr>
              <w:t>in 2019.</w:t>
            </w:r>
          </w:p>
          <w:p w14:paraId="33D753AD" w14:textId="77777777" w:rsidR="005C2679" w:rsidRDefault="005C2679" w:rsidP="00F42EA8">
            <w:pPr>
              <w:rPr>
                <w:szCs w:val="24"/>
              </w:rPr>
            </w:pPr>
          </w:p>
          <w:p w14:paraId="7E58736B" w14:textId="2131C92E" w:rsidR="005C2679" w:rsidRPr="005C2679" w:rsidRDefault="005C2679" w:rsidP="00F42EA8">
            <w:pPr>
              <w:rPr>
                <w:szCs w:val="24"/>
              </w:rPr>
            </w:pPr>
            <w:r>
              <w:t>The 2023 annual NO</w:t>
            </w:r>
            <w:r>
              <w:rPr>
                <w:vertAlign w:val="subscript"/>
              </w:rPr>
              <w:t xml:space="preserve">2 </w:t>
            </w:r>
            <w:r>
              <w:t>concentration at Whiteway Road 2 was 16</w:t>
            </w:r>
            <w:r w:rsidRPr="00C24321">
              <w:rPr>
                <w:szCs w:val="24"/>
              </w:rPr>
              <w:t xml:space="preserve"> μg/m</w:t>
            </w:r>
            <w:r w:rsidRPr="00C24321">
              <w:rPr>
                <w:szCs w:val="24"/>
                <w:vertAlign w:val="superscript"/>
              </w:rPr>
              <w:t>3</w:t>
            </w:r>
            <w:r>
              <w:rPr>
                <w:szCs w:val="24"/>
              </w:rPr>
              <w:t xml:space="preserve">. This has decreased from 25 </w:t>
            </w:r>
            <w:r w:rsidRPr="00C24321">
              <w:rPr>
                <w:szCs w:val="24"/>
              </w:rPr>
              <w:t>μg/m</w:t>
            </w:r>
            <w:r w:rsidRPr="00C24321">
              <w:rPr>
                <w:szCs w:val="24"/>
                <w:vertAlign w:val="superscript"/>
              </w:rPr>
              <w:t>3</w:t>
            </w:r>
            <w:r>
              <w:rPr>
                <w:szCs w:val="24"/>
                <w:vertAlign w:val="superscript"/>
              </w:rPr>
              <w:t xml:space="preserve"> </w:t>
            </w:r>
            <w:r>
              <w:rPr>
                <w:szCs w:val="24"/>
              </w:rPr>
              <w:t xml:space="preserve">in 2019. </w:t>
            </w:r>
          </w:p>
        </w:tc>
        <w:tc>
          <w:tcPr>
            <w:tcW w:w="1250" w:type="pct"/>
          </w:tcPr>
          <w:p w14:paraId="504BEDC0" w14:textId="77777777" w:rsidR="00F42EA8" w:rsidRDefault="005C2679" w:rsidP="00F42EA8">
            <w:r>
              <w:t>The primary concern along Whiteway Road was the perceived increase in HGV volumes following the launch of the CAZ.</w:t>
            </w:r>
          </w:p>
          <w:p w14:paraId="120DDA91" w14:textId="77777777" w:rsidR="00275A88" w:rsidRDefault="00275A88" w:rsidP="00F42EA8"/>
          <w:p w14:paraId="42C46907" w14:textId="77777777" w:rsidR="00275A88" w:rsidRDefault="00275A88" w:rsidP="00F42EA8">
            <w:r>
              <w:t xml:space="preserve">In 2022, the total number of HGVs remained almost identical to the pre-CAZ baseline, with HGVs making up around 4% of total traffic. </w:t>
            </w:r>
          </w:p>
          <w:p w14:paraId="4263D328" w14:textId="77777777" w:rsidR="00275A88" w:rsidRDefault="00275A88" w:rsidP="00F42EA8"/>
          <w:p w14:paraId="72AA2D5B" w14:textId="77777777" w:rsidR="00275A88" w:rsidRDefault="00275A88" w:rsidP="00F42EA8">
            <w:r>
              <w:t xml:space="preserve">A monitoring survey conducted in November 2023 shows these volumes have decreased when compared to 2022 and thus the pre-CAZ baseline. </w:t>
            </w:r>
          </w:p>
          <w:p w14:paraId="7E68DFFF" w14:textId="77777777" w:rsidR="00275A88" w:rsidRDefault="00275A88" w:rsidP="00F42EA8">
            <w:r>
              <w:lastRenderedPageBreak/>
              <w:t xml:space="preserve">This location will continue to be monitored and reviewed annually. </w:t>
            </w:r>
          </w:p>
          <w:p w14:paraId="2250C06A" w14:textId="57B3D1C8" w:rsidR="00756401" w:rsidRDefault="00756401" w:rsidP="00F42EA8"/>
        </w:tc>
      </w:tr>
      <w:tr w:rsidR="00F42EA8" w14:paraId="01816FA3" w14:textId="77777777" w:rsidTr="00F42EA8">
        <w:tc>
          <w:tcPr>
            <w:tcW w:w="1250" w:type="pct"/>
          </w:tcPr>
          <w:p w14:paraId="069C3F63" w14:textId="293601AD" w:rsidR="00F42EA8" w:rsidRDefault="00F42EA8" w:rsidP="00F42EA8">
            <w:r>
              <w:lastRenderedPageBreak/>
              <w:t>Lansdown Lane</w:t>
            </w:r>
          </w:p>
        </w:tc>
        <w:tc>
          <w:tcPr>
            <w:tcW w:w="1250" w:type="pct"/>
          </w:tcPr>
          <w:p w14:paraId="33387D60" w14:textId="7A35ACA6" w:rsidR="00F42EA8" w:rsidRDefault="00F42EA8" w:rsidP="00F42EA8">
            <w:r>
              <w:t>Annual monitoring to continue.</w:t>
            </w:r>
          </w:p>
        </w:tc>
        <w:tc>
          <w:tcPr>
            <w:tcW w:w="1250" w:type="pct"/>
          </w:tcPr>
          <w:p w14:paraId="192E9F7F" w14:textId="5975AFF1" w:rsidR="00F42EA8" w:rsidRDefault="005C2679" w:rsidP="00F42EA8">
            <w:r>
              <w:t>The 2023 annual NO</w:t>
            </w:r>
            <w:r>
              <w:rPr>
                <w:vertAlign w:val="subscript"/>
              </w:rPr>
              <w:t xml:space="preserve">2 </w:t>
            </w:r>
            <w:r>
              <w:t>concentration at Lansdown Lane was 17</w:t>
            </w:r>
            <w:r w:rsidRPr="00C24321">
              <w:rPr>
                <w:szCs w:val="24"/>
              </w:rPr>
              <w:t xml:space="preserve"> μg/m</w:t>
            </w:r>
            <w:r w:rsidRPr="00C24321">
              <w:rPr>
                <w:szCs w:val="24"/>
                <w:vertAlign w:val="superscript"/>
              </w:rPr>
              <w:t>3</w:t>
            </w:r>
            <w:r>
              <w:rPr>
                <w:szCs w:val="24"/>
              </w:rPr>
              <w:t xml:space="preserve">. This has decreased from 21 </w:t>
            </w:r>
            <w:r w:rsidRPr="00C24321">
              <w:rPr>
                <w:szCs w:val="24"/>
              </w:rPr>
              <w:t>μg/m</w:t>
            </w:r>
            <w:r w:rsidRPr="00C24321">
              <w:rPr>
                <w:szCs w:val="24"/>
                <w:vertAlign w:val="superscript"/>
              </w:rPr>
              <w:t>3</w:t>
            </w:r>
            <w:r>
              <w:rPr>
                <w:szCs w:val="24"/>
                <w:vertAlign w:val="superscript"/>
              </w:rPr>
              <w:t xml:space="preserve"> </w:t>
            </w:r>
            <w:r>
              <w:rPr>
                <w:szCs w:val="24"/>
              </w:rPr>
              <w:t>in 2019.</w:t>
            </w:r>
          </w:p>
        </w:tc>
        <w:tc>
          <w:tcPr>
            <w:tcW w:w="1250" w:type="pct"/>
          </w:tcPr>
          <w:p w14:paraId="10A54AAA" w14:textId="77777777" w:rsidR="00F42EA8" w:rsidRDefault="00275A88" w:rsidP="00F42EA8">
            <w:r>
              <w:t xml:space="preserve">The primary concern along Lansdown Lane was the perceived increase in non-compliant vehicles. Whilst ATC surveys do not gather compliance data, they do provide an insight into the total number of vehicles using the area, with air quality monitoring also informing us of any increases in pollution. </w:t>
            </w:r>
          </w:p>
          <w:p w14:paraId="711F8D12" w14:textId="77777777" w:rsidR="00275A88" w:rsidRDefault="00275A88" w:rsidP="00F42EA8"/>
          <w:p w14:paraId="19E00390" w14:textId="3F51463B" w:rsidR="00275A88" w:rsidRDefault="00275A88" w:rsidP="00F42EA8">
            <w:r>
              <w:t>A monitoring survey conducted in November 2023 found both the 5-day and 7-day average total traffic volumes to be lower than in 2018 and 2019, both pre-CAZ implementation. Nitrogen dioxide concentration</w:t>
            </w:r>
            <w:r w:rsidR="003D27C6">
              <w:t>s</w:t>
            </w:r>
            <w:r>
              <w:t xml:space="preserve"> are also continuing to </w:t>
            </w:r>
            <w:r w:rsidR="003D27C6">
              <w:t>decrease, remaining</w:t>
            </w:r>
            <w:r>
              <w:t xml:space="preserve"> below the objective.</w:t>
            </w:r>
          </w:p>
          <w:p w14:paraId="00FC921F" w14:textId="77777777" w:rsidR="00275A88" w:rsidRDefault="00275A88" w:rsidP="00F42EA8"/>
          <w:p w14:paraId="2CA999E3" w14:textId="3F6D6478" w:rsidR="00275A88" w:rsidRDefault="00275A88" w:rsidP="00F42EA8">
            <w:r>
              <w:t>This location will continue to be monitored and reviewed annually.</w:t>
            </w:r>
          </w:p>
        </w:tc>
      </w:tr>
      <w:tr w:rsidR="00F42EA8" w14:paraId="0C677713" w14:textId="77777777" w:rsidTr="00F42EA8">
        <w:tc>
          <w:tcPr>
            <w:tcW w:w="1250" w:type="pct"/>
          </w:tcPr>
          <w:p w14:paraId="5DA46F58" w14:textId="711D0A18" w:rsidR="00F42EA8" w:rsidRDefault="00F42EA8" w:rsidP="00F42EA8">
            <w:r>
              <w:lastRenderedPageBreak/>
              <w:t xml:space="preserve">Oldfield Park (Moorland Road) </w:t>
            </w:r>
          </w:p>
        </w:tc>
        <w:tc>
          <w:tcPr>
            <w:tcW w:w="1250" w:type="pct"/>
          </w:tcPr>
          <w:p w14:paraId="0850667A" w14:textId="7763B731" w:rsidR="00F42EA8" w:rsidRDefault="00F42EA8" w:rsidP="00F42EA8">
            <w:r>
              <w:t xml:space="preserve">Annual monitoring to continue. </w:t>
            </w:r>
          </w:p>
        </w:tc>
        <w:tc>
          <w:tcPr>
            <w:tcW w:w="1250" w:type="pct"/>
          </w:tcPr>
          <w:p w14:paraId="0F781DA8" w14:textId="0CB820C9" w:rsidR="00F42EA8" w:rsidRDefault="005C2679" w:rsidP="00F42EA8">
            <w:r>
              <w:t>The 2023 annual NO</w:t>
            </w:r>
            <w:r>
              <w:rPr>
                <w:vertAlign w:val="subscript"/>
              </w:rPr>
              <w:t xml:space="preserve">2 </w:t>
            </w:r>
            <w:r>
              <w:t>concentration at Moorland Road was 15</w:t>
            </w:r>
            <w:r w:rsidRPr="00C24321">
              <w:rPr>
                <w:szCs w:val="24"/>
              </w:rPr>
              <w:t xml:space="preserve"> μg/m</w:t>
            </w:r>
            <w:r w:rsidRPr="00C24321">
              <w:rPr>
                <w:szCs w:val="24"/>
                <w:vertAlign w:val="superscript"/>
              </w:rPr>
              <w:t>3</w:t>
            </w:r>
            <w:r>
              <w:rPr>
                <w:szCs w:val="24"/>
              </w:rPr>
              <w:t xml:space="preserve">. This has decreased from 22 </w:t>
            </w:r>
            <w:r w:rsidRPr="00C24321">
              <w:rPr>
                <w:szCs w:val="24"/>
              </w:rPr>
              <w:t>μg/m</w:t>
            </w:r>
            <w:r w:rsidRPr="00C24321">
              <w:rPr>
                <w:szCs w:val="24"/>
                <w:vertAlign w:val="superscript"/>
              </w:rPr>
              <w:t>3</w:t>
            </w:r>
            <w:r>
              <w:rPr>
                <w:szCs w:val="24"/>
                <w:vertAlign w:val="superscript"/>
              </w:rPr>
              <w:t xml:space="preserve"> </w:t>
            </w:r>
            <w:r>
              <w:rPr>
                <w:szCs w:val="24"/>
              </w:rPr>
              <w:t>in 2019.</w:t>
            </w:r>
          </w:p>
        </w:tc>
        <w:tc>
          <w:tcPr>
            <w:tcW w:w="1250" w:type="pct"/>
          </w:tcPr>
          <w:p w14:paraId="4BA84B6D" w14:textId="77777777" w:rsidR="00F42EA8" w:rsidRDefault="003D27C6" w:rsidP="00F42EA8">
            <w:r>
              <w:t>The primary concern along Moorland Road was the perceived increase in HGVs following the introduction of the CAZ.</w:t>
            </w:r>
          </w:p>
          <w:p w14:paraId="63B8216E" w14:textId="77777777" w:rsidR="003D27C6" w:rsidRDefault="003D27C6" w:rsidP="00F42EA8"/>
          <w:p w14:paraId="09D307C8" w14:textId="77777777" w:rsidR="003D27C6" w:rsidRDefault="003D27C6" w:rsidP="00F42EA8">
            <w:r>
              <w:t xml:space="preserve">A survey was conducted along Moorland Road in November 2023 which found total HGV volumes to be 60% lower than those volumes recorded in 2019. HGV volumes remained near identical to those recorded in 2022 and 2021.  </w:t>
            </w:r>
          </w:p>
          <w:p w14:paraId="09D0B238" w14:textId="77777777" w:rsidR="003D27C6" w:rsidRDefault="003D27C6" w:rsidP="00F42EA8"/>
          <w:p w14:paraId="2424C619" w14:textId="77777777" w:rsidR="003D27C6" w:rsidRDefault="003D27C6" w:rsidP="00F42EA8">
            <w:r>
              <w:t xml:space="preserve">This location will continue to be monitored and reviewed annually. </w:t>
            </w:r>
          </w:p>
          <w:p w14:paraId="0E166683" w14:textId="02744C37" w:rsidR="00756401" w:rsidRDefault="00756401" w:rsidP="00F42EA8"/>
        </w:tc>
      </w:tr>
    </w:tbl>
    <w:p w14:paraId="7F5E5B83" w14:textId="77777777" w:rsidR="00F42EA8" w:rsidRDefault="00F42EA8"/>
    <w:p w14:paraId="5E6DCF2A" w14:textId="77777777" w:rsidR="00F42EA8" w:rsidRDefault="00F42EA8"/>
    <w:p w14:paraId="0F945571" w14:textId="77777777" w:rsidR="00F42EA8" w:rsidRDefault="00F42EA8"/>
    <w:p w14:paraId="0428A3B8" w14:textId="77777777" w:rsidR="00F42EA8" w:rsidRDefault="00F42EA8"/>
    <w:p w14:paraId="544C453C" w14:textId="77777777" w:rsidR="00F42EA8" w:rsidRDefault="00F42EA8"/>
    <w:p w14:paraId="2D74DCFD" w14:textId="77777777" w:rsidR="00F42EA8" w:rsidRDefault="00F42EA8"/>
    <w:p w14:paraId="1C07A07C" w14:textId="77777777" w:rsidR="00F42EA8" w:rsidRDefault="00F42EA8"/>
    <w:p w14:paraId="4215A68C" w14:textId="31D067AD" w:rsidR="008E7846" w:rsidRDefault="00F42EA8" w:rsidP="008E7846">
      <w:r>
        <w:lastRenderedPageBreak/>
        <w:t xml:space="preserve">Table </w:t>
      </w:r>
      <w:r w:rsidR="00B65233">
        <w:t>2</w:t>
      </w:r>
      <w:r>
        <w:t xml:space="preserve">: Further locations of investigation, reporting the results of ATC monitoring for 2023. The results of the previous monitoring surveys, as detailed in the 2022 Traffic Displacement Appendix, can be viewed via the following link: </w:t>
      </w:r>
      <w:hyperlink r:id="rId10" w:history="1">
        <w:r w:rsidRPr="00F1689A">
          <w:rPr>
            <w:rStyle w:val="Hyperlink"/>
          </w:rPr>
          <w:t>https://beta.bathnes.gov.uk/sites/default/files/Appendix%202%20-%20Investigating%20traffic%20displacement%20concerns%20Q3%202022.pdf</w:t>
        </w:r>
      </w:hyperlink>
      <w:r>
        <w:t xml:space="preserve"> </w:t>
      </w:r>
    </w:p>
    <w:tbl>
      <w:tblPr>
        <w:tblStyle w:val="TableGrid"/>
        <w:tblW w:w="0" w:type="auto"/>
        <w:tblLook w:val="04A0" w:firstRow="1" w:lastRow="0" w:firstColumn="1" w:lastColumn="0" w:noHBand="0" w:noVBand="1"/>
      </w:tblPr>
      <w:tblGrid>
        <w:gridCol w:w="3487"/>
        <w:gridCol w:w="3487"/>
        <w:gridCol w:w="3487"/>
        <w:gridCol w:w="3487"/>
      </w:tblGrid>
      <w:tr w:rsidR="008E7846" w14:paraId="0338F4FD" w14:textId="77777777" w:rsidTr="008E7846">
        <w:trPr>
          <w:tblHeader/>
        </w:trPr>
        <w:tc>
          <w:tcPr>
            <w:tcW w:w="3487" w:type="dxa"/>
            <w:shd w:val="clear" w:color="auto" w:fill="C1E4F5" w:themeFill="accent1" w:themeFillTint="33"/>
          </w:tcPr>
          <w:p w14:paraId="1777FF9F" w14:textId="02C09CDF" w:rsidR="008E7846" w:rsidRPr="008E7846" w:rsidRDefault="008E7846" w:rsidP="008E7846">
            <w:pPr>
              <w:rPr>
                <w:b/>
                <w:bCs/>
              </w:rPr>
            </w:pPr>
            <w:r w:rsidRPr="008E7846">
              <w:rPr>
                <w:b/>
                <w:bCs/>
              </w:rPr>
              <w:t>Area of investigation</w:t>
            </w:r>
          </w:p>
        </w:tc>
        <w:tc>
          <w:tcPr>
            <w:tcW w:w="3487" w:type="dxa"/>
            <w:shd w:val="clear" w:color="auto" w:fill="C1E4F5" w:themeFill="accent1" w:themeFillTint="33"/>
          </w:tcPr>
          <w:p w14:paraId="71964150" w14:textId="0BE078F3" w:rsidR="008E7846" w:rsidRPr="008E7846" w:rsidRDefault="008E7846" w:rsidP="008E7846">
            <w:pPr>
              <w:rPr>
                <w:b/>
                <w:bCs/>
              </w:rPr>
            </w:pPr>
            <w:r w:rsidRPr="008E7846">
              <w:rPr>
                <w:b/>
                <w:bCs/>
              </w:rPr>
              <w:t>Status</w:t>
            </w:r>
          </w:p>
        </w:tc>
        <w:tc>
          <w:tcPr>
            <w:tcW w:w="3487" w:type="dxa"/>
            <w:shd w:val="clear" w:color="auto" w:fill="C1E4F5" w:themeFill="accent1" w:themeFillTint="33"/>
          </w:tcPr>
          <w:p w14:paraId="2C549000" w14:textId="680EFFB1" w:rsidR="008E7846" w:rsidRPr="008E7846" w:rsidRDefault="008E7846" w:rsidP="008E7846">
            <w:pPr>
              <w:rPr>
                <w:b/>
                <w:bCs/>
              </w:rPr>
            </w:pPr>
            <w:r w:rsidRPr="008E7846">
              <w:rPr>
                <w:b/>
                <w:bCs/>
              </w:rPr>
              <w:t>Air quality monitoring results</w:t>
            </w:r>
          </w:p>
        </w:tc>
        <w:tc>
          <w:tcPr>
            <w:tcW w:w="3487" w:type="dxa"/>
            <w:shd w:val="clear" w:color="auto" w:fill="C1E4F5" w:themeFill="accent1" w:themeFillTint="33"/>
          </w:tcPr>
          <w:p w14:paraId="4325263E" w14:textId="22195612" w:rsidR="008E7846" w:rsidRPr="008E7846" w:rsidRDefault="008E7846" w:rsidP="008E7846">
            <w:pPr>
              <w:rPr>
                <w:b/>
                <w:bCs/>
              </w:rPr>
            </w:pPr>
            <w:r w:rsidRPr="008E7846">
              <w:rPr>
                <w:b/>
                <w:bCs/>
              </w:rPr>
              <w:t>Traffic monitoring update for 2023</w:t>
            </w:r>
          </w:p>
        </w:tc>
      </w:tr>
      <w:tr w:rsidR="008E7846" w14:paraId="27B2C357" w14:textId="77777777" w:rsidTr="008E7846">
        <w:tc>
          <w:tcPr>
            <w:tcW w:w="3487" w:type="dxa"/>
          </w:tcPr>
          <w:p w14:paraId="3B1B46EE" w14:textId="4D3C7361" w:rsidR="008E7846" w:rsidRDefault="008E7846" w:rsidP="008E7846">
            <w:pPr>
              <w:rPr>
                <w:color w:val="467886" w:themeColor="hyperlink"/>
                <w:u w:val="single"/>
              </w:rPr>
            </w:pPr>
            <w:r>
              <w:t>Charlcombe Lane</w:t>
            </w:r>
          </w:p>
        </w:tc>
        <w:tc>
          <w:tcPr>
            <w:tcW w:w="3487" w:type="dxa"/>
          </w:tcPr>
          <w:p w14:paraId="207CFB12" w14:textId="23233C23" w:rsidR="008E7846" w:rsidRDefault="008E7846" w:rsidP="008E7846">
            <w:pPr>
              <w:rPr>
                <w:color w:val="467886" w:themeColor="hyperlink"/>
                <w:u w:val="single"/>
              </w:rPr>
            </w:pPr>
            <w:r>
              <w:t xml:space="preserve">Annual monitoring to continue. </w:t>
            </w:r>
          </w:p>
        </w:tc>
        <w:tc>
          <w:tcPr>
            <w:tcW w:w="3487" w:type="dxa"/>
          </w:tcPr>
          <w:p w14:paraId="75B8AD83" w14:textId="19C6D3C6" w:rsidR="008E7846" w:rsidRDefault="008E7846" w:rsidP="008E7846">
            <w:pPr>
              <w:rPr>
                <w:color w:val="467886" w:themeColor="hyperlink"/>
                <w:u w:val="single"/>
              </w:rPr>
            </w:pPr>
            <w:r>
              <w:t>The 2023 annual NO</w:t>
            </w:r>
            <w:r>
              <w:rPr>
                <w:vertAlign w:val="subscript"/>
              </w:rPr>
              <w:t xml:space="preserve">2 </w:t>
            </w:r>
            <w:r>
              <w:t>concentration at Charlcombe Lane was 9</w:t>
            </w:r>
            <w:r w:rsidRPr="00C24321">
              <w:rPr>
                <w:szCs w:val="24"/>
              </w:rPr>
              <w:t xml:space="preserve"> μg/m</w:t>
            </w:r>
            <w:r w:rsidRPr="00C24321">
              <w:rPr>
                <w:szCs w:val="24"/>
                <w:vertAlign w:val="superscript"/>
              </w:rPr>
              <w:t>3</w:t>
            </w:r>
            <w:r>
              <w:rPr>
                <w:szCs w:val="24"/>
              </w:rPr>
              <w:t xml:space="preserve">. This has decreased from 14 </w:t>
            </w:r>
            <w:r w:rsidRPr="00C24321">
              <w:rPr>
                <w:szCs w:val="24"/>
              </w:rPr>
              <w:t>μg/m</w:t>
            </w:r>
            <w:r w:rsidRPr="00C24321">
              <w:rPr>
                <w:szCs w:val="24"/>
                <w:vertAlign w:val="superscript"/>
              </w:rPr>
              <w:t>3</w:t>
            </w:r>
            <w:r>
              <w:rPr>
                <w:szCs w:val="24"/>
                <w:vertAlign w:val="superscript"/>
              </w:rPr>
              <w:t xml:space="preserve"> </w:t>
            </w:r>
            <w:r>
              <w:rPr>
                <w:szCs w:val="24"/>
              </w:rPr>
              <w:t xml:space="preserve">in 2019. </w:t>
            </w:r>
          </w:p>
        </w:tc>
        <w:tc>
          <w:tcPr>
            <w:tcW w:w="3487" w:type="dxa"/>
          </w:tcPr>
          <w:p w14:paraId="7BB70A39" w14:textId="77777777" w:rsidR="008E7846" w:rsidRDefault="008E7846" w:rsidP="008E7846">
            <w:r>
              <w:t xml:space="preserve">Monitoring along Charlcombe Lane took place in November 2023. Weekday traffic volumes were on average 33% </w:t>
            </w:r>
            <w:r w:rsidRPr="00CD0166">
              <w:rPr>
                <w:b/>
                <w:bCs/>
              </w:rPr>
              <w:t>lower</w:t>
            </w:r>
            <w:r>
              <w:t xml:space="preserve"> than the 2019 baseline. </w:t>
            </w:r>
          </w:p>
          <w:p w14:paraId="38102EDC" w14:textId="77777777" w:rsidR="008E7846" w:rsidRDefault="008E7846" w:rsidP="008E7846">
            <w:r>
              <w:t xml:space="preserve">Additionally, volumes were 13% </w:t>
            </w:r>
            <w:r w:rsidRPr="00CD0166">
              <w:rPr>
                <w:b/>
                <w:bCs/>
              </w:rPr>
              <w:t>lower</w:t>
            </w:r>
            <w:r>
              <w:t xml:space="preserve"> than the same period in 2022. </w:t>
            </w:r>
          </w:p>
          <w:p w14:paraId="5FE27507" w14:textId="77777777" w:rsidR="008E7846" w:rsidRDefault="008E7846" w:rsidP="008E7846"/>
          <w:p w14:paraId="113A017C" w14:textId="77777777" w:rsidR="00275A88" w:rsidRDefault="008E7846" w:rsidP="008E7846">
            <w:r>
              <w:t>This location will continue to be monitored and reviewed annually.</w:t>
            </w:r>
          </w:p>
          <w:p w14:paraId="48E581D6" w14:textId="0EE56400" w:rsidR="008E7846" w:rsidRDefault="008E7846" w:rsidP="008E7846">
            <w:pPr>
              <w:rPr>
                <w:color w:val="467886" w:themeColor="hyperlink"/>
                <w:u w:val="single"/>
              </w:rPr>
            </w:pPr>
            <w:r>
              <w:t xml:space="preserve">    </w:t>
            </w:r>
          </w:p>
        </w:tc>
      </w:tr>
      <w:tr w:rsidR="008E7846" w14:paraId="477CC77F" w14:textId="77777777" w:rsidTr="008E7846">
        <w:tc>
          <w:tcPr>
            <w:tcW w:w="3487" w:type="dxa"/>
          </w:tcPr>
          <w:p w14:paraId="0FFC96DB" w14:textId="45A5B350" w:rsidR="008E7846" w:rsidRDefault="008E7846" w:rsidP="008E7846">
            <w:pPr>
              <w:rPr>
                <w:color w:val="467886" w:themeColor="hyperlink"/>
                <w:u w:val="single"/>
              </w:rPr>
            </w:pPr>
            <w:r>
              <w:t>Upper Camden Place</w:t>
            </w:r>
          </w:p>
        </w:tc>
        <w:tc>
          <w:tcPr>
            <w:tcW w:w="3487" w:type="dxa"/>
          </w:tcPr>
          <w:p w14:paraId="68341683" w14:textId="00DCE7B9" w:rsidR="008E7846" w:rsidRDefault="008E7846" w:rsidP="008E7846">
            <w:pPr>
              <w:rPr>
                <w:color w:val="467886" w:themeColor="hyperlink"/>
                <w:u w:val="single"/>
              </w:rPr>
            </w:pPr>
            <w:r>
              <w:t>Annual monitoring to continue.</w:t>
            </w:r>
          </w:p>
        </w:tc>
        <w:tc>
          <w:tcPr>
            <w:tcW w:w="3487" w:type="dxa"/>
          </w:tcPr>
          <w:p w14:paraId="3150A051" w14:textId="446F1928" w:rsidR="008E7846" w:rsidRDefault="008E7846" w:rsidP="008E7846">
            <w:pPr>
              <w:rPr>
                <w:color w:val="467886" w:themeColor="hyperlink"/>
                <w:u w:val="single"/>
              </w:rPr>
            </w:pPr>
            <w:r>
              <w:t>The 2023 annual NO</w:t>
            </w:r>
            <w:r>
              <w:rPr>
                <w:vertAlign w:val="subscript"/>
              </w:rPr>
              <w:t xml:space="preserve">2 </w:t>
            </w:r>
            <w:r>
              <w:t xml:space="preserve">concentration at </w:t>
            </w:r>
            <w:r w:rsidR="003B7BC0">
              <w:t>Upper Camden Place</w:t>
            </w:r>
            <w:r>
              <w:t xml:space="preserve"> was 15</w:t>
            </w:r>
            <w:r w:rsidRPr="00C24321">
              <w:rPr>
                <w:szCs w:val="24"/>
              </w:rPr>
              <w:t xml:space="preserve"> μg/m</w:t>
            </w:r>
            <w:r w:rsidRPr="00C24321">
              <w:rPr>
                <w:szCs w:val="24"/>
                <w:vertAlign w:val="superscript"/>
              </w:rPr>
              <w:t>3</w:t>
            </w:r>
            <w:r>
              <w:rPr>
                <w:szCs w:val="24"/>
              </w:rPr>
              <w:t xml:space="preserve">. This has decreased from 25 </w:t>
            </w:r>
            <w:r w:rsidRPr="00C24321">
              <w:rPr>
                <w:szCs w:val="24"/>
              </w:rPr>
              <w:t>μg/m</w:t>
            </w:r>
            <w:r w:rsidRPr="00C24321">
              <w:rPr>
                <w:szCs w:val="24"/>
                <w:vertAlign w:val="superscript"/>
              </w:rPr>
              <w:t>3</w:t>
            </w:r>
            <w:r>
              <w:rPr>
                <w:szCs w:val="24"/>
                <w:vertAlign w:val="superscript"/>
              </w:rPr>
              <w:t xml:space="preserve"> </w:t>
            </w:r>
            <w:r>
              <w:rPr>
                <w:szCs w:val="24"/>
              </w:rPr>
              <w:t>in 2019.</w:t>
            </w:r>
          </w:p>
        </w:tc>
        <w:tc>
          <w:tcPr>
            <w:tcW w:w="3487" w:type="dxa"/>
          </w:tcPr>
          <w:p w14:paraId="137381ED" w14:textId="77777777" w:rsidR="008E7846" w:rsidRDefault="008E7846" w:rsidP="008E7846">
            <w:r>
              <w:t xml:space="preserve">This location is one that had previously been affected by the closure of Cleveland Bridge. </w:t>
            </w:r>
          </w:p>
          <w:p w14:paraId="514C1F23" w14:textId="77777777" w:rsidR="008E7846" w:rsidRDefault="008E7846" w:rsidP="008E7846"/>
          <w:p w14:paraId="70536AD6" w14:textId="77777777" w:rsidR="008E7846" w:rsidRDefault="008E7846" w:rsidP="008E7846">
            <w:r>
              <w:t xml:space="preserve">Since the full reopening of the bridge (subject to an 18-tonne weight restriction), weekday traffic volumes recorded in November 2023 are almost identical to those recorded in </w:t>
            </w:r>
            <w:r>
              <w:lastRenderedPageBreak/>
              <w:t xml:space="preserve">2019. When compared to the same period in 2022, traffic volumes have </w:t>
            </w:r>
            <w:r w:rsidRPr="00CD0166">
              <w:rPr>
                <w:b/>
                <w:bCs/>
              </w:rPr>
              <w:t>decreased</w:t>
            </w:r>
            <w:r>
              <w:t xml:space="preserve"> by 3%. </w:t>
            </w:r>
          </w:p>
          <w:p w14:paraId="4B368DE0" w14:textId="77777777" w:rsidR="008E7846" w:rsidRDefault="008E7846" w:rsidP="008E7846"/>
          <w:p w14:paraId="33EE6669" w14:textId="77777777" w:rsidR="008E7846" w:rsidRDefault="008E7846" w:rsidP="008E7846">
            <w:r>
              <w:t xml:space="preserve">This location will continue to be monitored and reviewed annually. </w:t>
            </w:r>
          </w:p>
          <w:p w14:paraId="7D231F82" w14:textId="06EDA737" w:rsidR="00275A88" w:rsidRDefault="00275A88" w:rsidP="008E7846">
            <w:pPr>
              <w:rPr>
                <w:color w:val="467886" w:themeColor="hyperlink"/>
                <w:u w:val="single"/>
              </w:rPr>
            </w:pPr>
          </w:p>
        </w:tc>
      </w:tr>
      <w:tr w:rsidR="008E7846" w14:paraId="3CCAA885" w14:textId="77777777" w:rsidTr="008E7846">
        <w:tc>
          <w:tcPr>
            <w:tcW w:w="3487" w:type="dxa"/>
          </w:tcPr>
          <w:p w14:paraId="18FE23FD" w14:textId="66349E7A" w:rsidR="008E7846" w:rsidRDefault="008E7846" w:rsidP="008E7846">
            <w:pPr>
              <w:rPr>
                <w:color w:val="467886" w:themeColor="hyperlink"/>
                <w:u w:val="single"/>
              </w:rPr>
            </w:pPr>
            <w:r>
              <w:lastRenderedPageBreak/>
              <w:t>Shophouse Road</w:t>
            </w:r>
          </w:p>
        </w:tc>
        <w:tc>
          <w:tcPr>
            <w:tcW w:w="3487" w:type="dxa"/>
          </w:tcPr>
          <w:p w14:paraId="68B75402" w14:textId="0BB0A2B0" w:rsidR="008E7846" w:rsidRDefault="008E7846" w:rsidP="008E7846">
            <w:pPr>
              <w:rPr>
                <w:color w:val="467886" w:themeColor="hyperlink"/>
                <w:u w:val="single"/>
              </w:rPr>
            </w:pPr>
            <w:r>
              <w:t>Annual monitoring to continue.</w:t>
            </w:r>
          </w:p>
        </w:tc>
        <w:tc>
          <w:tcPr>
            <w:tcW w:w="3487" w:type="dxa"/>
          </w:tcPr>
          <w:p w14:paraId="125DF0CA" w14:textId="77777777" w:rsidR="008E7846" w:rsidRDefault="008E7846" w:rsidP="008E7846">
            <w:r>
              <w:t xml:space="preserve">The nearest monitoring site to Shophouse Road was The Hollow. </w:t>
            </w:r>
          </w:p>
          <w:p w14:paraId="38EB275C" w14:textId="77777777" w:rsidR="008E7846" w:rsidRDefault="008E7846" w:rsidP="008E7846"/>
          <w:p w14:paraId="5C1ECC48" w14:textId="3051D42E" w:rsidR="008E7846" w:rsidRDefault="008E7846" w:rsidP="008E7846">
            <w:pPr>
              <w:rPr>
                <w:color w:val="467886" w:themeColor="hyperlink"/>
                <w:u w:val="single"/>
              </w:rPr>
            </w:pPr>
            <w:r>
              <w:t>The 2023 annual NO</w:t>
            </w:r>
            <w:r>
              <w:rPr>
                <w:vertAlign w:val="subscript"/>
              </w:rPr>
              <w:t xml:space="preserve">2 </w:t>
            </w:r>
            <w:r>
              <w:t>concentration at this location was 16</w:t>
            </w:r>
            <w:r w:rsidRPr="00C24321">
              <w:rPr>
                <w:szCs w:val="24"/>
              </w:rPr>
              <w:t xml:space="preserve"> μg/m</w:t>
            </w:r>
            <w:r w:rsidRPr="00C24321">
              <w:rPr>
                <w:szCs w:val="24"/>
                <w:vertAlign w:val="superscript"/>
              </w:rPr>
              <w:t>3</w:t>
            </w:r>
            <w:r>
              <w:rPr>
                <w:szCs w:val="24"/>
              </w:rPr>
              <w:t xml:space="preserve">. This has decreased from 24 </w:t>
            </w:r>
            <w:r w:rsidRPr="00C24321">
              <w:rPr>
                <w:szCs w:val="24"/>
              </w:rPr>
              <w:t>μg/m</w:t>
            </w:r>
            <w:r w:rsidRPr="00C24321">
              <w:rPr>
                <w:szCs w:val="24"/>
                <w:vertAlign w:val="superscript"/>
              </w:rPr>
              <w:t>3</w:t>
            </w:r>
            <w:r>
              <w:rPr>
                <w:szCs w:val="24"/>
                <w:vertAlign w:val="superscript"/>
              </w:rPr>
              <w:t xml:space="preserve"> </w:t>
            </w:r>
            <w:r>
              <w:rPr>
                <w:szCs w:val="24"/>
              </w:rPr>
              <w:t>in 2019.</w:t>
            </w:r>
          </w:p>
        </w:tc>
        <w:tc>
          <w:tcPr>
            <w:tcW w:w="3487" w:type="dxa"/>
          </w:tcPr>
          <w:p w14:paraId="107B9A61" w14:textId="7E4A893A" w:rsidR="008E7846" w:rsidRPr="009A1BC7" w:rsidRDefault="009A1BC7" w:rsidP="008E7846">
            <w:r w:rsidRPr="009A1BC7">
              <w:t xml:space="preserve">A monitoring survey was conducted along Shophouse Road in November 2023. The 7-day average traffic volumes remain </w:t>
            </w:r>
            <w:r w:rsidRPr="00CD0166">
              <w:rPr>
                <w:b/>
                <w:bCs/>
              </w:rPr>
              <w:t>increased</w:t>
            </w:r>
            <w:r w:rsidRPr="009A1BC7">
              <w:t xml:space="preserve"> when compared to a 2019 pre-CAZ baseline. However, the total volume of HGVs has </w:t>
            </w:r>
            <w:r w:rsidRPr="00CD0166">
              <w:rPr>
                <w:b/>
                <w:bCs/>
              </w:rPr>
              <w:t>decreased</w:t>
            </w:r>
            <w:r w:rsidRPr="009A1BC7">
              <w:t xml:space="preserve"> in 2023 when compared to 2019. </w:t>
            </w:r>
          </w:p>
          <w:p w14:paraId="313C15F8" w14:textId="0E2E200D" w:rsidR="009A1BC7" w:rsidRPr="009A1BC7" w:rsidRDefault="009A1BC7" w:rsidP="008E7846"/>
          <w:p w14:paraId="2B4C6AED" w14:textId="1992FD05" w:rsidR="009A1BC7" w:rsidRPr="009A1BC7" w:rsidRDefault="009A1BC7" w:rsidP="008E7846">
            <w:r w:rsidRPr="009A1BC7">
              <w:t>Concentrations of NO</w:t>
            </w:r>
            <w:r w:rsidRPr="009A1BC7">
              <w:rPr>
                <w:vertAlign w:val="subscript"/>
              </w:rPr>
              <w:t xml:space="preserve">2 </w:t>
            </w:r>
            <w:r w:rsidRPr="009A1BC7">
              <w:t xml:space="preserve">have also continually </w:t>
            </w:r>
            <w:r w:rsidRPr="00CD0166">
              <w:rPr>
                <w:b/>
                <w:bCs/>
              </w:rPr>
              <w:t xml:space="preserve">decreased </w:t>
            </w:r>
            <w:r w:rsidRPr="009A1BC7">
              <w:t xml:space="preserve">when compared to 2019. </w:t>
            </w:r>
          </w:p>
          <w:p w14:paraId="1842822E" w14:textId="77777777" w:rsidR="009A1BC7" w:rsidRPr="009A1BC7" w:rsidRDefault="009A1BC7" w:rsidP="008E7846"/>
          <w:p w14:paraId="4592A782" w14:textId="77777777" w:rsidR="009A1BC7" w:rsidRDefault="009A1BC7" w:rsidP="008E7846">
            <w:pPr>
              <w:rPr>
                <w:u w:val="single"/>
              </w:rPr>
            </w:pPr>
            <w:r w:rsidRPr="009A1BC7">
              <w:t>This location will continue to be monitored and reviewed annually.</w:t>
            </w:r>
            <w:r w:rsidRPr="009A1BC7">
              <w:rPr>
                <w:u w:val="single"/>
              </w:rPr>
              <w:t xml:space="preserve"> </w:t>
            </w:r>
          </w:p>
          <w:p w14:paraId="248FD427" w14:textId="6D3592E4" w:rsidR="009A1BC7" w:rsidRDefault="009A1BC7" w:rsidP="008E7846">
            <w:pPr>
              <w:rPr>
                <w:color w:val="467886" w:themeColor="hyperlink"/>
                <w:u w:val="single"/>
              </w:rPr>
            </w:pPr>
          </w:p>
        </w:tc>
      </w:tr>
      <w:tr w:rsidR="008E7846" w14:paraId="5224E1B2" w14:textId="77777777" w:rsidTr="008E7846">
        <w:tc>
          <w:tcPr>
            <w:tcW w:w="3487" w:type="dxa"/>
          </w:tcPr>
          <w:p w14:paraId="45AFD3AD" w14:textId="660EA3D7" w:rsidR="008E7846" w:rsidRDefault="008E7846" w:rsidP="008E7846">
            <w:pPr>
              <w:rPr>
                <w:color w:val="467886" w:themeColor="hyperlink"/>
                <w:u w:val="single"/>
              </w:rPr>
            </w:pPr>
            <w:r>
              <w:t>Brassknocker Hill</w:t>
            </w:r>
          </w:p>
        </w:tc>
        <w:tc>
          <w:tcPr>
            <w:tcW w:w="3487" w:type="dxa"/>
          </w:tcPr>
          <w:p w14:paraId="05587A21" w14:textId="5AB05AED" w:rsidR="008E7846" w:rsidRDefault="008E7846" w:rsidP="008E7846">
            <w:pPr>
              <w:rPr>
                <w:color w:val="467886" w:themeColor="hyperlink"/>
                <w:u w:val="single"/>
              </w:rPr>
            </w:pPr>
            <w:r>
              <w:t xml:space="preserve">Annual monitoring to continue. </w:t>
            </w:r>
          </w:p>
        </w:tc>
        <w:tc>
          <w:tcPr>
            <w:tcW w:w="3487" w:type="dxa"/>
          </w:tcPr>
          <w:p w14:paraId="3A9D1E8C" w14:textId="77777777" w:rsidR="008E7846" w:rsidRDefault="008E7846" w:rsidP="008E7846">
            <w:pPr>
              <w:rPr>
                <w:szCs w:val="24"/>
              </w:rPr>
            </w:pPr>
          </w:p>
          <w:p w14:paraId="38A9C2A4" w14:textId="77777777" w:rsidR="008E7846" w:rsidRDefault="008E7846" w:rsidP="008E7846">
            <w:pPr>
              <w:rPr>
                <w:szCs w:val="24"/>
              </w:rPr>
            </w:pPr>
            <w:r>
              <w:lastRenderedPageBreak/>
              <w:t>The 2023 annual NO</w:t>
            </w:r>
            <w:r>
              <w:rPr>
                <w:vertAlign w:val="subscript"/>
              </w:rPr>
              <w:t xml:space="preserve">2 </w:t>
            </w:r>
            <w:r>
              <w:t>concentration at Brassknocker Hill was 22</w:t>
            </w:r>
            <w:r w:rsidRPr="00C24321">
              <w:rPr>
                <w:szCs w:val="24"/>
              </w:rPr>
              <w:t xml:space="preserve"> μg/m</w:t>
            </w:r>
            <w:r w:rsidRPr="00C24321">
              <w:rPr>
                <w:szCs w:val="24"/>
                <w:vertAlign w:val="superscript"/>
              </w:rPr>
              <w:t>3</w:t>
            </w:r>
            <w:r>
              <w:rPr>
                <w:szCs w:val="24"/>
              </w:rPr>
              <w:t xml:space="preserve">. This has decreased from 37 </w:t>
            </w:r>
            <w:r w:rsidRPr="00C24321">
              <w:rPr>
                <w:szCs w:val="24"/>
              </w:rPr>
              <w:t>μg/m</w:t>
            </w:r>
            <w:r w:rsidRPr="00C24321">
              <w:rPr>
                <w:szCs w:val="24"/>
                <w:vertAlign w:val="superscript"/>
              </w:rPr>
              <w:t>3</w:t>
            </w:r>
            <w:r>
              <w:rPr>
                <w:szCs w:val="24"/>
                <w:vertAlign w:val="superscript"/>
              </w:rPr>
              <w:t xml:space="preserve"> </w:t>
            </w:r>
            <w:r>
              <w:rPr>
                <w:szCs w:val="24"/>
              </w:rPr>
              <w:t>in 2019.</w:t>
            </w:r>
          </w:p>
          <w:p w14:paraId="2E51F525" w14:textId="77777777" w:rsidR="008E7846" w:rsidRDefault="008E7846" w:rsidP="008E7846">
            <w:pPr>
              <w:rPr>
                <w:color w:val="467886" w:themeColor="hyperlink"/>
                <w:u w:val="single"/>
              </w:rPr>
            </w:pPr>
          </w:p>
        </w:tc>
        <w:tc>
          <w:tcPr>
            <w:tcW w:w="3487" w:type="dxa"/>
          </w:tcPr>
          <w:p w14:paraId="13B611A7" w14:textId="5C876A86" w:rsidR="008E7846" w:rsidRDefault="008E7846" w:rsidP="008E7846">
            <w:r>
              <w:lastRenderedPageBreak/>
              <w:t xml:space="preserve">Along Brassknocker Hill, weekday traffic counters have </w:t>
            </w:r>
            <w:r>
              <w:lastRenderedPageBreak/>
              <w:t>decreased on average 4% when compared to 2019, and 3% when compared to 2022. A</w:t>
            </w:r>
            <w:r w:rsidR="00CD0166">
              <w:t>s</w:t>
            </w:r>
            <w:r>
              <w:t xml:space="preserve"> reported within the </w:t>
            </w:r>
            <w:hyperlink r:id="rId11" w:history="1">
              <w:r w:rsidRPr="00D66881">
                <w:rPr>
                  <w:rStyle w:val="Hyperlink"/>
                </w:rPr>
                <w:t>2022 Traffic Displacement Appendix</w:t>
              </w:r>
            </w:hyperlink>
            <w:r>
              <w:t xml:space="preserve">, overall volumes remain much lower when compared to 2016. </w:t>
            </w:r>
          </w:p>
          <w:p w14:paraId="193645EA" w14:textId="639CE8FD" w:rsidR="00275A88" w:rsidRDefault="00275A88" w:rsidP="008E7846">
            <w:pPr>
              <w:rPr>
                <w:color w:val="467886" w:themeColor="hyperlink"/>
                <w:u w:val="single"/>
              </w:rPr>
            </w:pPr>
          </w:p>
        </w:tc>
      </w:tr>
      <w:tr w:rsidR="008E7846" w14:paraId="25A4226D" w14:textId="77777777" w:rsidTr="008E7846">
        <w:tc>
          <w:tcPr>
            <w:tcW w:w="3487" w:type="dxa"/>
          </w:tcPr>
          <w:p w14:paraId="6BF352A3" w14:textId="15A322D4" w:rsidR="008E7846" w:rsidRDefault="008E7846" w:rsidP="008E7846">
            <w:pPr>
              <w:rPr>
                <w:color w:val="467886" w:themeColor="hyperlink"/>
                <w:u w:val="single"/>
              </w:rPr>
            </w:pPr>
            <w:r>
              <w:lastRenderedPageBreak/>
              <w:t>Bradford Road</w:t>
            </w:r>
          </w:p>
        </w:tc>
        <w:tc>
          <w:tcPr>
            <w:tcW w:w="3487" w:type="dxa"/>
          </w:tcPr>
          <w:p w14:paraId="70B62369" w14:textId="2E7BEE97" w:rsidR="008E7846" w:rsidRDefault="008E7846" w:rsidP="008E7846">
            <w:pPr>
              <w:rPr>
                <w:color w:val="467886" w:themeColor="hyperlink"/>
                <w:u w:val="single"/>
              </w:rPr>
            </w:pPr>
            <w:r>
              <w:t xml:space="preserve">Annual monitoring to continue. </w:t>
            </w:r>
          </w:p>
        </w:tc>
        <w:tc>
          <w:tcPr>
            <w:tcW w:w="3487" w:type="dxa"/>
          </w:tcPr>
          <w:p w14:paraId="637CECF2" w14:textId="77777777" w:rsidR="008E7846" w:rsidRDefault="008E7846" w:rsidP="008E7846">
            <w:pPr>
              <w:rPr>
                <w:szCs w:val="24"/>
              </w:rPr>
            </w:pPr>
            <w:r>
              <w:t>The 2023 annual NO</w:t>
            </w:r>
            <w:r>
              <w:rPr>
                <w:vertAlign w:val="subscript"/>
              </w:rPr>
              <w:t xml:space="preserve">2 </w:t>
            </w:r>
            <w:r>
              <w:t>concentration at Bradford Road was 18</w:t>
            </w:r>
            <w:r w:rsidRPr="00C24321">
              <w:rPr>
                <w:szCs w:val="24"/>
              </w:rPr>
              <w:t xml:space="preserve"> μg/m</w:t>
            </w:r>
            <w:r w:rsidRPr="00C24321">
              <w:rPr>
                <w:szCs w:val="24"/>
                <w:vertAlign w:val="superscript"/>
              </w:rPr>
              <w:t>3</w:t>
            </w:r>
            <w:r>
              <w:rPr>
                <w:szCs w:val="24"/>
              </w:rPr>
              <w:t xml:space="preserve">. This has decreased from 28 </w:t>
            </w:r>
            <w:r w:rsidRPr="00C24321">
              <w:rPr>
                <w:szCs w:val="24"/>
              </w:rPr>
              <w:t>μg/m</w:t>
            </w:r>
            <w:r w:rsidRPr="00C24321">
              <w:rPr>
                <w:szCs w:val="24"/>
                <w:vertAlign w:val="superscript"/>
              </w:rPr>
              <w:t>3</w:t>
            </w:r>
            <w:r>
              <w:rPr>
                <w:szCs w:val="24"/>
                <w:vertAlign w:val="superscript"/>
              </w:rPr>
              <w:t xml:space="preserve"> </w:t>
            </w:r>
            <w:r>
              <w:rPr>
                <w:szCs w:val="24"/>
              </w:rPr>
              <w:t>in 2019.</w:t>
            </w:r>
          </w:p>
          <w:p w14:paraId="16795813" w14:textId="77777777" w:rsidR="008E7846" w:rsidRDefault="008E7846" w:rsidP="008E7846">
            <w:pPr>
              <w:rPr>
                <w:color w:val="467886" w:themeColor="hyperlink"/>
                <w:u w:val="single"/>
              </w:rPr>
            </w:pPr>
          </w:p>
        </w:tc>
        <w:tc>
          <w:tcPr>
            <w:tcW w:w="3487" w:type="dxa"/>
          </w:tcPr>
          <w:p w14:paraId="4A9AF4CD" w14:textId="5A79BCB0" w:rsidR="008E7846" w:rsidRDefault="008E7846" w:rsidP="008E7846">
            <w:r>
              <w:t xml:space="preserve">As detailed within the </w:t>
            </w:r>
            <w:hyperlink r:id="rId12" w:history="1">
              <w:r w:rsidRPr="00D66881">
                <w:rPr>
                  <w:rStyle w:val="Hyperlink"/>
                </w:rPr>
                <w:t>2022 Traffic Displacement Appendix</w:t>
              </w:r>
            </w:hyperlink>
            <w:r w:rsidRPr="00D66881">
              <w:t>,</w:t>
            </w:r>
            <w:r>
              <w:t xml:space="preserve"> HGV volumes along Bradford Road </w:t>
            </w:r>
            <w:r w:rsidR="00ED3E96">
              <w:t>have increased</w:t>
            </w:r>
            <w:r w:rsidRPr="00CD0166">
              <w:rPr>
                <w:b/>
                <w:bCs/>
              </w:rPr>
              <w:t xml:space="preserve"> </w:t>
            </w:r>
            <w:r>
              <w:t xml:space="preserve">when compared to 2019. Whilst this could be the result of the 18-tonne weight restriction on Cleveland Bridge, this location will continue to be monitored and review. </w:t>
            </w:r>
          </w:p>
          <w:p w14:paraId="48349E27" w14:textId="77777777" w:rsidR="008E7846" w:rsidRDefault="008E7846" w:rsidP="008E7846">
            <w:pPr>
              <w:rPr>
                <w:color w:val="467886" w:themeColor="hyperlink"/>
                <w:u w:val="single"/>
              </w:rPr>
            </w:pPr>
          </w:p>
        </w:tc>
      </w:tr>
      <w:tr w:rsidR="008E7846" w14:paraId="5AC9FB00" w14:textId="77777777" w:rsidTr="008E7846">
        <w:tc>
          <w:tcPr>
            <w:tcW w:w="3487" w:type="dxa"/>
          </w:tcPr>
          <w:p w14:paraId="24C9646D" w14:textId="35AE4419" w:rsidR="008E7846" w:rsidRDefault="008E7846" w:rsidP="008E7846">
            <w:pPr>
              <w:rPr>
                <w:color w:val="467886" w:themeColor="hyperlink"/>
                <w:u w:val="single"/>
              </w:rPr>
            </w:pPr>
            <w:r>
              <w:t>Englishcombe Lane</w:t>
            </w:r>
          </w:p>
        </w:tc>
        <w:tc>
          <w:tcPr>
            <w:tcW w:w="3487" w:type="dxa"/>
          </w:tcPr>
          <w:p w14:paraId="5D1E5F3F" w14:textId="797754EF" w:rsidR="008E7846" w:rsidRDefault="008E7846" w:rsidP="008E7846">
            <w:pPr>
              <w:rPr>
                <w:color w:val="467886" w:themeColor="hyperlink"/>
                <w:u w:val="single"/>
              </w:rPr>
            </w:pPr>
            <w:r>
              <w:t>Annual monitoring to continue.</w:t>
            </w:r>
          </w:p>
        </w:tc>
        <w:tc>
          <w:tcPr>
            <w:tcW w:w="3487" w:type="dxa"/>
          </w:tcPr>
          <w:p w14:paraId="72025D91" w14:textId="26C21494" w:rsidR="008E7846" w:rsidRDefault="008E7846" w:rsidP="008E7846">
            <w:pPr>
              <w:rPr>
                <w:szCs w:val="24"/>
              </w:rPr>
            </w:pPr>
            <w:r>
              <w:t>The 2023 annual NO</w:t>
            </w:r>
            <w:r>
              <w:rPr>
                <w:vertAlign w:val="subscript"/>
              </w:rPr>
              <w:t xml:space="preserve">2 </w:t>
            </w:r>
            <w:r>
              <w:t xml:space="preserve">concentration at </w:t>
            </w:r>
            <w:r w:rsidR="003B7BC0">
              <w:t>Englishcombe Lane</w:t>
            </w:r>
            <w:r>
              <w:t xml:space="preserve"> was 9</w:t>
            </w:r>
            <w:r w:rsidRPr="00C24321">
              <w:rPr>
                <w:szCs w:val="24"/>
              </w:rPr>
              <w:t xml:space="preserve"> μg/m</w:t>
            </w:r>
            <w:r w:rsidRPr="00C24321">
              <w:rPr>
                <w:szCs w:val="24"/>
                <w:vertAlign w:val="superscript"/>
              </w:rPr>
              <w:t>3</w:t>
            </w:r>
            <w:r>
              <w:rPr>
                <w:szCs w:val="24"/>
              </w:rPr>
              <w:t xml:space="preserve">. This has decreased from 14 </w:t>
            </w:r>
            <w:r w:rsidRPr="00C24321">
              <w:rPr>
                <w:szCs w:val="24"/>
              </w:rPr>
              <w:t>μg/m</w:t>
            </w:r>
            <w:r w:rsidRPr="00C24321">
              <w:rPr>
                <w:szCs w:val="24"/>
                <w:vertAlign w:val="superscript"/>
              </w:rPr>
              <w:t>3</w:t>
            </w:r>
            <w:r>
              <w:rPr>
                <w:szCs w:val="24"/>
                <w:vertAlign w:val="superscript"/>
              </w:rPr>
              <w:t xml:space="preserve"> </w:t>
            </w:r>
            <w:r>
              <w:rPr>
                <w:szCs w:val="24"/>
              </w:rPr>
              <w:t>in 2019.</w:t>
            </w:r>
          </w:p>
          <w:p w14:paraId="7138CFD2" w14:textId="77777777" w:rsidR="008E7846" w:rsidRDefault="008E7846" w:rsidP="008E7846">
            <w:pPr>
              <w:rPr>
                <w:color w:val="467886" w:themeColor="hyperlink"/>
                <w:u w:val="single"/>
              </w:rPr>
            </w:pPr>
          </w:p>
        </w:tc>
        <w:tc>
          <w:tcPr>
            <w:tcW w:w="3487" w:type="dxa"/>
          </w:tcPr>
          <w:p w14:paraId="5FCC708C" w14:textId="77777777" w:rsidR="008E7846" w:rsidRDefault="008E7846" w:rsidP="008E7846">
            <w:r>
              <w:t xml:space="preserve">Monitoring along Englishcombe Lane took place in November 2023. When compared to the same period in 2019, weekday average traffic volumes have </w:t>
            </w:r>
            <w:r w:rsidRPr="00CD0166">
              <w:rPr>
                <w:b/>
                <w:bCs/>
              </w:rPr>
              <w:t>decreased</w:t>
            </w:r>
            <w:r>
              <w:t xml:space="preserve"> 20%. </w:t>
            </w:r>
          </w:p>
          <w:p w14:paraId="410681DA" w14:textId="77777777" w:rsidR="008E7846" w:rsidRDefault="008E7846" w:rsidP="008E7846"/>
          <w:p w14:paraId="31B05D9D" w14:textId="77777777" w:rsidR="008E7846" w:rsidRDefault="008E7846" w:rsidP="008E7846">
            <w:r>
              <w:lastRenderedPageBreak/>
              <w:t>When compared to the same period in 2022, traffic volumes are much</w:t>
            </w:r>
            <w:r w:rsidRPr="00CD0166">
              <w:rPr>
                <w:b/>
                <w:bCs/>
              </w:rPr>
              <w:t xml:space="preserve"> lower</w:t>
            </w:r>
            <w:r>
              <w:t xml:space="preserve"> in 2023. However, this is likely to be unrepresentative as a road closure during the 2022 survey period diverted traffic onto Englishcombe Lane.</w:t>
            </w:r>
          </w:p>
          <w:p w14:paraId="56042C92" w14:textId="77777777" w:rsidR="008E7846" w:rsidRDefault="008E7846" w:rsidP="008E7846"/>
          <w:p w14:paraId="27C32702" w14:textId="77777777" w:rsidR="008E7846" w:rsidRDefault="008E7846" w:rsidP="008E7846">
            <w:r>
              <w:t xml:space="preserve">This location will continue to be monitored and reviewed annually. </w:t>
            </w:r>
          </w:p>
          <w:p w14:paraId="2B89A69F" w14:textId="792EC363" w:rsidR="00275A88" w:rsidRDefault="00275A88" w:rsidP="008E7846">
            <w:pPr>
              <w:rPr>
                <w:color w:val="467886" w:themeColor="hyperlink"/>
                <w:u w:val="single"/>
              </w:rPr>
            </w:pPr>
          </w:p>
        </w:tc>
      </w:tr>
      <w:tr w:rsidR="008E7846" w14:paraId="1898E353" w14:textId="77777777" w:rsidTr="008E7846">
        <w:tc>
          <w:tcPr>
            <w:tcW w:w="3487" w:type="dxa"/>
          </w:tcPr>
          <w:p w14:paraId="11AF15A8" w14:textId="120AB1D1" w:rsidR="008E7846" w:rsidRDefault="008E7846" w:rsidP="008E7846">
            <w:pPr>
              <w:rPr>
                <w:color w:val="467886" w:themeColor="hyperlink"/>
                <w:u w:val="single"/>
              </w:rPr>
            </w:pPr>
            <w:r>
              <w:lastRenderedPageBreak/>
              <w:t>Cavendish Road</w:t>
            </w:r>
          </w:p>
        </w:tc>
        <w:tc>
          <w:tcPr>
            <w:tcW w:w="3487" w:type="dxa"/>
          </w:tcPr>
          <w:p w14:paraId="04DE7BAB" w14:textId="3F54545A" w:rsidR="008E7846" w:rsidRDefault="008E7846" w:rsidP="008E7846">
            <w:pPr>
              <w:rPr>
                <w:color w:val="467886" w:themeColor="hyperlink"/>
                <w:u w:val="single"/>
              </w:rPr>
            </w:pPr>
            <w:r>
              <w:t xml:space="preserve">Annual monitoring to continue. </w:t>
            </w:r>
          </w:p>
        </w:tc>
        <w:tc>
          <w:tcPr>
            <w:tcW w:w="3487" w:type="dxa"/>
          </w:tcPr>
          <w:p w14:paraId="2134C7BB" w14:textId="71DA1647" w:rsidR="008E7846" w:rsidRDefault="008E7846" w:rsidP="008E7846">
            <w:pPr>
              <w:rPr>
                <w:szCs w:val="24"/>
              </w:rPr>
            </w:pPr>
            <w:r>
              <w:t>The 2023 annual NO</w:t>
            </w:r>
            <w:r>
              <w:rPr>
                <w:vertAlign w:val="subscript"/>
              </w:rPr>
              <w:t xml:space="preserve">2 </w:t>
            </w:r>
            <w:r>
              <w:t xml:space="preserve">concentration at </w:t>
            </w:r>
            <w:r w:rsidR="003B7BC0">
              <w:t xml:space="preserve">Cavendish Road </w:t>
            </w:r>
            <w:r>
              <w:t>was 12</w:t>
            </w:r>
            <w:r w:rsidRPr="00C24321">
              <w:rPr>
                <w:szCs w:val="24"/>
              </w:rPr>
              <w:t xml:space="preserve"> μg/m</w:t>
            </w:r>
            <w:r w:rsidRPr="00C24321">
              <w:rPr>
                <w:szCs w:val="24"/>
                <w:vertAlign w:val="superscript"/>
              </w:rPr>
              <w:t>3</w:t>
            </w:r>
            <w:r>
              <w:rPr>
                <w:szCs w:val="24"/>
              </w:rPr>
              <w:t xml:space="preserve">. This has decreased from 17 </w:t>
            </w:r>
            <w:r w:rsidRPr="00C24321">
              <w:rPr>
                <w:szCs w:val="24"/>
              </w:rPr>
              <w:t>μg/m</w:t>
            </w:r>
            <w:r w:rsidRPr="00C24321">
              <w:rPr>
                <w:szCs w:val="24"/>
                <w:vertAlign w:val="superscript"/>
              </w:rPr>
              <w:t>3</w:t>
            </w:r>
            <w:r>
              <w:rPr>
                <w:szCs w:val="24"/>
                <w:vertAlign w:val="superscript"/>
              </w:rPr>
              <w:t xml:space="preserve"> </w:t>
            </w:r>
            <w:r>
              <w:rPr>
                <w:szCs w:val="24"/>
              </w:rPr>
              <w:t>in 2019.</w:t>
            </w:r>
          </w:p>
          <w:p w14:paraId="663AF3FC" w14:textId="77777777" w:rsidR="008E7846" w:rsidRDefault="008E7846" w:rsidP="008E7846">
            <w:pPr>
              <w:rPr>
                <w:color w:val="467886" w:themeColor="hyperlink"/>
                <w:u w:val="single"/>
              </w:rPr>
            </w:pPr>
          </w:p>
        </w:tc>
        <w:tc>
          <w:tcPr>
            <w:tcW w:w="3487" w:type="dxa"/>
          </w:tcPr>
          <w:p w14:paraId="00DF0BE8" w14:textId="77777777" w:rsidR="008E7846" w:rsidRDefault="008E7846" w:rsidP="008E7846">
            <w:r>
              <w:t xml:space="preserve">Monitoring along Cavendish Road took place in November 2023. When compared to 2021, weekday average traffic counts have </w:t>
            </w:r>
            <w:r w:rsidRPr="00CD0166">
              <w:rPr>
                <w:b/>
                <w:bCs/>
              </w:rPr>
              <w:t>decreased</w:t>
            </w:r>
            <w:r>
              <w:t xml:space="preserve"> by 18%. </w:t>
            </w:r>
          </w:p>
          <w:p w14:paraId="07D874E3" w14:textId="77777777" w:rsidR="008E7846" w:rsidRDefault="008E7846" w:rsidP="008E7846"/>
          <w:p w14:paraId="1608E563" w14:textId="34022AA2" w:rsidR="008E7846" w:rsidRDefault="008E7846" w:rsidP="008E7846">
            <w:r>
              <w:t xml:space="preserve">There has been a marginal </w:t>
            </w:r>
            <w:r w:rsidRPr="00CD0166">
              <w:rPr>
                <w:b/>
                <w:bCs/>
              </w:rPr>
              <w:t>increase</w:t>
            </w:r>
            <w:r>
              <w:t xml:space="preserve"> in volumes when compared to the same period in 2022, however, the 2022 survey was impacted by </w:t>
            </w:r>
            <w:r w:rsidR="00CD0166">
              <w:t xml:space="preserve">nearby </w:t>
            </w:r>
            <w:r>
              <w:t xml:space="preserve">roadworks likely diverting </w:t>
            </w:r>
            <w:r w:rsidR="00CD0166">
              <w:t xml:space="preserve">traffic. </w:t>
            </w:r>
            <w:r>
              <w:t xml:space="preserve"> </w:t>
            </w:r>
          </w:p>
          <w:p w14:paraId="6E54B96D" w14:textId="77777777" w:rsidR="008E7846" w:rsidRDefault="008E7846" w:rsidP="008E7846"/>
          <w:p w14:paraId="44A0DB3B" w14:textId="77777777" w:rsidR="008E7846" w:rsidRDefault="008E7846" w:rsidP="008E7846">
            <w:r>
              <w:lastRenderedPageBreak/>
              <w:t xml:space="preserve">This location will continue to be monitored and reviewed annually. </w:t>
            </w:r>
          </w:p>
          <w:p w14:paraId="7EAEF278" w14:textId="435A8478" w:rsidR="00275A88" w:rsidRDefault="00275A88" w:rsidP="008E7846">
            <w:pPr>
              <w:rPr>
                <w:color w:val="467886" w:themeColor="hyperlink"/>
                <w:u w:val="single"/>
              </w:rPr>
            </w:pPr>
          </w:p>
        </w:tc>
      </w:tr>
    </w:tbl>
    <w:p w14:paraId="74E5112F" w14:textId="77777777" w:rsidR="008E7846" w:rsidRPr="008E7846" w:rsidRDefault="008E7846" w:rsidP="008E7846">
      <w:pPr>
        <w:rPr>
          <w:color w:val="467886" w:themeColor="hyperlink"/>
          <w:u w:val="single"/>
        </w:rPr>
      </w:pPr>
    </w:p>
    <w:p w14:paraId="4D3C3072" w14:textId="77777777" w:rsidR="00F42EA8" w:rsidRDefault="00F42EA8"/>
    <w:sectPr w:rsidR="00F42EA8" w:rsidSect="00C2250C">
      <w:headerReference w:type="even" r:id="rId13"/>
      <w:headerReference w:type="default" r:id="rId14"/>
      <w:footerReference w:type="default" r:id="rId15"/>
      <w:head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E29B5" w14:textId="77777777" w:rsidR="00D66881" w:rsidRDefault="00D66881" w:rsidP="00D66881">
      <w:pPr>
        <w:spacing w:after="0" w:line="240" w:lineRule="auto"/>
      </w:pPr>
      <w:r>
        <w:separator/>
      </w:r>
    </w:p>
  </w:endnote>
  <w:endnote w:type="continuationSeparator" w:id="0">
    <w:p w14:paraId="5C7A0606" w14:textId="77777777" w:rsidR="00D66881" w:rsidRDefault="00D66881" w:rsidP="00D6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8652371"/>
      <w:docPartObj>
        <w:docPartGallery w:val="Page Numbers (Bottom of Page)"/>
        <w:docPartUnique/>
      </w:docPartObj>
    </w:sdtPr>
    <w:sdtEndPr>
      <w:rPr>
        <w:noProof/>
      </w:rPr>
    </w:sdtEndPr>
    <w:sdtContent>
      <w:p w14:paraId="7D3E6C42" w14:textId="139F75D3" w:rsidR="00B65233" w:rsidRDefault="00B652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0BC523" w14:textId="77777777" w:rsidR="00B65233" w:rsidRDefault="00B65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1FD72" w14:textId="77777777" w:rsidR="00D66881" w:rsidRDefault="00D66881" w:rsidP="00D66881">
      <w:pPr>
        <w:spacing w:after="0" w:line="240" w:lineRule="auto"/>
      </w:pPr>
      <w:r>
        <w:separator/>
      </w:r>
    </w:p>
  </w:footnote>
  <w:footnote w:type="continuationSeparator" w:id="0">
    <w:p w14:paraId="5895D1E2" w14:textId="77777777" w:rsidR="00D66881" w:rsidRDefault="00D66881" w:rsidP="00D66881">
      <w:pPr>
        <w:spacing w:after="0" w:line="240" w:lineRule="auto"/>
      </w:pPr>
      <w:r>
        <w:continuationSeparator/>
      </w:r>
    </w:p>
  </w:footnote>
  <w:footnote w:id="1">
    <w:p w14:paraId="019B497D" w14:textId="78BF977F" w:rsidR="003B3F4B" w:rsidRDefault="003B3F4B">
      <w:pPr>
        <w:pStyle w:val="FootnoteText"/>
      </w:pPr>
      <w:r>
        <w:rPr>
          <w:rStyle w:val="FootnoteReference"/>
        </w:rPr>
        <w:footnoteRef/>
      </w:r>
      <w:r>
        <w:t xml:space="preserve"> Department for Transport, 2024. Domestic Transport Usage by Mode. Available at: </w:t>
      </w:r>
      <w:hyperlink r:id="rId1" w:history="1">
        <w:r w:rsidRPr="009A5234">
          <w:rPr>
            <w:rStyle w:val="Hyperlink"/>
          </w:rPr>
          <w:t>https://www.gov.uk/government/statistics/transport-use-during-the-coronavirus-covid-19-pandemic/domestic-transport-usage-by-mode</w:t>
        </w:r>
      </w:hyperlink>
      <w:r>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2A281" w14:textId="5EAA73E8" w:rsidR="008E7846" w:rsidRDefault="008E7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0BE7F" w14:textId="4C2D7D52" w:rsidR="008E7846" w:rsidRDefault="00991550" w:rsidP="00991550">
    <w:pPr>
      <w:pStyle w:val="Header"/>
      <w:jc w:val="right"/>
    </w:pPr>
    <w:r>
      <w:t>Bath’s Clean Air Zone Annual Monitoring Report,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F138" w14:textId="068CB28D" w:rsidR="008E7846" w:rsidRDefault="008E7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F382B"/>
    <w:multiLevelType w:val="hybridMultilevel"/>
    <w:tmpl w:val="FFD29F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AE08FC"/>
    <w:multiLevelType w:val="hybridMultilevel"/>
    <w:tmpl w:val="560A23F2"/>
    <w:lvl w:ilvl="0" w:tplc="1510565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593904">
    <w:abstractNumId w:val="1"/>
  </w:num>
  <w:num w:numId="2" w16cid:durableId="33865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0C"/>
    <w:rsid w:val="0010338D"/>
    <w:rsid w:val="00237DB8"/>
    <w:rsid w:val="002625BB"/>
    <w:rsid w:val="002757EA"/>
    <w:rsid w:val="00275A88"/>
    <w:rsid w:val="002C0ACC"/>
    <w:rsid w:val="003B3F4B"/>
    <w:rsid w:val="003B7BC0"/>
    <w:rsid w:val="003D27C6"/>
    <w:rsid w:val="00490D62"/>
    <w:rsid w:val="005C2679"/>
    <w:rsid w:val="00610877"/>
    <w:rsid w:val="007236E7"/>
    <w:rsid w:val="00756401"/>
    <w:rsid w:val="008E7846"/>
    <w:rsid w:val="00925A0A"/>
    <w:rsid w:val="0095074C"/>
    <w:rsid w:val="00991550"/>
    <w:rsid w:val="009A1BC7"/>
    <w:rsid w:val="00A50B46"/>
    <w:rsid w:val="00AA62CC"/>
    <w:rsid w:val="00B65233"/>
    <w:rsid w:val="00B87C29"/>
    <w:rsid w:val="00C2250C"/>
    <w:rsid w:val="00C625CD"/>
    <w:rsid w:val="00CD0166"/>
    <w:rsid w:val="00D66881"/>
    <w:rsid w:val="00DD7879"/>
    <w:rsid w:val="00E53AA9"/>
    <w:rsid w:val="00ED3E96"/>
    <w:rsid w:val="00F42EA8"/>
    <w:rsid w:val="00FC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01CB56"/>
  <w15:chartTrackingRefBased/>
  <w15:docId w15:val="{C177189E-EB6F-46F1-B053-7E0FFF44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8D"/>
  </w:style>
  <w:style w:type="paragraph" w:styleId="Heading1">
    <w:name w:val="heading 1"/>
    <w:basedOn w:val="Normal"/>
    <w:next w:val="Normal"/>
    <w:link w:val="Heading1Char"/>
    <w:uiPriority w:val="9"/>
    <w:qFormat/>
    <w:rsid w:val="00C22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50C"/>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C225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25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25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25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25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25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50C"/>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C225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25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25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25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25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25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2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50C"/>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C2250C"/>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C2250C"/>
    <w:pPr>
      <w:spacing w:before="160"/>
      <w:jc w:val="center"/>
    </w:pPr>
    <w:rPr>
      <w:i/>
      <w:iCs/>
      <w:color w:val="404040" w:themeColor="text1" w:themeTint="BF"/>
    </w:rPr>
  </w:style>
  <w:style w:type="character" w:customStyle="1" w:styleId="QuoteChar">
    <w:name w:val="Quote Char"/>
    <w:basedOn w:val="DefaultParagraphFont"/>
    <w:link w:val="Quote"/>
    <w:uiPriority w:val="29"/>
    <w:rsid w:val="00C2250C"/>
    <w:rPr>
      <w:i/>
      <w:iCs/>
      <w:color w:val="404040" w:themeColor="text1" w:themeTint="BF"/>
    </w:rPr>
  </w:style>
  <w:style w:type="paragraph" w:styleId="ListParagraph">
    <w:name w:val="List Paragraph"/>
    <w:basedOn w:val="Normal"/>
    <w:uiPriority w:val="34"/>
    <w:qFormat/>
    <w:rsid w:val="00C2250C"/>
    <w:pPr>
      <w:ind w:left="720"/>
      <w:contextualSpacing/>
    </w:pPr>
  </w:style>
  <w:style w:type="character" w:styleId="IntenseEmphasis">
    <w:name w:val="Intense Emphasis"/>
    <w:basedOn w:val="DefaultParagraphFont"/>
    <w:uiPriority w:val="21"/>
    <w:qFormat/>
    <w:rsid w:val="00C2250C"/>
    <w:rPr>
      <w:i/>
      <w:iCs/>
      <w:color w:val="0F4761" w:themeColor="accent1" w:themeShade="BF"/>
    </w:rPr>
  </w:style>
  <w:style w:type="paragraph" w:styleId="IntenseQuote">
    <w:name w:val="Intense Quote"/>
    <w:basedOn w:val="Normal"/>
    <w:next w:val="Normal"/>
    <w:link w:val="IntenseQuoteChar"/>
    <w:uiPriority w:val="30"/>
    <w:qFormat/>
    <w:rsid w:val="00C22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50C"/>
    <w:rPr>
      <w:i/>
      <w:iCs/>
      <w:color w:val="0F4761" w:themeColor="accent1" w:themeShade="BF"/>
    </w:rPr>
  </w:style>
  <w:style w:type="character" w:styleId="IntenseReference">
    <w:name w:val="Intense Reference"/>
    <w:basedOn w:val="DefaultParagraphFont"/>
    <w:uiPriority w:val="32"/>
    <w:qFormat/>
    <w:rsid w:val="00C2250C"/>
    <w:rPr>
      <w:b/>
      <w:bCs/>
      <w:smallCaps/>
      <w:color w:val="0F4761" w:themeColor="accent1" w:themeShade="BF"/>
      <w:spacing w:val="5"/>
    </w:rPr>
  </w:style>
  <w:style w:type="table" w:styleId="TableGrid">
    <w:name w:val="Table Grid"/>
    <w:basedOn w:val="TableNormal"/>
    <w:uiPriority w:val="39"/>
    <w:rsid w:val="00C2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50C"/>
    <w:rPr>
      <w:color w:val="467886" w:themeColor="hyperlink"/>
      <w:u w:val="single"/>
    </w:rPr>
  </w:style>
  <w:style w:type="character" w:styleId="UnresolvedMention">
    <w:name w:val="Unresolved Mention"/>
    <w:basedOn w:val="DefaultParagraphFont"/>
    <w:uiPriority w:val="99"/>
    <w:semiHidden/>
    <w:unhideWhenUsed/>
    <w:rsid w:val="00C2250C"/>
    <w:rPr>
      <w:color w:val="605E5C"/>
      <w:shd w:val="clear" w:color="auto" w:fill="E1DFDD"/>
    </w:rPr>
  </w:style>
  <w:style w:type="paragraph" w:styleId="Header">
    <w:name w:val="header"/>
    <w:basedOn w:val="Normal"/>
    <w:link w:val="HeaderChar"/>
    <w:uiPriority w:val="99"/>
    <w:unhideWhenUsed/>
    <w:rsid w:val="00D66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881"/>
  </w:style>
  <w:style w:type="paragraph" w:styleId="Footer">
    <w:name w:val="footer"/>
    <w:basedOn w:val="Normal"/>
    <w:link w:val="FooterChar"/>
    <w:uiPriority w:val="99"/>
    <w:unhideWhenUsed/>
    <w:rsid w:val="00D66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881"/>
  </w:style>
  <w:style w:type="paragraph" w:styleId="FootnoteText">
    <w:name w:val="footnote text"/>
    <w:basedOn w:val="Normal"/>
    <w:link w:val="FootnoteTextChar"/>
    <w:uiPriority w:val="99"/>
    <w:semiHidden/>
    <w:unhideWhenUsed/>
    <w:rsid w:val="003B3F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F4B"/>
    <w:rPr>
      <w:sz w:val="20"/>
      <w:szCs w:val="20"/>
    </w:rPr>
  </w:style>
  <w:style w:type="character" w:styleId="FootnoteReference">
    <w:name w:val="footnote reference"/>
    <w:basedOn w:val="DefaultParagraphFont"/>
    <w:uiPriority w:val="99"/>
    <w:semiHidden/>
    <w:unhideWhenUsed/>
    <w:rsid w:val="003B3F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bathnes.gov.uk/sites/default/files/2020-10/674726.br_.042.fbc_-_bath_clean_air_plan_fbc.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ta.bathnes.gov.uk/sites/default/files/Appendix%202%20-%20Investigating%20traffic%20displacement%20concerns%20Q3%20202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bathnes.gov.uk/sites/default/files/Appendix%202%20-%20Investigating%20traffic%20displacement%20concerns%20Q3%2020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eta.bathnes.gov.uk/sites/default/files/Appendix%202%20-%20Investigating%20traffic%20displacement%20concerns%20Q3%202022.pdf" TargetMode="External"/><Relationship Id="rId4" Type="http://schemas.openxmlformats.org/officeDocument/2006/relationships/settings" Target="settings.xml"/><Relationship Id="rId9" Type="http://schemas.openxmlformats.org/officeDocument/2006/relationships/hyperlink" Target="https://beta.bathnes.gov.uk/sites/default/files/Appendix%202%20-%20Investigating%20traffic%20displacement%20concerns%20Q3%202022.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tatistics/transport-use-during-the-coronavirus-covid-19-pandemic/domestic-transport-usage-by-m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22103-58B3-4097-A7CA-3CDF7F75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1788</Words>
  <Characters>10193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 Turner</dc:creator>
  <cp:keywords/>
  <dc:description/>
  <cp:lastModifiedBy>Aliyah Hodson-hirst</cp:lastModifiedBy>
  <cp:revision>2</cp:revision>
  <dcterms:created xsi:type="dcterms:W3CDTF">2024-08-30T13:47:00Z</dcterms:created>
  <dcterms:modified xsi:type="dcterms:W3CDTF">2024-08-30T13:47:00Z</dcterms:modified>
</cp:coreProperties>
</file>