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64935" w14:textId="53FCEE3B" w:rsidR="00E31960" w:rsidRPr="00E31960" w:rsidRDefault="00E31960" w:rsidP="003E7B09">
      <w:pPr>
        <w:pStyle w:val="Heading1"/>
      </w:pPr>
      <w:r w:rsidRPr="00E31960">
        <w:t xml:space="preserve">Appendix </w:t>
      </w:r>
      <w:r w:rsidR="002B3F5D">
        <w:t>3</w:t>
      </w:r>
      <w:r w:rsidRPr="00E31960">
        <w:t xml:space="preserve">: </w:t>
      </w:r>
      <w:r>
        <w:t>Financial summary of the CAZ</w:t>
      </w:r>
    </w:p>
    <w:p w14:paraId="40394C69" w14:textId="491D0A57" w:rsidR="00A614E4" w:rsidRPr="00222183" w:rsidRDefault="00A614E4" w:rsidP="00B528F4">
      <w:r w:rsidRPr="00222183">
        <w:t xml:space="preserve">Non-compliant vehicles contribute the most towards a worsening of air quality and daily charges for their use are designed to encourage drivers to consider an economic decision whether to use their vehicle within the zone or not. Charges are set at such a level to also encourage vehicle owners to consider upgrading, </w:t>
      </w:r>
      <w:r w:rsidR="00AD53C9" w:rsidRPr="00222183">
        <w:t>replacing,</w:t>
      </w:r>
      <w:r w:rsidRPr="00222183">
        <w:t xml:space="preserve"> or switching travel mode entirely</w:t>
      </w:r>
      <w:r w:rsidR="00B528F4" w:rsidRPr="00222183">
        <w:t xml:space="preserve"> </w:t>
      </w:r>
      <w:r w:rsidR="005D4E65" w:rsidRPr="00222183">
        <w:t>to</w:t>
      </w:r>
      <w:r w:rsidR="00B528F4" w:rsidRPr="00222183">
        <w:t xml:space="preserve"> maximise the air quality improvements and health benefits of the zone. Charges are designed to influence behaviours and disincentivise non-compliant vehicle use rather than generate income for the council.</w:t>
      </w:r>
    </w:p>
    <w:p w14:paraId="0FD62E99" w14:textId="5B2FF9EF" w:rsidR="00E17C1F" w:rsidRDefault="00A614E4" w:rsidP="00E17C1F">
      <w:r w:rsidRPr="00222183">
        <w:t xml:space="preserve">Revenue from </w:t>
      </w:r>
      <w:r w:rsidR="00B528F4" w:rsidRPr="00222183">
        <w:t xml:space="preserve">daily </w:t>
      </w:r>
      <w:r w:rsidRPr="00222183">
        <w:t xml:space="preserve">charges and </w:t>
      </w:r>
      <w:r w:rsidR="00933DEA" w:rsidRPr="00222183">
        <w:t>penalty charges</w:t>
      </w:r>
      <w:r w:rsidRPr="00222183">
        <w:t xml:space="preserve"> is used to </w:t>
      </w:r>
      <w:r w:rsidR="00B34746" w:rsidRPr="00222183">
        <w:t>fund</w:t>
      </w:r>
      <w:r w:rsidRPr="00222183">
        <w:t xml:space="preserve"> the running of the scheme. Any </w:t>
      </w:r>
      <w:r w:rsidR="00D07DC9" w:rsidRPr="00222183">
        <w:t xml:space="preserve">surplus revenue </w:t>
      </w:r>
      <w:r w:rsidR="000D4E1C" w:rsidRPr="00222183">
        <w:t xml:space="preserve">must be used for the purposes set out in the </w:t>
      </w:r>
      <w:hyperlink r:id="rId9" w:history="1">
        <w:r w:rsidR="000D4E1C" w:rsidRPr="00222183">
          <w:rPr>
            <w:rStyle w:val="Hyperlink"/>
          </w:rPr>
          <w:t>CAZ Charging Order</w:t>
        </w:r>
      </w:hyperlink>
      <w:r w:rsidR="000D4E1C" w:rsidRPr="00222183">
        <w:t xml:space="preserve"> </w:t>
      </w:r>
      <w:r w:rsidR="00E17C1F" w:rsidRPr="00222183">
        <w:t xml:space="preserve">with benefits towards sustainable transport projects or schemes which </w:t>
      </w:r>
      <w:r w:rsidR="00E17C1F" w:rsidRPr="00174DCB">
        <w:t xml:space="preserve">compliment wider air quality improvements. </w:t>
      </w:r>
    </w:p>
    <w:p w14:paraId="300928CA" w14:textId="77777777" w:rsidR="004E51AD" w:rsidRPr="00174DCB" w:rsidRDefault="004E51AD" w:rsidP="00E17C1F"/>
    <w:p w14:paraId="597AFF46" w14:textId="5ABF7961" w:rsidR="00B34746" w:rsidRPr="00174DCB" w:rsidRDefault="00B34746" w:rsidP="00B34746">
      <w:pPr>
        <w:rPr>
          <w:b/>
          <w:bCs/>
        </w:rPr>
      </w:pPr>
      <w:r w:rsidRPr="00174DCB">
        <w:rPr>
          <w:b/>
          <w:bCs/>
        </w:rPr>
        <w:t>Finances 1 January 202</w:t>
      </w:r>
      <w:r w:rsidR="00D606BE" w:rsidRPr="00174DCB">
        <w:rPr>
          <w:b/>
          <w:bCs/>
        </w:rPr>
        <w:t>4</w:t>
      </w:r>
      <w:r w:rsidRPr="00174DCB">
        <w:rPr>
          <w:b/>
          <w:bCs/>
        </w:rPr>
        <w:t xml:space="preserve"> – 31 December 202</w:t>
      </w:r>
      <w:r w:rsidR="00D606BE" w:rsidRPr="00174DCB">
        <w:rPr>
          <w:b/>
          <w:bCs/>
        </w:rPr>
        <w:t>4</w:t>
      </w:r>
      <w:r w:rsidRPr="00174DCB">
        <w:rPr>
          <w:b/>
          <w:bCs/>
        </w:rPr>
        <w:t>:</w:t>
      </w:r>
    </w:p>
    <w:p w14:paraId="5E9FFB77" w14:textId="1470D243" w:rsidR="00B34746" w:rsidRPr="00174DCB" w:rsidRDefault="00B34746" w:rsidP="00B34746">
      <w:r w:rsidRPr="00174DCB">
        <w:t xml:space="preserve">Operational costs: </w:t>
      </w:r>
      <w:r w:rsidRPr="00174DCB">
        <w:rPr>
          <w:b/>
          <w:bCs/>
        </w:rPr>
        <w:t>£</w:t>
      </w:r>
      <w:r w:rsidR="016566A4" w:rsidRPr="00174DCB">
        <w:rPr>
          <w:b/>
          <w:bCs/>
        </w:rPr>
        <w:t>2.</w:t>
      </w:r>
      <w:r w:rsidR="00D606BE" w:rsidRPr="00174DCB">
        <w:rPr>
          <w:b/>
          <w:bCs/>
        </w:rPr>
        <w:t>73</w:t>
      </w:r>
      <w:r w:rsidR="016566A4" w:rsidRPr="00174DCB">
        <w:rPr>
          <w:b/>
          <w:bCs/>
        </w:rPr>
        <w:t>m</w:t>
      </w:r>
    </w:p>
    <w:p w14:paraId="3A7EF8AB" w14:textId="59FBB900" w:rsidR="00B34746" w:rsidRPr="00174DCB" w:rsidRDefault="00B34746" w:rsidP="00B34746">
      <w:r w:rsidRPr="00174DCB">
        <w:t xml:space="preserve">Of this amount, </w:t>
      </w:r>
      <w:r w:rsidRPr="00174DCB">
        <w:rPr>
          <w:b/>
          <w:bCs/>
        </w:rPr>
        <w:t>£</w:t>
      </w:r>
      <w:r w:rsidR="3EE85702" w:rsidRPr="00174DCB">
        <w:rPr>
          <w:b/>
          <w:bCs/>
        </w:rPr>
        <w:t>2</w:t>
      </w:r>
      <w:r w:rsidR="00D606BE" w:rsidRPr="00174DCB">
        <w:rPr>
          <w:b/>
          <w:bCs/>
        </w:rPr>
        <w:t>3</w:t>
      </w:r>
      <w:r w:rsidR="3EE85702" w:rsidRPr="00174DCB">
        <w:rPr>
          <w:b/>
          <w:bCs/>
        </w:rPr>
        <w:t>0k</w:t>
      </w:r>
      <w:r w:rsidRPr="00174DCB">
        <w:t xml:space="preserve"> </w:t>
      </w:r>
      <w:r w:rsidR="6557943E" w:rsidRPr="00174DCB">
        <w:t xml:space="preserve">has been </w:t>
      </w:r>
      <w:r w:rsidR="595AB103" w:rsidRPr="00174DCB">
        <w:t>p</w:t>
      </w:r>
      <w:r w:rsidRPr="00174DCB">
        <w:t>aid back to Central Government to cover the cost of its services associated with the CAZ.</w:t>
      </w:r>
    </w:p>
    <w:p w14:paraId="1C2C6D45" w14:textId="3C087BB1" w:rsidR="00DD228B" w:rsidRDefault="00B34746">
      <w:r w:rsidRPr="00174DCB">
        <w:t>Net revenue generated from daily charges and penalty charges 1 January 202</w:t>
      </w:r>
      <w:r w:rsidR="00D606BE" w:rsidRPr="00174DCB">
        <w:t>4</w:t>
      </w:r>
      <w:r w:rsidRPr="00174DCB">
        <w:t xml:space="preserve"> to 31 December 202</w:t>
      </w:r>
      <w:r w:rsidR="00D606BE" w:rsidRPr="00174DCB">
        <w:t>4</w:t>
      </w:r>
      <w:r w:rsidRPr="00174DCB">
        <w:t xml:space="preserve">: </w:t>
      </w:r>
      <w:r w:rsidRPr="00174DCB">
        <w:rPr>
          <w:b/>
          <w:bCs/>
        </w:rPr>
        <w:t>£</w:t>
      </w:r>
      <w:r w:rsidR="00D606BE" w:rsidRPr="00174DCB">
        <w:rPr>
          <w:b/>
          <w:bCs/>
        </w:rPr>
        <w:t>3.11</w:t>
      </w:r>
      <w:r w:rsidR="51840271" w:rsidRPr="00174DCB">
        <w:rPr>
          <w:b/>
          <w:bCs/>
        </w:rPr>
        <w:t>m</w:t>
      </w:r>
    </w:p>
    <w:p w14:paraId="798DDB77" w14:textId="77777777" w:rsidR="00182CCA" w:rsidRPr="00174DCB" w:rsidRDefault="00182CCA"/>
    <w:p w14:paraId="129C3068" w14:textId="65AF8F6B" w:rsidR="00BD239D" w:rsidRPr="00174DCB" w:rsidRDefault="00BD239D">
      <w:pPr>
        <w:rPr>
          <w:b/>
          <w:bCs/>
        </w:rPr>
      </w:pPr>
      <w:r w:rsidRPr="00174DCB">
        <w:rPr>
          <w:b/>
          <w:bCs/>
        </w:rPr>
        <w:t>Finances from scheme launch</w:t>
      </w:r>
      <w:r w:rsidR="00DD228B" w:rsidRPr="00174DCB">
        <w:rPr>
          <w:b/>
          <w:bCs/>
        </w:rPr>
        <w:t xml:space="preserve"> 15 March 2021 to 31 March 202</w:t>
      </w:r>
      <w:r w:rsidR="00D606BE" w:rsidRPr="00174DCB">
        <w:rPr>
          <w:b/>
          <w:bCs/>
        </w:rPr>
        <w:t>5</w:t>
      </w:r>
      <w:r w:rsidRPr="00174DCB">
        <w:rPr>
          <w:b/>
          <w:bCs/>
        </w:rPr>
        <w:t>:</w:t>
      </w:r>
    </w:p>
    <w:p w14:paraId="3AB0F37C" w14:textId="6148198A" w:rsidR="003E7B09" w:rsidRPr="004E51AD" w:rsidRDefault="00B528F4">
      <w:pPr>
        <w:rPr>
          <w:b/>
          <w:bCs/>
        </w:rPr>
      </w:pPr>
      <w:r w:rsidRPr="00174DCB">
        <w:t xml:space="preserve">Operational costs: </w:t>
      </w:r>
      <w:r w:rsidR="00DF456B" w:rsidRPr="00174DCB">
        <w:rPr>
          <w:b/>
          <w:bCs/>
        </w:rPr>
        <w:t>£</w:t>
      </w:r>
      <w:r w:rsidR="00D606BE" w:rsidRPr="00174DCB">
        <w:rPr>
          <w:b/>
          <w:bCs/>
        </w:rPr>
        <w:t>10.56</w:t>
      </w:r>
      <w:r w:rsidR="5505E25D" w:rsidRPr="00174DCB">
        <w:rPr>
          <w:b/>
          <w:bCs/>
        </w:rPr>
        <w:t>m</w:t>
      </w:r>
    </w:p>
    <w:p w14:paraId="5E2184FF" w14:textId="18E86F51" w:rsidR="00B528F4" w:rsidRPr="00174DCB" w:rsidRDefault="00AD53C9">
      <w:r w:rsidRPr="00174DCB">
        <w:t xml:space="preserve">Of this amount, </w:t>
      </w:r>
      <w:r w:rsidRPr="00174DCB">
        <w:rPr>
          <w:b/>
          <w:bCs/>
        </w:rPr>
        <w:t>£</w:t>
      </w:r>
      <w:r w:rsidR="00D606BE" w:rsidRPr="00174DCB">
        <w:rPr>
          <w:b/>
          <w:bCs/>
        </w:rPr>
        <w:t>1.12m</w:t>
      </w:r>
      <w:r w:rsidRPr="00174DCB">
        <w:t xml:space="preserve"> </w:t>
      </w:r>
      <w:r w:rsidR="5A60113C" w:rsidRPr="00174DCB">
        <w:t xml:space="preserve">has been </w:t>
      </w:r>
      <w:r w:rsidRPr="00174DCB">
        <w:t>paid back to Central Government to cover the cost of its services associated with the CAZ.</w:t>
      </w:r>
    </w:p>
    <w:p w14:paraId="49B35133" w14:textId="2608A1B2" w:rsidR="00BD239D" w:rsidRPr="00174DCB" w:rsidRDefault="00BD239D">
      <w:r w:rsidRPr="00174DCB">
        <w:t>Net revenue generated from daily charges and penalty charges 15 March 2021 to 31 March 202</w:t>
      </w:r>
      <w:r w:rsidR="00D606BE" w:rsidRPr="00174DCB">
        <w:t>5</w:t>
      </w:r>
      <w:r w:rsidRPr="00174DCB">
        <w:t xml:space="preserve">: </w:t>
      </w:r>
      <w:r w:rsidR="00DF456B" w:rsidRPr="00174DCB">
        <w:rPr>
          <w:b/>
          <w:bCs/>
        </w:rPr>
        <w:t>£</w:t>
      </w:r>
      <w:r w:rsidR="649A13B3" w:rsidRPr="00174DCB">
        <w:rPr>
          <w:b/>
          <w:bCs/>
        </w:rPr>
        <w:t>1</w:t>
      </w:r>
      <w:r w:rsidR="00D606BE" w:rsidRPr="00174DCB">
        <w:rPr>
          <w:b/>
          <w:bCs/>
        </w:rPr>
        <w:t>8.75</w:t>
      </w:r>
      <w:r w:rsidR="649A13B3" w:rsidRPr="00174DCB">
        <w:rPr>
          <w:b/>
          <w:bCs/>
        </w:rPr>
        <w:t>m</w:t>
      </w:r>
    </w:p>
    <w:p w14:paraId="33F76BD6" w14:textId="1C9EF00A" w:rsidR="00BD239D" w:rsidRPr="00174DCB" w:rsidRDefault="00BD239D">
      <w:r w:rsidRPr="00174DCB">
        <w:t xml:space="preserve">Surplus revenue from operation of the CAZ </w:t>
      </w:r>
      <w:r w:rsidR="003F5688" w:rsidRPr="00174DCB">
        <w:t>is</w:t>
      </w:r>
      <w:r w:rsidRPr="00174DCB">
        <w:t xml:space="preserve"> split across four reserves:</w:t>
      </w:r>
    </w:p>
    <w:p w14:paraId="4A55C8E2" w14:textId="35E6EBFA" w:rsidR="00BD239D" w:rsidRPr="00174DCB" w:rsidRDefault="00BD239D">
      <w:r w:rsidRPr="00174DCB">
        <w:rPr>
          <w:b/>
          <w:bCs/>
        </w:rPr>
        <w:t>-Smoothing reserve</w:t>
      </w:r>
      <w:r w:rsidR="00FF24D5" w:rsidRPr="00174DCB">
        <w:rPr>
          <w:b/>
          <w:bCs/>
        </w:rPr>
        <w:t>:</w:t>
      </w:r>
      <w:r w:rsidR="00FF24D5" w:rsidRPr="00174DCB">
        <w:t xml:space="preserve"> </w:t>
      </w:r>
      <w:r w:rsidRPr="00174DCB">
        <w:t>to cover future operational deficits as vehicle compliance improves.</w:t>
      </w:r>
      <w:r w:rsidR="003F5688" w:rsidRPr="00174DCB">
        <w:t xml:space="preserve"> </w:t>
      </w:r>
      <w:r w:rsidR="006618E7" w:rsidRPr="00174DCB">
        <w:rPr>
          <w:b/>
          <w:bCs/>
        </w:rPr>
        <w:t>£</w:t>
      </w:r>
      <w:r w:rsidR="00954BF0" w:rsidRPr="00174DCB">
        <w:rPr>
          <w:b/>
          <w:bCs/>
        </w:rPr>
        <w:t>3.5</w:t>
      </w:r>
      <w:r w:rsidR="008A7761" w:rsidRPr="00174DCB">
        <w:rPr>
          <w:b/>
          <w:bCs/>
        </w:rPr>
        <w:t>7</w:t>
      </w:r>
      <w:r w:rsidR="00954BF0" w:rsidRPr="00174DCB">
        <w:rPr>
          <w:b/>
          <w:bCs/>
        </w:rPr>
        <w:t>m</w:t>
      </w:r>
    </w:p>
    <w:p w14:paraId="14DEEAB9" w14:textId="6F3DAD24" w:rsidR="00BD239D" w:rsidRPr="00174DCB" w:rsidRDefault="00BD239D">
      <w:r w:rsidRPr="00174DCB">
        <w:rPr>
          <w:b/>
          <w:bCs/>
        </w:rPr>
        <w:t>-Decommissioning reserve</w:t>
      </w:r>
      <w:r w:rsidR="00FF24D5" w:rsidRPr="00174DCB">
        <w:rPr>
          <w:b/>
          <w:bCs/>
        </w:rPr>
        <w:t>:</w:t>
      </w:r>
      <w:r w:rsidR="00FF24D5" w:rsidRPr="00174DCB">
        <w:t xml:space="preserve"> </w:t>
      </w:r>
      <w:r w:rsidRPr="00174DCB">
        <w:t xml:space="preserve">B&amp;NES remain under a ministerial direction to deliver the CAZ at this </w:t>
      </w:r>
      <w:proofErr w:type="gramStart"/>
      <w:r w:rsidRPr="00174DCB">
        <w:t>time</w:t>
      </w:r>
      <w:r w:rsidR="0063164D" w:rsidRPr="00174DCB">
        <w:t>,</w:t>
      </w:r>
      <w:proofErr w:type="gramEnd"/>
      <w:r w:rsidR="0063164D" w:rsidRPr="00174DCB">
        <w:t xml:space="preserve"> this reserve provides resilience to costs should a </w:t>
      </w:r>
      <w:r w:rsidR="00911FDB" w:rsidRPr="00174DCB">
        <w:t xml:space="preserve">future </w:t>
      </w:r>
      <w:r w:rsidR="0063164D" w:rsidRPr="00174DCB">
        <w:t>decision be made to remove the CAZ</w:t>
      </w:r>
      <w:r w:rsidR="006618E7" w:rsidRPr="00174DCB">
        <w:t xml:space="preserve">. </w:t>
      </w:r>
      <w:r w:rsidR="006618E7" w:rsidRPr="00174DCB">
        <w:rPr>
          <w:b/>
          <w:bCs/>
        </w:rPr>
        <w:t>£</w:t>
      </w:r>
      <w:r w:rsidR="008A7761" w:rsidRPr="00174DCB">
        <w:rPr>
          <w:b/>
          <w:bCs/>
        </w:rPr>
        <w:t>377</w:t>
      </w:r>
      <w:r w:rsidR="00954BF0" w:rsidRPr="00174DCB">
        <w:rPr>
          <w:b/>
          <w:bCs/>
        </w:rPr>
        <w:t>k</w:t>
      </w:r>
    </w:p>
    <w:p w14:paraId="1E6E0898" w14:textId="4F6C9E72" w:rsidR="00BD239D" w:rsidRPr="00174DCB" w:rsidRDefault="00BD239D">
      <w:r w:rsidRPr="00174DCB">
        <w:rPr>
          <w:b/>
          <w:bCs/>
        </w:rPr>
        <w:t>-Monitoring and Modelling reserve</w:t>
      </w:r>
      <w:r w:rsidR="00FF24D5" w:rsidRPr="00174DCB">
        <w:rPr>
          <w:b/>
          <w:bCs/>
        </w:rPr>
        <w:t>:</w:t>
      </w:r>
      <w:r w:rsidR="00FF24D5" w:rsidRPr="00174DCB">
        <w:t xml:space="preserve"> </w:t>
      </w:r>
      <w:r w:rsidRPr="00174DCB">
        <w:t>to cover air quality monitoring and future year modelling predictions.</w:t>
      </w:r>
      <w:r w:rsidR="006618E7" w:rsidRPr="00174DCB">
        <w:t xml:space="preserve"> </w:t>
      </w:r>
      <w:r w:rsidR="00954BF0" w:rsidRPr="00174DCB">
        <w:rPr>
          <w:b/>
          <w:bCs/>
        </w:rPr>
        <w:t>£4</w:t>
      </w:r>
      <w:r w:rsidR="008A7761" w:rsidRPr="00174DCB">
        <w:rPr>
          <w:b/>
          <w:bCs/>
        </w:rPr>
        <w:t>57</w:t>
      </w:r>
      <w:r w:rsidR="00954BF0" w:rsidRPr="00174DCB">
        <w:rPr>
          <w:b/>
          <w:bCs/>
        </w:rPr>
        <w:t>k</w:t>
      </w:r>
      <w:r w:rsidR="0046501A" w:rsidRPr="00174DCB">
        <w:rPr>
          <w:b/>
          <w:bCs/>
        </w:rPr>
        <w:t xml:space="preserve"> </w:t>
      </w:r>
    </w:p>
    <w:p w14:paraId="7703C172" w14:textId="4AD48CDF" w:rsidR="00AA418F" w:rsidRPr="00174DCB" w:rsidRDefault="00BD239D" w:rsidP="00BD239D">
      <w:r w:rsidRPr="00174DCB">
        <w:rPr>
          <w:b/>
          <w:bCs/>
        </w:rPr>
        <w:lastRenderedPageBreak/>
        <w:t>-Re-investment Reserve</w:t>
      </w:r>
      <w:r w:rsidR="00FF24D5" w:rsidRPr="00174DCB">
        <w:rPr>
          <w:b/>
          <w:bCs/>
        </w:rPr>
        <w:t>:</w:t>
      </w:r>
      <w:r w:rsidR="00FF24D5" w:rsidRPr="00174DCB">
        <w:t xml:space="preserve"> </w:t>
      </w:r>
      <w:r w:rsidR="00054AD9" w:rsidRPr="00174DCB">
        <w:t xml:space="preserve">used for the purposes set out in the </w:t>
      </w:r>
      <w:hyperlink r:id="rId10" w:history="1">
        <w:r w:rsidR="00054AD9" w:rsidRPr="00174DCB">
          <w:rPr>
            <w:rStyle w:val="Hyperlink"/>
          </w:rPr>
          <w:t>CAZ Charging Order</w:t>
        </w:r>
      </w:hyperlink>
      <w:r w:rsidR="00054AD9" w:rsidRPr="00174DCB">
        <w:t xml:space="preserve"> with benefits towards sustainable transport projects or schemes which compliment wider air quality improvements.</w:t>
      </w:r>
      <w:r w:rsidR="007E7470" w:rsidRPr="00174DCB">
        <w:t xml:space="preserve"> </w:t>
      </w:r>
    </w:p>
    <w:p w14:paraId="7C9835E1" w14:textId="6918461C" w:rsidR="003F5688" w:rsidRDefault="00AA418F" w:rsidP="00BD239D">
      <w:r w:rsidRPr="00174DCB">
        <w:t>This reserve receives the highest contribution of net revenue</w:t>
      </w:r>
      <w:r w:rsidR="005F609F" w:rsidRPr="00174DCB">
        <w:t xml:space="preserve"> with a current balance of </w:t>
      </w:r>
      <w:r w:rsidR="005F609F" w:rsidRPr="00174DCB">
        <w:rPr>
          <w:b/>
          <w:bCs/>
        </w:rPr>
        <w:t>£</w:t>
      </w:r>
      <w:r w:rsidR="008A7761" w:rsidRPr="00174DCB">
        <w:rPr>
          <w:b/>
          <w:bCs/>
        </w:rPr>
        <w:t>3.1</w:t>
      </w:r>
      <w:r w:rsidR="005F609F" w:rsidRPr="00174DCB">
        <w:rPr>
          <w:b/>
          <w:bCs/>
        </w:rPr>
        <w:t>m</w:t>
      </w:r>
      <w:r w:rsidR="008A7761" w:rsidRPr="00174DCB">
        <w:rPr>
          <w:b/>
          <w:bCs/>
        </w:rPr>
        <w:t xml:space="preserve"> </w:t>
      </w:r>
      <w:r w:rsidR="008A7761" w:rsidRPr="00174DCB">
        <w:t>net of contributions paid to schemes previously outlined</w:t>
      </w:r>
      <w:r w:rsidR="00AB6B84" w:rsidRPr="00174DCB">
        <w:t xml:space="preserve">. </w:t>
      </w:r>
      <w:r w:rsidR="008A7761" w:rsidRPr="00174DCB">
        <w:t>Schemes we’re already committed to funding total</w:t>
      </w:r>
      <w:r w:rsidR="00C56196" w:rsidRPr="00174DCB">
        <w:t xml:space="preserve"> </w:t>
      </w:r>
      <w:r w:rsidR="00C56196" w:rsidRPr="00174DCB">
        <w:rPr>
          <w:b/>
          <w:bCs/>
        </w:rPr>
        <w:t>£7.4m</w:t>
      </w:r>
      <w:r w:rsidR="00C56196" w:rsidRPr="00174DCB">
        <w:t xml:space="preserve"> </w:t>
      </w:r>
      <w:r w:rsidR="008A7761" w:rsidRPr="00174DCB">
        <w:t xml:space="preserve">and </w:t>
      </w:r>
      <w:r w:rsidR="008A7761" w:rsidRPr="00174DCB">
        <w:rPr>
          <w:b/>
          <w:bCs/>
        </w:rPr>
        <w:t>£4.3m</w:t>
      </w:r>
      <w:r w:rsidR="008A7761" w:rsidRPr="00174DCB">
        <w:t xml:space="preserve"> has already been paid out</w:t>
      </w:r>
      <w:r w:rsidR="00CE1665" w:rsidRPr="00174DCB">
        <w:t>.</w:t>
      </w:r>
      <w:r w:rsidR="00271AEF" w:rsidRPr="00174DCB">
        <w:t xml:space="preserve"> </w:t>
      </w:r>
    </w:p>
    <w:p w14:paraId="4B1D5902" w14:textId="03FDA4E3" w:rsidR="00D53906" w:rsidRDefault="00D53906" w:rsidP="00BD239D">
      <w:r>
        <w:t xml:space="preserve">To support our commitments to reinvestment of CAZ proceeds, we have allocated these funds to support a number of projects. A full breakdown of these can be found in </w:t>
      </w:r>
      <w:hyperlink r:id="rId11" w:history="1">
        <w:r w:rsidRPr="00D53906">
          <w:rPr>
            <w:rStyle w:val="Hyperlink"/>
          </w:rPr>
          <w:t>Appendix 4 of the 2023 Annual CAZ Report.</w:t>
        </w:r>
      </w:hyperlink>
      <w:r>
        <w:t xml:space="preserve"> </w:t>
      </w:r>
    </w:p>
    <w:p w14:paraId="2BB820C6" w14:textId="77777777" w:rsidR="00D53906" w:rsidRDefault="00D53906" w:rsidP="004E2E3B"/>
    <w:p w14:paraId="23EC6AC9" w14:textId="34AB53BC" w:rsidR="00A614E4" w:rsidRDefault="003E7B09" w:rsidP="003E7B09">
      <w:pPr>
        <w:pStyle w:val="Heading2"/>
      </w:pPr>
      <w:r>
        <w:t xml:space="preserve">Penalty Charges </w:t>
      </w:r>
    </w:p>
    <w:p w14:paraId="6B7D9464" w14:textId="6101FD52" w:rsidR="00D53906" w:rsidRPr="00D53906" w:rsidRDefault="00D53906" w:rsidP="00D53906">
      <w:r>
        <w:t xml:space="preserve">The following section looks to outline the number of penalty charges issued in the calendar years of 2023 and 2024. </w:t>
      </w:r>
    </w:p>
    <w:p w14:paraId="2178E785" w14:textId="0E0AC218" w:rsidR="00D1001A" w:rsidRDefault="00D1001A" w:rsidP="003E7B09">
      <w:r>
        <w:t>Penalty Charge Notices (PCN</w:t>
      </w:r>
      <w:r w:rsidR="004155D4">
        <w:t>s</w:t>
      </w:r>
      <w:r>
        <w:t xml:space="preserve">) </w:t>
      </w:r>
      <w:r w:rsidR="004155D4">
        <w:t>have seen a 19% decrease since implementation in 2023. Total annual figures are demonstrated below:</w:t>
      </w:r>
    </w:p>
    <w:tbl>
      <w:tblPr>
        <w:tblStyle w:val="TableGrid"/>
        <w:tblW w:w="5000" w:type="pct"/>
        <w:tblLook w:val="04A0" w:firstRow="1" w:lastRow="0" w:firstColumn="1" w:lastColumn="0" w:noHBand="0" w:noVBand="1"/>
      </w:tblPr>
      <w:tblGrid>
        <w:gridCol w:w="4250"/>
        <w:gridCol w:w="2631"/>
        <w:gridCol w:w="2135"/>
      </w:tblGrid>
      <w:tr w:rsidR="00D53906" w:rsidRPr="00D53906" w14:paraId="2B630198" w14:textId="77777777" w:rsidTr="00D53906">
        <w:tc>
          <w:tcPr>
            <w:tcW w:w="2357" w:type="pct"/>
            <w:shd w:val="clear" w:color="auto" w:fill="8EAADB" w:themeFill="accent1" w:themeFillTint="99"/>
          </w:tcPr>
          <w:p w14:paraId="6DA42268" w14:textId="554F8C8B" w:rsidR="004155D4" w:rsidRPr="00D53906" w:rsidRDefault="004155D4" w:rsidP="004155D4">
            <w:pPr>
              <w:jc w:val="right"/>
              <w:rPr>
                <w:b/>
                <w:bCs/>
              </w:rPr>
            </w:pPr>
          </w:p>
        </w:tc>
        <w:tc>
          <w:tcPr>
            <w:tcW w:w="1459" w:type="pct"/>
            <w:shd w:val="clear" w:color="auto" w:fill="8EAADB" w:themeFill="accent1" w:themeFillTint="99"/>
          </w:tcPr>
          <w:p w14:paraId="4CC8DCCD" w14:textId="731707DE" w:rsidR="004155D4" w:rsidRPr="00CB447A" w:rsidRDefault="004155D4" w:rsidP="004155D4">
            <w:pPr>
              <w:jc w:val="center"/>
              <w:rPr>
                <w:b/>
                <w:bCs/>
                <w:color w:val="FFFFFF" w:themeColor="background1"/>
              </w:rPr>
            </w:pPr>
            <w:r w:rsidRPr="00CB447A">
              <w:rPr>
                <w:b/>
                <w:bCs/>
                <w:color w:val="FFFFFF" w:themeColor="background1"/>
              </w:rPr>
              <w:t>2023</w:t>
            </w:r>
          </w:p>
        </w:tc>
        <w:tc>
          <w:tcPr>
            <w:tcW w:w="1184" w:type="pct"/>
            <w:shd w:val="clear" w:color="auto" w:fill="8EAADB" w:themeFill="accent1" w:themeFillTint="99"/>
          </w:tcPr>
          <w:p w14:paraId="50CB8966" w14:textId="1DC15CE6" w:rsidR="004155D4" w:rsidRPr="00CB447A" w:rsidRDefault="004155D4" w:rsidP="004155D4">
            <w:pPr>
              <w:jc w:val="center"/>
              <w:rPr>
                <w:b/>
                <w:bCs/>
                <w:color w:val="FFFFFF" w:themeColor="background1"/>
              </w:rPr>
            </w:pPr>
            <w:r w:rsidRPr="00CB447A">
              <w:rPr>
                <w:b/>
                <w:bCs/>
                <w:color w:val="FFFFFF" w:themeColor="background1"/>
              </w:rPr>
              <w:t>2024</w:t>
            </w:r>
          </w:p>
        </w:tc>
      </w:tr>
      <w:tr w:rsidR="00D53906" w:rsidRPr="00D53906" w14:paraId="20015339" w14:textId="77777777" w:rsidTr="00D53906">
        <w:tc>
          <w:tcPr>
            <w:tcW w:w="2357" w:type="pct"/>
          </w:tcPr>
          <w:p w14:paraId="10410182" w14:textId="67CF9785" w:rsidR="004155D4" w:rsidRPr="00D53906" w:rsidRDefault="004155D4" w:rsidP="004155D4">
            <w:pPr>
              <w:jc w:val="right"/>
            </w:pPr>
            <w:r w:rsidRPr="00D53906">
              <w:rPr>
                <w:b/>
                <w:bCs/>
              </w:rPr>
              <w:t>Total PCNs issued</w:t>
            </w:r>
          </w:p>
        </w:tc>
        <w:tc>
          <w:tcPr>
            <w:tcW w:w="1459" w:type="pct"/>
          </w:tcPr>
          <w:p w14:paraId="28E3912C" w14:textId="73571D83" w:rsidR="004155D4" w:rsidRPr="00D53906" w:rsidRDefault="004155D4" w:rsidP="004155D4">
            <w:pPr>
              <w:jc w:val="center"/>
            </w:pPr>
            <w:r w:rsidRPr="00D53906">
              <w:t>28037</w:t>
            </w:r>
          </w:p>
        </w:tc>
        <w:tc>
          <w:tcPr>
            <w:tcW w:w="1184" w:type="pct"/>
          </w:tcPr>
          <w:p w14:paraId="3D45209F" w14:textId="2088DDC2" w:rsidR="004155D4" w:rsidRPr="00D53906" w:rsidRDefault="004155D4" w:rsidP="004155D4">
            <w:pPr>
              <w:jc w:val="center"/>
            </w:pPr>
            <w:r w:rsidRPr="00D53906">
              <w:t>2</w:t>
            </w:r>
            <w:r w:rsidR="00FD284D">
              <w:t>6</w:t>
            </w:r>
            <w:r w:rsidRPr="00D53906">
              <w:t>480</w:t>
            </w:r>
          </w:p>
        </w:tc>
      </w:tr>
    </w:tbl>
    <w:p w14:paraId="71203DB3" w14:textId="77777777" w:rsidR="004155D4" w:rsidRDefault="004155D4" w:rsidP="003E7B09"/>
    <w:p w14:paraId="4784177B" w14:textId="624E8DE2" w:rsidR="003E7B09" w:rsidRPr="003E7B09" w:rsidRDefault="00D1001A" w:rsidP="003E7B09">
      <w:r>
        <w:t xml:space="preserve">Monthly PCN data is shown below for 2023 and 2024. As PCNs were introduced in April 2023 to allow comparison data is presented from April-December. </w:t>
      </w:r>
    </w:p>
    <w:p w14:paraId="485A1C5C" w14:textId="2B4B923A" w:rsidR="003E7B09" w:rsidRDefault="003E7B09" w:rsidP="003E7B09">
      <w:r>
        <w:rPr>
          <w:noProof/>
        </w:rPr>
        <w:drawing>
          <wp:inline distT="0" distB="0" distL="0" distR="0" wp14:anchorId="0D3594D6" wp14:editId="294C3895">
            <wp:extent cx="5419725" cy="3219450"/>
            <wp:effectExtent l="0" t="0" r="9525" b="0"/>
            <wp:docPr id="2139117975" name="Chart 1">
              <a:extLst xmlns:a="http://schemas.openxmlformats.org/drawingml/2006/main">
                <a:ext uri="{FF2B5EF4-FFF2-40B4-BE49-F238E27FC236}">
                  <a16:creationId xmlns:a16="http://schemas.microsoft.com/office/drawing/2014/main" id="{BE8E3DC4-FB4A-4F39-96EC-8B2986EFB3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1A81F02" w14:textId="77777777" w:rsidR="003E7B09" w:rsidRDefault="003E7B09" w:rsidP="003E7B09">
      <w:r>
        <w:t xml:space="preserve">The number of Representations made by members of the public against an issued Penalty Charge Notice (PCN) active during 2024 is </w:t>
      </w:r>
      <w:r>
        <w:rPr>
          <w:b/>
          <w:bCs/>
        </w:rPr>
        <w:t>5932</w:t>
      </w:r>
      <w:r>
        <w:t xml:space="preserve"> </w:t>
      </w:r>
    </w:p>
    <w:p w14:paraId="49BA5C14" w14:textId="7D35C61F" w:rsidR="003E7B09" w:rsidRDefault="003E7B09" w:rsidP="003E7B09">
      <w:r w:rsidRPr="004155D4">
        <w:rPr>
          <w:b/>
          <w:bCs/>
        </w:rPr>
        <w:lastRenderedPageBreak/>
        <w:t>Please note</w:t>
      </w:r>
      <w:r w:rsidR="004155D4">
        <w:t>,</w:t>
      </w:r>
      <w:r>
        <w:t xml:space="preserve"> this figure may include Representations made against PCNs issued in previous years, as well as not including Representations made against PCNs issued in 2024 but made in 2025. This figure may also include duplicate Representations made against individual PCNs, for instance where a Transfer of Liability has been made and subsequently a secondary Representation made by the secondary party.</w:t>
      </w:r>
    </w:p>
    <w:p w14:paraId="45729986" w14:textId="77777777" w:rsidR="003E7B09" w:rsidRPr="003E7B09" w:rsidRDefault="003E7B09" w:rsidP="003E7B09"/>
    <w:sectPr w:rsidR="003E7B09" w:rsidRPr="003E7B09">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3182B" w14:textId="77777777" w:rsidR="009005A3" w:rsidRDefault="009005A3" w:rsidP="00A13E23">
      <w:pPr>
        <w:spacing w:after="0" w:line="240" w:lineRule="auto"/>
      </w:pPr>
      <w:r>
        <w:separator/>
      </w:r>
    </w:p>
  </w:endnote>
  <w:endnote w:type="continuationSeparator" w:id="0">
    <w:p w14:paraId="58DD4391" w14:textId="77777777" w:rsidR="009005A3" w:rsidRDefault="009005A3" w:rsidP="00A13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203526"/>
      <w:docPartObj>
        <w:docPartGallery w:val="Page Numbers (Bottom of Page)"/>
        <w:docPartUnique/>
      </w:docPartObj>
    </w:sdtPr>
    <w:sdtEndPr>
      <w:rPr>
        <w:noProof/>
      </w:rPr>
    </w:sdtEndPr>
    <w:sdtContent>
      <w:p w14:paraId="40DC337C" w14:textId="2A42651B" w:rsidR="00A13E23" w:rsidRDefault="00A13E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419C5E" w14:textId="77777777" w:rsidR="00A13E23" w:rsidRDefault="00A13E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02F9F" w14:textId="77777777" w:rsidR="009005A3" w:rsidRDefault="009005A3" w:rsidP="00A13E23">
      <w:pPr>
        <w:spacing w:after="0" w:line="240" w:lineRule="auto"/>
      </w:pPr>
      <w:r>
        <w:separator/>
      </w:r>
    </w:p>
  </w:footnote>
  <w:footnote w:type="continuationSeparator" w:id="0">
    <w:p w14:paraId="23A33D16" w14:textId="77777777" w:rsidR="009005A3" w:rsidRDefault="009005A3" w:rsidP="00A13E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94C6F" w14:textId="2DAFD028" w:rsidR="00A13E23" w:rsidRDefault="00A13E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E8536" w14:textId="69F97CA7" w:rsidR="00A13E23" w:rsidRDefault="00E31960" w:rsidP="00E31960">
    <w:pPr>
      <w:pStyle w:val="Header"/>
      <w:jc w:val="right"/>
    </w:pPr>
    <w:r>
      <w:t>Bath’s Clean Air Zone Annual Monitoring Report, 202</w:t>
    </w:r>
    <w:r w:rsidR="008A7761">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6AFA" w14:textId="3FB86D95" w:rsidR="00A13E23" w:rsidRDefault="00A13E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4E4"/>
    <w:rsid w:val="000069C6"/>
    <w:rsid w:val="000072A2"/>
    <w:rsid w:val="000220E7"/>
    <w:rsid w:val="00022129"/>
    <w:rsid w:val="00032C1F"/>
    <w:rsid w:val="0004391E"/>
    <w:rsid w:val="00043942"/>
    <w:rsid w:val="00046437"/>
    <w:rsid w:val="00054AD9"/>
    <w:rsid w:val="00087F9C"/>
    <w:rsid w:val="000A2DD9"/>
    <w:rsid w:val="000C55B8"/>
    <w:rsid w:val="000C62FA"/>
    <w:rsid w:val="000D48C3"/>
    <w:rsid w:val="000D4E1C"/>
    <w:rsid w:val="000E4B24"/>
    <w:rsid w:val="000E7A99"/>
    <w:rsid w:val="000F4294"/>
    <w:rsid w:val="0010338D"/>
    <w:rsid w:val="00113700"/>
    <w:rsid w:val="00121741"/>
    <w:rsid w:val="001530C3"/>
    <w:rsid w:val="00161E22"/>
    <w:rsid w:val="00174DCB"/>
    <w:rsid w:val="00182CCA"/>
    <w:rsid w:val="001A2CC7"/>
    <w:rsid w:val="001B66FE"/>
    <w:rsid w:val="0021530C"/>
    <w:rsid w:val="00222183"/>
    <w:rsid w:val="0023653F"/>
    <w:rsid w:val="00240A91"/>
    <w:rsid w:val="00271AEF"/>
    <w:rsid w:val="002812DD"/>
    <w:rsid w:val="002B3F5D"/>
    <w:rsid w:val="002C05BC"/>
    <w:rsid w:val="002C2064"/>
    <w:rsid w:val="002F70E6"/>
    <w:rsid w:val="00352E8E"/>
    <w:rsid w:val="0035626D"/>
    <w:rsid w:val="003871EC"/>
    <w:rsid w:val="003A0670"/>
    <w:rsid w:val="003E7B09"/>
    <w:rsid w:val="003F5688"/>
    <w:rsid w:val="004155D4"/>
    <w:rsid w:val="00422E92"/>
    <w:rsid w:val="004253B0"/>
    <w:rsid w:val="00426A2C"/>
    <w:rsid w:val="00441A40"/>
    <w:rsid w:val="0046501A"/>
    <w:rsid w:val="00471648"/>
    <w:rsid w:val="00474D32"/>
    <w:rsid w:val="00490D62"/>
    <w:rsid w:val="004C4578"/>
    <w:rsid w:val="004D28C6"/>
    <w:rsid w:val="004E2E3B"/>
    <w:rsid w:val="004E51AD"/>
    <w:rsid w:val="004F0286"/>
    <w:rsid w:val="004F5D27"/>
    <w:rsid w:val="005152F1"/>
    <w:rsid w:val="005175B3"/>
    <w:rsid w:val="00527DDA"/>
    <w:rsid w:val="00534467"/>
    <w:rsid w:val="00534C7D"/>
    <w:rsid w:val="005732B6"/>
    <w:rsid w:val="00573AFD"/>
    <w:rsid w:val="00583FDB"/>
    <w:rsid w:val="005A040B"/>
    <w:rsid w:val="005A6F91"/>
    <w:rsid w:val="005C4C28"/>
    <w:rsid w:val="005D4E65"/>
    <w:rsid w:val="005F609F"/>
    <w:rsid w:val="006073D2"/>
    <w:rsid w:val="00611A19"/>
    <w:rsid w:val="0063164D"/>
    <w:rsid w:val="00651ACB"/>
    <w:rsid w:val="006618E7"/>
    <w:rsid w:val="006728E8"/>
    <w:rsid w:val="006B25F8"/>
    <w:rsid w:val="006D4712"/>
    <w:rsid w:val="006D5338"/>
    <w:rsid w:val="00710067"/>
    <w:rsid w:val="00741A6A"/>
    <w:rsid w:val="007427C0"/>
    <w:rsid w:val="007A44B9"/>
    <w:rsid w:val="007B357B"/>
    <w:rsid w:val="007E4319"/>
    <w:rsid w:val="007E7470"/>
    <w:rsid w:val="007F2A21"/>
    <w:rsid w:val="00814D35"/>
    <w:rsid w:val="0081670E"/>
    <w:rsid w:val="00861F51"/>
    <w:rsid w:val="00892E7C"/>
    <w:rsid w:val="00897AD6"/>
    <w:rsid w:val="008A7761"/>
    <w:rsid w:val="008C217D"/>
    <w:rsid w:val="008D7BF9"/>
    <w:rsid w:val="009005A3"/>
    <w:rsid w:val="00911FDB"/>
    <w:rsid w:val="00933DEA"/>
    <w:rsid w:val="00954BF0"/>
    <w:rsid w:val="00970522"/>
    <w:rsid w:val="009773B2"/>
    <w:rsid w:val="00984FE5"/>
    <w:rsid w:val="00992D73"/>
    <w:rsid w:val="00994E97"/>
    <w:rsid w:val="009C3DA2"/>
    <w:rsid w:val="009E1A97"/>
    <w:rsid w:val="009E7635"/>
    <w:rsid w:val="009F5E68"/>
    <w:rsid w:val="00A13E23"/>
    <w:rsid w:val="00A258C7"/>
    <w:rsid w:val="00A35D3C"/>
    <w:rsid w:val="00A614E4"/>
    <w:rsid w:val="00A65BF5"/>
    <w:rsid w:val="00A8063A"/>
    <w:rsid w:val="00AA418F"/>
    <w:rsid w:val="00AB6B84"/>
    <w:rsid w:val="00AD42E2"/>
    <w:rsid w:val="00AD53C9"/>
    <w:rsid w:val="00AD6855"/>
    <w:rsid w:val="00AE1DA4"/>
    <w:rsid w:val="00AF1B01"/>
    <w:rsid w:val="00AF3DB0"/>
    <w:rsid w:val="00B00BA6"/>
    <w:rsid w:val="00B11B01"/>
    <w:rsid w:val="00B176B6"/>
    <w:rsid w:val="00B2646C"/>
    <w:rsid w:val="00B34746"/>
    <w:rsid w:val="00B528F4"/>
    <w:rsid w:val="00B77C0B"/>
    <w:rsid w:val="00BB1218"/>
    <w:rsid w:val="00BD239D"/>
    <w:rsid w:val="00BF4F5C"/>
    <w:rsid w:val="00C31215"/>
    <w:rsid w:val="00C31F0D"/>
    <w:rsid w:val="00C55E89"/>
    <w:rsid w:val="00C56196"/>
    <w:rsid w:val="00C61C43"/>
    <w:rsid w:val="00C80806"/>
    <w:rsid w:val="00C8264C"/>
    <w:rsid w:val="00C95F27"/>
    <w:rsid w:val="00CB40DA"/>
    <w:rsid w:val="00CB447A"/>
    <w:rsid w:val="00CD5176"/>
    <w:rsid w:val="00CE1665"/>
    <w:rsid w:val="00CF2AED"/>
    <w:rsid w:val="00CF666B"/>
    <w:rsid w:val="00D07DC9"/>
    <w:rsid w:val="00D1001A"/>
    <w:rsid w:val="00D4404D"/>
    <w:rsid w:val="00D447B5"/>
    <w:rsid w:val="00D447CB"/>
    <w:rsid w:val="00D47941"/>
    <w:rsid w:val="00D53906"/>
    <w:rsid w:val="00D606BE"/>
    <w:rsid w:val="00D85160"/>
    <w:rsid w:val="00D94BE4"/>
    <w:rsid w:val="00DD228B"/>
    <w:rsid w:val="00DF456B"/>
    <w:rsid w:val="00DF7E55"/>
    <w:rsid w:val="00E17C1F"/>
    <w:rsid w:val="00E31960"/>
    <w:rsid w:val="00E500F7"/>
    <w:rsid w:val="00EA0E3B"/>
    <w:rsid w:val="00EB330B"/>
    <w:rsid w:val="00EB73FD"/>
    <w:rsid w:val="00EC0783"/>
    <w:rsid w:val="00EE50DD"/>
    <w:rsid w:val="00EF437D"/>
    <w:rsid w:val="00EF5FE0"/>
    <w:rsid w:val="00F07B1D"/>
    <w:rsid w:val="00F52225"/>
    <w:rsid w:val="00F528D8"/>
    <w:rsid w:val="00F56FC0"/>
    <w:rsid w:val="00F628D2"/>
    <w:rsid w:val="00FA4825"/>
    <w:rsid w:val="00FC79E4"/>
    <w:rsid w:val="00FD284D"/>
    <w:rsid w:val="00FF00F7"/>
    <w:rsid w:val="00FF1346"/>
    <w:rsid w:val="00FF24D5"/>
    <w:rsid w:val="016566A4"/>
    <w:rsid w:val="039BB751"/>
    <w:rsid w:val="05D61E00"/>
    <w:rsid w:val="075E9992"/>
    <w:rsid w:val="09770B48"/>
    <w:rsid w:val="0B27630D"/>
    <w:rsid w:val="0E2358F6"/>
    <w:rsid w:val="183E2784"/>
    <w:rsid w:val="1B14D84F"/>
    <w:rsid w:val="1B37CBAD"/>
    <w:rsid w:val="1ECE2F9B"/>
    <w:rsid w:val="21603471"/>
    <w:rsid w:val="243FFD5B"/>
    <w:rsid w:val="26B9EACA"/>
    <w:rsid w:val="2B9D31CD"/>
    <w:rsid w:val="2BF80169"/>
    <w:rsid w:val="31EBAC12"/>
    <w:rsid w:val="32FECDB8"/>
    <w:rsid w:val="3348EF75"/>
    <w:rsid w:val="39A61DA2"/>
    <w:rsid w:val="3EE85702"/>
    <w:rsid w:val="463BA7D5"/>
    <w:rsid w:val="4721F5B2"/>
    <w:rsid w:val="49A4E19D"/>
    <w:rsid w:val="4C20AAAF"/>
    <w:rsid w:val="5173AF90"/>
    <w:rsid w:val="51840271"/>
    <w:rsid w:val="526C7482"/>
    <w:rsid w:val="5345079E"/>
    <w:rsid w:val="53753ACD"/>
    <w:rsid w:val="5505E25D"/>
    <w:rsid w:val="590C8FAA"/>
    <w:rsid w:val="595AB103"/>
    <w:rsid w:val="59F75D34"/>
    <w:rsid w:val="5A60113C"/>
    <w:rsid w:val="5B475C80"/>
    <w:rsid w:val="5B769B6B"/>
    <w:rsid w:val="5DAA59A3"/>
    <w:rsid w:val="63AF9B0B"/>
    <w:rsid w:val="63FDC2E0"/>
    <w:rsid w:val="649A13B3"/>
    <w:rsid w:val="6557943E"/>
    <w:rsid w:val="720BF1C2"/>
    <w:rsid w:val="742DA0F4"/>
    <w:rsid w:val="77FA448F"/>
    <w:rsid w:val="7A1C5768"/>
    <w:rsid w:val="7C2894D0"/>
    <w:rsid w:val="7E40AA9F"/>
    <w:rsid w:val="7E58BF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5540A"/>
  <w15:chartTrackingRefBased/>
  <w15:docId w15:val="{7922308B-E35F-41F5-B24F-D495EF8FA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38D"/>
  </w:style>
  <w:style w:type="paragraph" w:styleId="Heading1">
    <w:name w:val="heading 1"/>
    <w:basedOn w:val="Normal"/>
    <w:next w:val="Normal"/>
    <w:link w:val="Heading1Char"/>
    <w:uiPriority w:val="9"/>
    <w:qFormat/>
    <w:rsid w:val="00A614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614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E7B09"/>
    <w:pPr>
      <w:outlineLvl w:val="2"/>
    </w:pPr>
    <w:rPr>
      <w:color w:val="4472C4" w:themeColor="accent1"/>
      <w:sz w:val="28"/>
    </w:rPr>
  </w:style>
  <w:style w:type="paragraph" w:styleId="Heading4">
    <w:name w:val="heading 4"/>
    <w:basedOn w:val="Normal"/>
    <w:next w:val="Normal"/>
    <w:link w:val="Heading4Char"/>
    <w:uiPriority w:val="9"/>
    <w:semiHidden/>
    <w:unhideWhenUsed/>
    <w:qFormat/>
    <w:rsid w:val="00A614E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614E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614E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614E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614E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614E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4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614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E7B09"/>
    <w:rPr>
      <w:color w:val="4472C4" w:themeColor="accent1"/>
      <w:sz w:val="28"/>
    </w:rPr>
  </w:style>
  <w:style w:type="character" w:customStyle="1" w:styleId="Heading4Char">
    <w:name w:val="Heading 4 Char"/>
    <w:basedOn w:val="DefaultParagraphFont"/>
    <w:link w:val="Heading4"/>
    <w:uiPriority w:val="9"/>
    <w:semiHidden/>
    <w:rsid w:val="00A614E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614E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614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614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614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614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614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4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4E4"/>
    <w:pPr>
      <w:numPr>
        <w:ilvl w:val="1"/>
      </w:numPr>
    </w:pPr>
    <w:rPr>
      <w:rFonts w:asciiTheme="minorHAnsi" w:eastAsiaTheme="majorEastAsia" w:hAnsiTheme="minorHAnsi" w:cstheme="majorBidi"/>
      <w:color w:val="595959" w:themeColor="text1" w:themeTint="A6"/>
      <w:spacing w:val="15"/>
      <w:sz w:val="28"/>
    </w:rPr>
  </w:style>
  <w:style w:type="character" w:customStyle="1" w:styleId="SubtitleChar">
    <w:name w:val="Subtitle Char"/>
    <w:basedOn w:val="DefaultParagraphFont"/>
    <w:link w:val="Subtitle"/>
    <w:uiPriority w:val="11"/>
    <w:rsid w:val="00A614E4"/>
    <w:rPr>
      <w:rFonts w:asciiTheme="minorHAnsi" w:eastAsiaTheme="majorEastAsia" w:hAnsiTheme="minorHAnsi" w:cstheme="majorBidi"/>
      <w:color w:val="595959" w:themeColor="text1" w:themeTint="A6"/>
      <w:spacing w:val="15"/>
      <w:sz w:val="28"/>
    </w:rPr>
  </w:style>
  <w:style w:type="paragraph" w:styleId="Quote">
    <w:name w:val="Quote"/>
    <w:basedOn w:val="Normal"/>
    <w:next w:val="Normal"/>
    <w:link w:val="QuoteChar"/>
    <w:uiPriority w:val="29"/>
    <w:qFormat/>
    <w:rsid w:val="00A614E4"/>
    <w:pPr>
      <w:spacing w:before="160"/>
      <w:jc w:val="center"/>
    </w:pPr>
    <w:rPr>
      <w:i/>
      <w:iCs/>
      <w:color w:val="404040" w:themeColor="text1" w:themeTint="BF"/>
    </w:rPr>
  </w:style>
  <w:style w:type="character" w:customStyle="1" w:styleId="QuoteChar">
    <w:name w:val="Quote Char"/>
    <w:basedOn w:val="DefaultParagraphFont"/>
    <w:link w:val="Quote"/>
    <w:uiPriority w:val="29"/>
    <w:rsid w:val="00A614E4"/>
    <w:rPr>
      <w:i/>
      <w:iCs/>
      <w:color w:val="404040" w:themeColor="text1" w:themeTint="BF"/>
    </w:rPr>
  </w:style>
  <w:style w:type="paragraph" w:styleId="ListParagraph">
    <w:name w:val="List Paragraph"/>
    <w:basedOn w:val="Normal"/>
    <w:uiPriority w:val="34"/>
    <w:qFormat/>
    <w:rsid w:val="00A614E4"/>
    <w:pPr>
      <w:ind w:left="720"/>
      <w:contextualSpacing/>
    </w:pPr>
  </w:style>
  <w:style w:type="character" w:styleId="IntenseEmphasis">
    <w:name w:val="Intense Emphasis"/>
    <w:basedOn w:val="DefaultParagraphFont"/>
    <w:uiPriority w:val="21"/>
    <w:qFormat/>
    <w:rsid w:val="00A614E4"/>
    <w:rPr>
      <w:i/>
      <w:iCs/>
      <w:color w:val="2F5496" w:themeColor="accent1" w:themeShade="BF"/>
    </w:rPr>
  </w:style>
  <w:style w:type="paragraph" w:styleId="IntenseQuote">
    <w:name w:val="Intense Quote"/>
    <w:basedOn w:val="Normal"/>
    <w:next w:val="Normal"/>
    <w:link w:val="IntenseQuoteChar"/>
    <w:uiPriority w:val="30"/>
    <w:qFormat/>
    <w:rsid w:val="00A614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14E4"/>
    <w:rPr>
      <w:i/>
      <w:iCs/>
      <w:color w:val="2F5496" w:themeColor="accent1" w:themeShade="BF"/>
    </w:rPr>
  </w:style>
  <w:style w:type="character" w:styleId="IntenseReference">
    <w:name w:val="Intense Reference"/>
    <w:basedOn w:val="DefaultParagraphFont"/>
    <w:uiPriority w:val="32"/>
    <w:qFormat/>
    <w:rsid w:val="00A614E4"/>
    <w:rPr>
      <w:b/>
      <w:bCs/>
      <w:smallCaps/>
      <w:color w:val="2F5496" w:themeColor="accent1" w:themeShade="BF"/>
      <w:spacing w:val="5"/>
    </w:rPr>
  </w:style>
  <w:style w:type="character" w:styleId="Hyperlink">
    <w:name w:val="Hyperlink"/>
    <w:basedOn w:val="DefaultParagraphFont"/>
    <w:uiPriority w:val="99"/>
    <w:unhideWhenUsed/>
    <w:rsid w:val="00BD239D"/>
    <w:rPr>
      <w:color w:val="0563C1" w:themeColor="hyperlink"/>
      <w:u w:val="single"/>
    </w:rPr>
  </w:style>
  <w:style w:type="character" w:styleId="UnresolvedMention">
    <w:name w:val="Unresolved Mention"/>
    <w:basedOn w:val="DefaultParagraphFont"/>
    <w:uiPriority w:val="99"/>
    <w:semiHidden/>
    <w:unhideWhenUsed/>
    <w:rsid w:val="00BD239D"/>
    <w:rPr>
      <w:color w:val="605E5C"/>
      <w:shd w:val="clear" w:color="auto" w:fill="E1DFDD"/>
    </w:rPr>
  </w:style>
  <w:style w:type="paragraph" w:styleId="Revision">
    <w:name w:val="Revision"/>
    <w:hidden/>
    <w:uiPriority w:val="99"/>
    <w:semiHidden/>
    <w:rsid w:val="00E500F7"/>
    <w:pPr>
      <w:spacing w:after="0" w:line="240" w:lineRule="auto"/>
    </w:pPr>
  </w:style>
  <w:style w:type="character" w:styleId="CommentReference">
    <w:name w:val="annotation reference"/>
    <w:basedOn w:val="DefaultParagraphFont"/>
    <w:uiPriority w:val="99"/>
    <w:semiHidden/>
    <w:unhideWhenUsed/>
    <w:rsid w:val="000C62FA"/>
    <w:rPr>
      <w:sz w:val="16"/>
      <w:szCs w:val="16"/>
    </w:rPr>
  </w:style>
  <w:style w:type="paragraph" w:styleId="CommentText">
    <w:name w:val="annotation text"/>
    <w:basedOn w:val="Normal"/>
    <w:link w:val="CommentTextChar"/>
    <w:uiPriority w:val="99"/>
    <w:unhideWhenUsed/>
    <w:rsid w:val="000C62FA"/>
    <w:pPr>
      <w:spacing w:line="240" w:lineRule="auto"/>
    </w:pPr>
    <w:rPr>
      <w:sz w:val="20"/>
      <w:szCs w:val="20"/>
    </w:rPr>
  </w:style>
  <w:style w:type="character" w:customStyle="1" w:styleId="CommentTextChar">
    <w:name w:val="Comment Text Char"/>
    <w:basedOn w:val="DefaultParagraphFont"/>
    <w:link w:val="CommentText"/>
    <w:uiPriority w:val="99"/>
    <w:rsid w:val="000C62FA"/>
    <w:rPr>
      <w:sz w:val="20"/>
      <w:szCs w:val="20"/>
    </w:rPr>
  </w:style>
  <w:style w:type="paragraph" w:styleId="CommentSubject">
    <w:name w:val="annotation subject"/>
    <w:basedOn w:val="CommentText"/>
    <w:next w:val="CommentText"/>
    <w:link w:val="CommentSubjectChar"/>
    <w:uiPriority w:val="99"/>
    <w:semiHidden/>
    <w:unhideWhenUsed/>
    <w:rsid w:val="000C62FA"/>
    <w:rPr>
      <w:b/>
      <w:bCs/>
    </w:rPr>
  </w:style>
  <w:style w:type="character" w:customStyle="1" w:styleId="CommentSubjectChar">
    <w:name w:val="Comment Subject Char"/>
    <w:basedOn w:val="CommentTextChar"/>
    <w:link w:val="CommentSubject"/>
    <w:uiPriority w:val="99"/>
    <w:semiHidden/>
    <w:rsid w:val="000C62FA"/>
    <w:rPr>
      <w:b/>
      <w:bCs/>
      <w:sz w:val="20"/>
      <w:szCs w:val="20"/>
    </w:rPr>
  </w:style>
  <w:style w:type="paragraph" w:styleId="Header">
    <w:name w:val="header"/>
    <w:basedOn w:val="Normal"/>
    <w:link w:val="HeaderChar"/>
    <w:uiPriority w:val="99"/>
    <w:unhideWhenUsed/>
    <w:rsid w:val="00A13E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3E23"/>
  </w:style>
  <w:style w:type="paragraph" w:styleId="Footer">
    <w:name w:val="footer"/>
    <w:basedOn w:val="Normal"/>
    <w:link w:val="FooterChar"/>
    <w:uiPriority w:val="99"/>
    <w:unhideWhenUsed/>
    <w:rsid w:val="00A13E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3E23"/>
  </w:style>
  <w:style w:type="table" w:styleId="TableGrid">
    <w:name w:val="Table Grid"/>
    <w:basedOn w:val="TableNormal"/>
    <w:uiPriority w:val="39"/>
    <w:rsid w:val="00415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1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athnes.gov.uk/document-and-policy-library/bath-clean-air-zone-caz-monitoring-reports-2023"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beta.bathnes.gov.uk/policy-and-documents-library/clean-air-zone-charging-order" TargetMode="External"/><Relationship Id="rId4" Type="http://schemas.openxmlformats.org/officeDocument/2006/relationships/styles" Target="styles.xml"/><Relationship Id="rId9" Type="http://schemas.openxmlformats.org/officeDocument/2006/relationships/hyperlink" Target="https://beta.bathnes.gov.uk/policy-and-documents-library/clean-air-zone-charging-order"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https://bathnesgovuk-my.sharepoint.com/personal/jocelyn_dunne_bathnes_gov_uk/Documents/Documents/CAZ%20Report%20Data/Financial%20&amp;%20PCN%20Measur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Sheet1!$C$1</c:f>
              <c:strCache>
                <c:ptCount val="1"/>
                <c:pt idx="0">
                  <c:v>2023</c:v>
                </c:pt>
              </c:strCache>
            </c:strRef>
          </c:tx>
          <c:spPr>
            <a:solidFill>
              <a:srgbClr val="DB34EB"/>
            </a:solidFill>
            <a:ln>
              <a:noFill/>
            </a:ln>
            <a:effectLst/>
          </c:spPr>
          <c:invertIfNegative val="0"/>
          <c:cat>
            <c:strRef>
              <c:f>Sheet1!$B$5:$B$13</c:f>
              <c:strCache>
                <c:ptCount val="9"/>
                <c:pt idx="0">
                  <c:v>April</c:v>
                </c:pt>
                <c:pt idx="1">
                  <c:v>May</c:v>
                </c:pt>
                <c:pt idx="2">
                  <c:v>June</c:v>
                </c:pt>
                <c:pt idx="3">
                  <c:v>July</c:v>
                </c:pt>
                <c:pt idx="4">
                  <c:v>August</c:v>
                </c:pt>
                <c:pt idx="5">
                  <c:v>September</c:v>
                </c:pt>
                <c:pt idx="6">
                  <c:v>October</c:v>
                </c:pt>
                <c:pt idx="7">
                  <c:v>November</c:v>
                </c:pt>
                <c:pt idx="8">
                  <c:v>December</c:v>
                </c:pt>
              </c:strCache>
              <c:extLst/>
            </c:strRef>
          </c:cat>
          <c:val>
            <c:numRef>
              <c:f>Sheet1!$C$5:$C$13</c:f>
              <c:numCache>
                <c:formatCode>General</c:formatCode>
                <c:ptCount val="9"/>
                <c:pt idx="0">
                  <c:v>3493</c:v>
                </c:pt>
                <c:pt idx="1">
                  <c:v>3293</c:v>
                </c:pt>
                <c:pt idx="2">
                  <c:v>945</c:v>
                </c:pt>
                <c:pt idx="3">
                  <c:v>1629</c:v>
                </c:pt>
                <c:pt idx="4">
                  <c:v>7960</c:v>
                </c:pt>
                <c:pt idx="5">
                  <c:v>3312</c:v>
                </c:pt>
                <c:pt idx="6">
                  <c:v>2896</c:v>
                </c:pt>
                <c:pt idx="7">
                  <c:v>3395</c:v>
                </c:pt>
                <c:pt idx="8">
                  <c:v>1114</c:v>
                </c:pt>
              </c:numCache>
              <c:extLst/>
            </c:numRef>
          </c:val>
          <c:extLst>
            <c:ext xmlns:c16="http://schemas.microsoft.com/office/drawing/2014/chart" uri="{C3380CC4-5D6E-409C-BE32-E72D297353CC}">
              <c16:uniqueId val="{00000000-2E18-4169-B57D-045D7DF89FF8}"/>
            </c:ext>
          </c:extLst>
        </c:ser>
        <c:ser>
          <c:idx val="1"/>
          <c:order val="1"/>
          <c:tx>
            <c:strRef>
              <c:f>Sheet1!$D$1</c:f>
              <c:strCache>
                <c:ptCount val="1"/>
                <c:pt idx="0">
                  <c:v>2024</c:v>
                </c:pt>
              </c:strCache>
            </c:strRef>
          </c:tx>
          <c:spPr>
            <a:solidFill>
              <a:srgbClr val="43E7FF"/>
            </a:solidFill>
            <a:ln>
              <a:noFill/>
            </a:ln>
            <a:effectLst/>
          </c:spPr>
          <c:invertIfNegative val="0"/>
          <c:cat>
            <c:strRef>
              <c:f>Sheet1!$B$5:$B$13</c:f>
              <c:strCache>
                <c:ptCount val="9"/>
                <c:pt idx="0">
                  <c:v>April</c:v>
                </c:pt>
                <c:pt idx="1">
                  <c:v>May</c:v>
                </c:pt>
                <c:pt idx="2">
                  <c:v>June</c:v>
                </c:pt>
                <c:pt idx="3">
                  <c:v>July</c:v>
                </c:pt>
                <c:pt idx="4">
                  <c:v>August</c:v>
                </c:pt>
                <c:pt idx="5">
                  <c:v>September</c:v>
                </c:pt>
                <c:pt idx="6">
                  <c:v>October</c:v>
                </c:pt>
                <c:pt idx="7">
                  <c:v>November</c:v>
                </c:pt>
                <c:pt idx="8">
                  <c:v>December</c:v>
                </c:pt>
              </c:strCache>
              <c:extLst/>
            </c:strRef>
          </c:cat>
          <c:val>
            <c:numRef>
              <c:f>Sheet1!$D$5:$D$13</c:f>
              <c:numCache>
                <c:formatCode>General</c:formatCode>
                <c:ptCount val="9"/>
                <c:pt idx="0">
                  <c:v>1461</c:v>
                </c:pt>
                <c:pt idx="1">
                  <c:v>2320</c:v>
                </c:pt>
                <c:pt idx="2">
                  <c:v>1973</c:v>
                </c:pt>
                <c:pt idx="3">
                  <c:v>2834</c:v>
                </c:pt>
                <c:pt idx="4">
                  <c:v>1972</c:v>
                </c:pt>
                <c:pt idx="5">
                  <c:v>2201</c:v>
                </c:pt>
                <c:pt idx="6">
                  <c:v>2035</c:v>
                </c:pt>
                <c:pt idx="7">
                  <c:v>1640</c:v>
                </c:pt>
                <c:pt idx="8">
                  <c:v>1258</c:v>
                </c:pt>
              </c:numCache>
              <c:extLst/>
            </c:numRef>
          </c:val>
          <c:extLst>
            <c:ext xmlns:c16="http://schemas.microsoft.com/office/drawing/2014/chart" uri="{C3380CC4-5D6E-409C-BE32-E72D297353CC}">
              <c16:uniqueId val="{00000001-2E18-4169-B57D-045D7DF89FF8}"/>
            </c:ext>
          </c:extLst>
        </c:ser>
        <c:dLbls>
          <c:showLegendKey val="0"/>
          <c:showVal val="0"/>
          <c:showCatName val="0"/>
          <c:showSerName val="0"/>
          <c:showPercent val="0"/>
          <c:showBubbleSize val="0"/>
        </c:dLbls>
        <c:gapWidth val="199"/>
        <c:axId val="1245475984"/>
        <c:axId val="1245477904"/>
      </c:barChart>
      <c:catAx>
        <c:axId val="1245475984"/>
        <c:scaling>
          <c:orientation val="minMax"/>
        </c:scaling>
        <c:delete val="0"/>
        <c:axPos val="b"/>
        <c:numFmt formatCode="General" sourceLinked="1"/>
        <c:majorTickMark val="out"/>
        <c:minorTickMark val="none"/>
        <c:tickLblPos val="nextTo"/>
        <c:spPr>
          <a:noFill/>
          <a:ln w="3175" cap="flat" cmpd="sng" algn="ctr">
            <a:solidFill>
              <a:schemeClr val="tx1"/>
            </a:solidFill>
            <a:round/>
          </a:ln>
          <a:effectLst/>
        </c:spPr>
        <c:txPr>
          <a:bodyPr rot="-60000000" spcFirstLastPara="1" vertOverflow="ellipsis" vert="horz" wrap="square" anchor="ctr" anchorCtr="1"/>
          <a:lstStyle/>
          <a:p>
            <a:pPr>
              <a:defRPr sz="900" b="0" i="0" u="none" strike="noStrike" kern="1200" cap="none" spc="0" normalizeH="0" baseline="0">
                <a:solidFill>
                  <a:sysClr val="windowText" lastClr="000000"/>
                </a:solidFill>
                <a:latin typeface="+mn-lt"/>
                <a:ea typeface="+mn-ea"/>
                <a:cs typeface="+mn-cs"/>
              </a:defRPr>
            </a:pPr>
            <a:endParaRPr lang="en-US"/>
          </a:p>
        </c:txPr>
        <c:crossAx val="1245477904"/>
        <c:crosses val="autoZero"/>
        <c:auto val="1"/>
        <c:lblAlgn val="ctr"/>
        <c:lblOffset val="100"/>
        <c:noMultiLvlLbl val="0"/>
      </c:catAx>
      <c:valAx>
        <c:axId val="1245477904"/>
        <c:scaling>
          <c:orientation val="minMax"/>
          <c:max val="8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r>
                  <a:rPr lang="en-GB">
                    <a:solidFill>
                      <a:sysClr val="windowText" lastClr="000000"/>
                    </a:solidFill>
                  </a:rPr>
                  <a:t>NUMBER OF PCNS</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3175">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245475984"/>
        <c:crosses val="autoZero"/>
        <c:crossBetween val="between"/>
      </c:valAx>
      <c:spPr>
        <a:noFill/>
        <a:ln>
          <a:solidFill>
            <a:schemeClr val="bg1">
              <a:lumMod val="50000"/>
            </a:schemeClr>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noFill/>
    <a:ln w="9525" cap="flat" cmpd="sng" algn="ctr">
      <a:solidFill>
        <a:schemeClr val="bg1">
          <a:lumMod val="50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794700B6A32E40A7E0121EE22322B4" ma:contentTypeVersion="6" ma:contentTypeDescription="Create a new document." ma:contentTypeScope="" ma:versionID="3688adefe7f19926504cb6da97a0f242">
  <xsd:schema xmlns:xsd="http://www.w3.org/2001/XMLSchema" xmlns:xs="http://www.w3.org/2001/XMLSchema" xmlns:p="http://schemas.microsoft.com/office/2006/metadata/properties" xmlns:ns2="e3b89457-db15-4999-b191-faccf546dd31" xmlns:ns3="b02a6dad-2358-48bf-bd75-4eb35d4346d6" targetNamespace="http://schemas.microsoft.com/office/2006/metadata/properties" ma:root="true" ma:fieldsID="7a2b3d9addb250186c789509282b4309" ns2:_="" ns3:_="">
    <xsd:import namespace="e3b89457-db15-4999-b191-faccf546dd31"/>
    <xsd:import namespace="b02a6dad-2358-48bf-bd75-4eb35d4346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b89457-db15-4999-b191-faccf546dd3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a6dad-2358-48bf-bd75-4eb35d4346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3b89457-db15-4999-b191-faccf546dd31">
      <UserInfo>
        <DisplayName>Dan Arthur</DisplayName>
        <AccountId>11</AccountId>
        <AccountType/>
      </UserInfo>
      <UserInfo>
        <DisplayName>Alexei Turner</DisplayName>
        <AccountId>16</AccountId>
        <AccountType/>
      </UserInfo>
      <UserInfo>
        <DisplayName>Steve Rann</DisplayName>
        <AccountId>19</AccountId>
        <AccountType/>
      </UserInfo>
      <UserInfo>
        <DisplayName>Aliyah Hodson-hirst</DisplayName>
        <AccountId>18</AccountId>
        <AccountType/>
      </UserInfo>
      <UserInfo>
        <DisplayName>Alfie Smith</DisplayName>
        <AccountId>20</AccountId>
        <AccountType/>
      </UserInfo>
    </SharedWithUsers>
  </documentManagement>
</p:properties>
</file>

<file path=customXml/itemProps1.xml><?xml version="1.0" encoding="utf-8"?>
<ds:datastoreItem xmlns:ds="http://schemas.openxmlformats.org/officeDocument/2006/customXml" ds:itemID="{2718216B-5352-4E55-AACC-B41E70EAC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b89457-db15-4999-b191-faccf546dd31"/>
    <ds:schemaRef ds:uri="b02a6dad-2358-48bf-bd75-4eb35d434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B698C6-78EB-4C85-8CCD-B5B066524EC6}">
  <ds:schemaRefs>
    <ds:schemaRef ds:uri="http://schemas.microsoft.com/sharepoint/v3/contenttype/forms"/>
  </ds:schemaRefs>
</ds:datastoreItem>
</file>

<file path=customXml/itemProps3.xml><?xml version="1.0" encoding="utf-8"?>
<ds:datastoreItem xmlns:ds="http://schemas.openxmlformats.org/officeDocument/2006/customXml" ds:itemID="{6816DE33-5C2A-42A6-936A-A134AF886211}">
  <ds:schemaRefs>
    <ds:schemaRef ds:uri="http://schemas.microsoft.com/office/2006/metadata/properties"/>
    <ds:schemaRef ds:uri="http://schemas.microsoft.com/office/infopath/2007/PartnerControls"/>
    <ds:schemaRef ds:uri="e3b89457-db15-4999-b191-faccf546dd31"/>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Arthur</dc:creator>
  <cp:keywords/>
  <dc:description/>
  <cp:lastModifiedBy>Jocelyn Dunne</cp:lastModifiedBy>
  <cp:revision>11</cp:revision>
  <cp:lastPrinted>2025-05-21T10:27:00Z</cp:lastPrinted>
  <dcterms:created xsi:type="dcterms:W3CDTF">2025-05-21T12:37:00Z</dcterms:created>
  <dcterms:modified xsi:type="dcterms:W3CDTF">2026-07-02T08:31:00Z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0x01010068794700B6A32E40A7E0121EE22322B4</vt:lpwstr>
  </property>
</Properties>
</file>