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Pr="005D0E23" w:rsidRDefault="00BB6D31" w:rsidP="002B3B5C">
            <w:pPr>
              <w:spacing w:before="120"/>
              <w:rPr>
                <w:color w:val="000000" w:themeColor="text1"/>
                <w:sz w:val="24"/>
                <w:szCs w:val="24"/>
              </w:rPr>
            </w:pPr>
            <w:r w:rsidRPr="005D0E23">
              <w:rPr>
                <w:color w:val="000000" w:themeColor="text1"/>
                <w:sz w:val="24"/>
                <w:szCs w:val="24"/>
              </w:rPr>
              <w:t xml:space="preserve">River Avon – Issues with Unauthorised Moorings between </w:t>
            </w:r>
            <w:proofErr w:type="spellStart"/>
            <w:r w:rsidRPr="005D0E23">
              <w:rPr>
                <w:color w:val="000000" w:themeColor="text1"/>
                <w:sz w:val="24"/>
                <w:szCs w:val="24"/>
              </w:rPr>
              <w:t>Widcombe</w:t>
            </w:r>
            <w:proofErr w:type="spellEnd"/>
            <w:r w:rsidRPr="005D0E23">
              <w:rPr>
                <w:color w:val="000000" w:themeColor="text1"/>
                <w:sz w:val="24"/>
                <w:szCs w:val="24"/>
              </w:rPr>
              <w:t xml:space="preserve"> Basin and </w:t>
            </w:r>
            <w:proofErr w:type="spellStart"/>
            <w:r w:rsidRPr="005D0E23">
              <w:rPr>
                <w:color w:val="000000" w:themeColor="text1"/>
                <w:sz w:val="24"/>
                <w:szCs w:val="24"/>
              </w:rPr>
              <w:t>Pulteney</w:t>
            </w:r>
            <w:proofErr w:type="spellEnd"/>
            <w:r w:rsidRPr="005D0E23">
              <w:rPr>
                <w:color w:val="000000" w:themeColor="text1"/>
                <w:sz w:val="24"/>
                <w:szCs w:val="24"/>
              </w:rPr>
              <w:t xml:space="preserve"> Weir</w:t>
            </w:r>
            <w:bookmarkStart w:id="0" w:name="_GoBack"/>
            <w:bookmarkEnd w:id="0"/>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FF7D28" w:rsidP="002B3B5C">
            <w:pPr>
              <w:spacing w:before="240"/>
              <w:rPr>
                <w:sz w:val="24"/>
                <w:szCs w:val="24"/>
              </w:rPr>
            </w:pPr>
            <w:r>
              <w:rPr>
                <w:sz w:val="24"/>
                <w:szCs w:val="24"/>
              </w:rPr>
              <w:t>Sport and Active Lifestyles</w:t>
            </w:r>
          </w:p>
        </w:tc>
      </w:tr>
      <w:tr w:rsidR="002B3B5C" w:rsidTr="00CC2B30">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vAlign w:val="center"/>
          </w:tcPr>
          <w:p w:rsidR="00FF7D28" w:rsidRPr="00BB6D31" w:rsidRDefault="00FF7D28" w:rsidP="00CC2B30">
            <w:pPr>
              <w:spacing w:before="240"/>
              <w:rPr>
                <w:color w:val="FF0000"/>
                <w:sz w:val="24"/>
                <w:szCs w:val="24"/>
              </w:rPr>
            </w:pPr>
            <w:r>
              <w:rPr>
                <w:sz w:val="24"/>
                <w:szCs w:val="24"/>
              </w:rPr>
              <w:t>Lynda Dean</w:t>
            </w:r>
            <w:r w:rsidR="00BB6D31" w:rsidRPr="00BB6D31">
              <w:rPr>
                <w:sz w:val="24"/>
                <w:szCs w:val="24"/>
              </w:rPr>
              <w:t>e</w:t>
            </w:r>
          </w:p>
        </w:tc>
      </w:tr>
      <w:tr w:rsidR="002B3B5C" w:rsidTr="00FF7D28">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vAlign w:val="center"/>
          </w:tcPr>
          <w:p w:rsidR="002B3B5C" w:rsidRPr="00FF7D28" w:rsidRDefault="00FF7D28" w:rsidP="00FF7D28">
            <w:pPr>
              <w:rPr>
                <w:sz w:val="24"/>
                <w:szCs w:val="24"/>
              </w:rPr>
            </w:pPr>
            <w:r>
              <w:rPr>
                <w:bCs/>
                <w:sz w:val="24"/>
                <w:szCs w:val="24"/>
              </w:rPr>
              <w:t>August / Sept</w:t>
            </w:r>
            <w:r w:rsidRPr="00FF7D28">
              <w:rPr>
                <w:bCs/>
                <w:sz w:val="24"/>
                <w:szCs w:val="24"/>
              </w:rPr>
              <w:t>ember / October 2013</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w:t>
      </w:r>
      <w:proofErr w:type="spellStart"/>
      <w:r w:rsidRPr="002B3B5C">
        <w:rPr>
          <w:rFonts w:ascii="Arial" w:hAnsi="Arial"/>
          <w:color w:val="000000"/>
          <w:lang w:val="en"/>
        </w:rPr>
        <w:t>analysing</w:t>
      </w:r>
      <w:proofErr w:type="spellEnd"/>
      <w:r w:rsidRPr="002B3B5C">
        <w:rPr>
          <w:rFonts w:ascii="Arial" w:hAnsi="Arial"/>
          <w:color w:val="000000"/>
          <w:lang w:val="en"/>
        </w:rPr>
        <w:t xml:space="preserve">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3508"/>
        <w:gridCol w:w="567"/>
        <w:gridCol w:w="4678"/>
        <w:gridCol w:w="4678"/>
        <w:gridCol w:w="32"/>
      </w:tblGrid>
      <w:tr w:rsidR="00744837" w:rsidTr="008D13A5">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4"/>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FF7D28">
        <w:trPr>
          <w:gridAfter w:val="1"/>
          <w:wAfter w:w="32" w:type="dxa"/>
          <w:trHeight w:val="407"/>
        </w:trPr>
        <w:tc>
          <w:tcPr>
            <w:tcW w:w="711" w:type="dxa"/>
            <w:gridSpan w:val="2"/>
          </w:tcPr>
          <w:p w:rsidR="002B3B5C" w:rsidRDefault="002B3B5C"/>
        </w:tc>
        <w:tc>
          <w:tcPr>
            <w:tcW w:w="4075" w:type="dxa"/>
            <w:gridSpan w:val="2"/>
          </w:tcPr>
          <w:p w:rsidR="002B3B5C" w:rsidRDefault="002B3B5C" w:rsidP="002B3B5C">
            <w:pPr>
              <w:rPr>
                <w:b/>
                <w:sz w:val="24"/>
                <w:szCs w:val="24"/>
              </w:rPr>
            </w:pPr>
            <w:r>
              <w:rPr>
                <w:b/>
                <w:sz w:val="24"/>
                <w:szCs w:val="24"/>
              </w:rPr>
              <w:t>Key questions</w:t>
            </w:r>
          </w:p>
        </w:tc>
        <w:tc>
          <w:tcPr>
            <w:tcW w:w="9356" w:type="dxa"/>
            <w:gridSpan w:val="2"/>
            <w:vAlign w:val="center"/>
          </w:tcPr>
          <w:p w:rsidR="002B3B5C" w:rsidRDefault="002B3B5C">
            <w:pPr>
              <w:rPr>
                <w:b/>
                <w:sz w:val="24"/>
                <w:szCs w:val="24"/>
              </w:rPr>
            </w:pPr>
            <w:r>
              <w:rPr>
                <w:b/>
                <w:sz w:val="24"/>
                <w:szCs w:val="24"/>
              </w:rPr>
              <w:t>Answers / Notes</w:t>
            </w:r>
          </w:p>
        </w:tc>
      </w:tr>
      <w:tr w:rsidR="002B3B5C" w:rsidTr="00FF7D28">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4075"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9356" w:type="dxa"/>
            <w:gridSpan w:val="2"/>
          </w:tcPr>
          <w:p w:rsidR="00BB6D31" w:rsidRPr="00BA5825" w:rsidRDefault="00BB6D31" w:rsidP="00BB6D31">
            <w:pPr>
              <w:rPr>
                <w:color w:val="000000" w:themeColor="text1"/>
              </w:rPr>
            </w:pPr>
            <w:r w:rsidRPr="00BA5825">
              <w:rPr>
                <w:rFonts w:cs="Arial"/>
                <w:color w:val="000000" w:themeColor="text1"/>
                <w:sz w:val="24"/>
                <w:szCs w:val="24"/>
              </w:rPr>
              <w:t xml:space="preserve">There are currently unauthorised boats moored in the stretch of waterway between </w:t>
            </w:r>
            <w:proofErr w:type="spellStart"/>
            <w:r w:rsidRPr="00BA5825">
              <w:rPr>
                <w:rFonts w:cs="Arial"/>
                <w:color w:val="000000" w:themeColor="text1"/>
                <w:sz w:val="24"/>
                <w:szCs w:val="24"/>
              </w:rPr>
              <w:t>Pulteney</w:t>
            </w:r>
            <w:proofErr w:type="spellEnd"/>
            <w:r w:rsidRPr="00BA5825">
              <w:rPr>
                <w:rFonts w:cs="Arial"/>
                <w:color w:val="000000" w:themeColor="text1"/>
                <w:sz w:val="24"/>
                <w:szCs w:val="24"/>
              </w:rPr>
              <w:t xml:space="preserve"> Weir and </w:t>
            </w:r>
            <w:proofErr w:type="spellStart"/>
            <w:r w:rsidRPr="00BA5825">
              <w:rPr>
                <w:rFonts w:cs="Arial"/>
                <w:color w:val="000000" w:themeColor="text1"/>
                <w:sz w:val="24"/>
                <w:szCs w:val="24"/>
              </w:rPr>
              <w:t>Widcombe</w:t>
            </w:r>
            <w:proofErr w:type="spellEnd"/>
            <w:r w:rsidRPr="00BA5825">
              <w:rPr>
                <w:rFonts w:cs="Arial"/>
                <w:color w:val="000000" w:themeColor="text1"/>
                <w:sz w:val="24"/>
                <w:szCs w:val="24"/>
              </w:rPr>
              <w:t xml:space="preserve"> Basin.</w:t>
            </w:r>
          </w:p>
          <w:p w:rsidR="00BB6D31" w:rsidRPr="00BA5825" w:rsidRDefault="00BB6D31" w:rsidP="00BB6D31">
            <w:pPr>
              <w:rPr>
                <w:color w:val="000000" w:themeColor="text1"/>
              </w:rPr>
            </w:pPr>
            <w:r w:rsidRPr="00BA5825">
              <w:rPr>
                <w:rFonts w:cs="Arial"/>
                <w:color w:val="000000" w:themeColor="text1"/>
                <w:sz w:val="24"/>
                <w:szCs w:val="24"/>
              </w:rPr>
              <w:t> </w:t>
            </w:r>
          </w:p>
          <w:p w:rsidR="00BB6D31" w:rsidRPr="00BA5825" w:rsidRDefault="00BB6D31" w:rsidP="00BB6D31">
            <w:pPr>
              <w:rPr>
                <w:color w:val="000000" w:themeColor="text1"/>
              </w:rPr>
            </w:pPr>
            <w:r w:rsidRPr="00BA5825">
              <w:rPr>
                <w:rFonts w:cs="Arial"/>
                <w:color w:val="000000" w:themeColor="text1"/>
                <w:sz w:val="24"/>
                <w:szCs w:val="24"/>
              </w:rPr>
              <w:t>Bath &amp; North East Somerset Council has serious concerns about the presence of these unauthorised boats. This follows an investigation which discovered a range of possible issues which included the following:</w:t>
            </w:r>
          </w:p>
          <w:p w:rsidR="00BB6D31" w:rsidRPr="00BA5825" w:rsidRDefault="00BB6D31" w:rsidP="00BB6D31">
            <w:pPr>
              <w:rPr>
                <w:color w:val="000000" w:themeColor="text1"/>
              </w:rPr>
            </w:pPr>
            <w:r w:rsidRPr="00BA5825">
              <w:rPr>
                <w:rFonts w:cs="Arial"/>
                <w:color w:val="000000" w:themeColor="text1"/>
                <w:sz w:val="24"/>
                <w:szCs w:val="24"/>
              </w:rPr>
              <w:t> </w:t>
            </w:r>
          </w:p>
          <w:p w:rsidR="00BB6D31" w:rsidRPr="00BA5825" w:rsidRDefault="00BB6D31" w:rsidP="00BB6D31">
            <w:pPr>
              <w:numPr>
                <w:ilvl w:val="0"/>
                <w:numId w:val="22"/>
              </w:numPr>
              <w:rPr>
                <w:color w:val="000000" w:themeColor="text1"/>
              </w:rPr>
            </w:pPr>
            <w:r w:rsidRPr="00BA5825">
              <w:rPr>
                <w:rFonts w:cs="Arial"/>
                <w:color w:val="000000" w:themeColor="text1"/>
                <w:sz w:val="24"/>
                <w:szCs w:val="24"/>
              </w:rPr>
              <w:t>Possible discharging of human waste/ sewerage into the water course;</w:t>
            </w:r>
          </w:p>
          <w:p w:rsidR="00BB6D31" w:rsidRPr="00BA5825" w:rsidRDefault="00BB6D31" w:rsidP="00BB6D31">
            <w:pPr>
              <w:numPr>
                <w:ilvl w:val="0"/>
                <w:numId w:val="22"/>
              </w:numPr>
              <w:rPr>
                <w:color w:val="000000" w:themeColor="text1"/>
              </w:rPr>
            </w:pPr>
            <w:r w:rsidRPr="00BA5825">
              <w:rPr>
                <w:rFonts w:cs="Arial"/>
                <w:color w:val="000000" w:themeColor="text1"/>
                <w:sz w:val="24"/>
                <w:szCs w:val="24"/>
              </w:rPr>
              <w:t>Examples of uninsured and unlicensed boats - some were found to be at risk of sinking or potentially discharging fuel into the water course;</w:t>
            </w:r>
          </w:p>
          <w:p w:rsidR="00BB6D31" w:rsidRPr="00BA5825" w:rsidRDefault="00BB6D31" w:rsidP="00BB6D31">
            <w:pPr>
              <w:numPr>
                <w:ilvl w:val="0"/>
                <w:numId w:val="22"/>
              </w:numPr>
              <w:rPr>
                <w:color w:val="000000" w:themeColor="text1"/>
              </w:rPr>
            </w:pPr>
            <w:r w:rsidRPr="00BA5825">
              <w:rPr>
                <w:rFonts w:cs="Arial"/>
                <w:color w:val="000000" w:themeColor="text1"/>
                <w:sz w:val="24"/>
                <w:szCs w:val="24"/>
              </w:rPr>
              <w:t>Littering and debris left behind by unauthorised boats.</w:t>
            </w:r>
          </w:p>
          <w:p w:rsidR="00BB6D31" w:rsidRPr="00BA5825" w:rsidRDefault="00BB6D31" w:rsidP="00BB6D31">
            <w:pPr>
              <w:rPr>
                <w:rFonts w:eastAsia="Calibri"/>
                <w:color w:val="000000" w:themeColor="text1"/>
              </w:rPr>
            </w:pPr>
            <w:r w:rsidRPr="00BA5825">
              <w:rPr>
                <w:rFonts w:cs="Arial"/>
                <w:color w:val="000000" w:themeColor="text1"/>
                <w:sz w:val="24"/>
                <w:szCs w:val="24"/>
              </w:rPr>
              <w:t> </w:t>
            </w:r>
          </w:p>
          <w:p w:rsidR="00BB6D31" w:rsidRPr="00BA5825" w:rsidRDefault="00BB6D31" w:rsidP="00BB6D31">
            <w:pPr>
              <w:rPr>
                <w:rFonts w:cs="Arial"/>
                <w:color w:val="000000" w:themeColor="text1"/>
                <w:sz w:val="24"/>
                <w:szCs w:val="24"/>
              </w:rPr>
            </w:pPr>
            <w:r w:rsidRPr="00BA5825">
              <w:rPr>
                <w:rFonts w:cs="Arial"/>
                <w:color w:val="000000" w:themeColor="text1"/>
                <w:sz w:val="24"/>
                <w:szCs w:val="24"/>
              </w:rPr>
              <w:t>In light of these concerns, the Council is requesting that the owners of these unauthorised boats move them immediately. Appropriate legal action will be taken if they fail to do so. The Council will take steps to ensure that the needs of occupants are taken into account as part of this process.</w:t>
            </w:r>
          </w:p>
          <w:p w:rsidR="00A1549F" w:rsidRPr="00BA5825" w:rsidRDefault="00A1549F" w:rsidP="00BB6D31">
            <w:pPr>
              <w:rPr>
                <w:rFonts w:cs="Arial"/>
                <w:color w:val="000000" w:themeColor="text1"/>
                <w:sz w:val="24"/>
                <w:szCs w:val="24"/>
              </w:rPr>
            </w:pPr>
          </w:p>
          <w:p w:rsidR="00A1549F" w:rsidRPr="00BA5825" w:rsidRDefault="00A1549F" w:rsidP="00BB6D31">
            <w:pPr>
              <w:rPr>
                <w:color w:val="000000" w:themeColor="text1"/>
              </w:rPr>
            </w:pPr>
            <w:r w:rsidRPr="00BA5825">
              <w:rPr>
                <w:rFonts w:cs="Arial"/>
                <w:color w:val="000000" w:themeColor="text1"/>
                <w:sz w:val="24"/>
                <w:szCs w:val="24"/>
              </w:rPr>
              <w:t>The intention is to remove all boats from the area at least until a permanent solution is achieved which may involve bye-laws to control all moorings.</w:t>
            </w:r>
          </w:p>
          <w:p w:rsidR="002B3B5C" w:rsidRPr="00BB6D31" w:rsidRDefault="00BB6D31" w:rsidP="00BB6D31">
            <w:pPr>
              <w:rPr>
                <w:color w:val="FF0000"/>
              </w:rPr>
            </w:pPr>
            <w:r w:rsidRPr="00BB6D31">
              <w:rPr>
                <w:rFonts w:cs="Arial"/>
                <w:color w:val="FF0000"/>
                <w:sz w:val="24"/>
                <w:szCs w:val="24"/>
              </w:rPr>
              <w:t> </w:t>
            </w:r>
          </w:p>
        </w:tc>
      </w:tr>
      <w:tr w:rsidR="002B3B5C" w:rsidTr="00FF7D28">
        <w:trPr>
          <w:gridAfter w:val="1"/>
          <w:wAfter w:w="32" w:type="dxa"/>
        </w:trPr>
        <w:tc>
          <w:tcPr>
            <w:tcW w:w="711" w:type="dxa"/>
            <w:gridSpan w:val="2"/>
          </w:tcPr>
          <w:p w:rsidR="002B3B5C" w:rsidRPr="002B3B5C" w:rsidRDefault="002B3B5C">
            <w:pPr>
              <w:rPr>
                <w:b/>
                <w:sz w:val="24"/>
                <w:szCs w:val="24"/>
              </w:rPr>
            </w:pPr>
            <w:r w:rsidRPr="002B3B5C">
              <w:rPr>
                <w:b/>
                <w:sz w:val="24"/>
                <w:szCs w:val="24"/>
              </w:rPr>
              <w:t>1.2</w:t>
            </w:r>
          </w:p>
        </w:tc>
        <w:tc>
          <w:tcPr>
            <w:tcW w:w="4075" w:type="dxa"/>
            <w:gridSpan w:val="2"/>
          </w:tcPr>
          <w:p w:rsidR="002B3B5C" w:rsidRPr="00F93043" w:rsidRDefault="002B3B5C" w:rsidP="00FF7D28">
            <w:pPr>
              <w:rPr>
                <w:sz w:val="24"/>
                <w:szCs w:val="24"/>
              </w:rPr>
            </w:pPr>
            <w:r>
              <w:rPr>
                <w:sz w:val="24"/>
                <w:szCs w:val="24"/>
              </w:rPr>
              <w:t xml:space="preserve">Provide brief details of the scope of the </w:t>
            </w:r>
            <w:r w:rsidRPr="00F93043">
              <w:rPr>
                <w:sz w:val="24"/>
                <w:szCs w:val="24"/>
              </w:rPr>
              <w:t>policy</w:t>
            </w:r>
            <w:r w:rsidR="00FF7D28">
              <w:rPr>
                <w:sz w:val="24"/>
                <w:szCs w:val="24"/>
              </w:rPr>
              <w:t xml:space="preserve"> or service being reviewed.</w:t>
            </w:r>
          </w:p>
        </w:tc>
        <w:tc>
          <w:tcPr>
            <w:tcW w:w="9356" w:type="dxa"/>
            <w:gridSpan w:val="2"/>
          </w:tcPr>
          <w:p w:rsidR="002B3B5C" w:rsidRPr="00FF7D28" w:rsidRDefault="00FF7D28" w:rsidP="00C013C7">
            <w:pPr>
              <w:rPr>
                <w:sz w:val="24"/>
                <w:szCs w:val="24"/>
              </w:rPr>
            </w:pPr>
            <w:r w:rsidRPr="00FF7D28">
              <w:rPr>
                <w:sz w:val="24"/>
                <w:szCs w:val="24"/>
              </w:rPr>
              <w:t>This is a new consideration of the introduction of policies, processes and procedures including bye laws to restrict mooring on Council owned water and Council owned land</w:t>
            </w:r>
            <w:r>
              <w:rPr>
                <w:sz w:val="24"/>
                <w:szCs w:val="24"/>
              </w:rPr>
              <w:t xml:space="preserve"> between </w:t>
            </w:r>
            <w:proofErr w:type="spellStart"/>
            <w:r>
              <w:rPr>
                <w:sz w:val="24"/>
                <w:szCs w:val="24"/>
              </w:rPr>
              <w:t>Pult</w:t>
            </w:r>
            <w:r w:rsidR="00C013C7">
              <w:rPr>
                <w:sz w:val="24"/>
                <w:szCs w:val="24"/>
              </w:rPr>
              <w:t>e</w:t>
            </w:r>
            <w:r>
              <w:rPr>
                <w:sz w:val="24"/>
                <w:szCs w:val="24"/>
              </w:rPr>
              <w:t>ney</w:t>
            </w:r>
            <w:proofErr w:type="spellEnd"/>
            <w:r>
              <w:rPr>
                <w:sz w:val="24"/>
                <w:szCs w:val="24"/>
              </w:rPr>
              <w:t xml:space="preserve"> </w:t>
            </w:r>
            <w:r w:rsidR="00C013C7">
              <w:rPr>
                <w:sz w:val="24"/>
                <w:szCs w:val="24"/>
              </w:rPr>
              <w:t>Weir and</w:t>
            </w:r>
            <w:r>
              <w:rPr>
                <w:sz w:val="24"/>
                <w:szCs w:val="24"/>
              </w:rPr>
              <w:t xml:space="preserve"> </w:t>
            </w:r>
            <w:proofErr w:type="spellStart"/>
            <w:r>
              <w:rPr>
                <w:sz w:val="24"/>
                <w:szCs w:val="24"/>
              </w:rPr>
              <w:t>Widcombe</w:t>
            </w:r>
            <w:proofErr w:type="spellEnd"/>
            <w:r w:rsidR="00C013C7">
              <w:rPr>
                <w:sz w:val="24"/>
                <w:szCs w:val="24"/>
              </w:rPr>
              <w:t xml:space="preserve"> Basin.</w:t>
            </w:r>
          </w:p>
        </w:tc>
      </w:tr>
      <w:tr w:rsidR="002B3B5C" w:rsidTr="00FF7D28">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4075"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9356" w:type="dxa"/>
            <w:gridSpan w:val="2"/>
          </w:tcPr>
          <w:p w:rsidR="00FF7D28" w:rsidRDefault="00FF7D28" w:rsidP="00FF7D28">
            <w:pPr>
              <w:spacing w:before="40" w:after="40"/>
              <w:rPr>
                <w:bCs/>
                <w:sz w:val="24"/>
                <w:szCs w:val="24"/>
              </w:rPr>
            </w:pPr>
            <w:r w:rsidRPr="00FF7D28">
              <w:rPr>
                <w:bCs/>
                <w:sz w:val="24"/>
                <w:szCs w:val="24"/>
              </w:rPr>
              <w:t xml:space="preserve">Yes. This </w:t>
            </w:r>
            <w:r>
              <w:rPr>
                <w:bCs/>
                <w:sz w:val="24"/>
                <w:szCs w:val="24"/>
              </w:rPr>
              <w:t>introduction of new process is linked with a number of work programmes. These include but are not limited to:</w:t>
            </w:r>
          </w:p>
          <w:p w:rsidR="00FF7D28" w:rsidRPr="005D0E23" w:rsidRDefault="00FF7D28" w:rsidP="00C013C7">
            <w:pPr>
              <w:rPr>
                <w:bCs/>
                <w:color w:val="000000" w:themeColor="text1"/>
                <w:sz w:val="24"/>
                <w:szCs w:val="24"/>
              </w:rPr>
            </w:pPr>
            <w:r>
              <w:rPr>
                <w:bCs/>
                <w:sz w:val="24"/>
                <w:szCs w:val="24"/>
              </w:rPr>
              <w:t xml:space="preserve">The boat </w:t>
            </w:r>
            <w:proofErr w:type="gramStart"/>
            <w:r>
              <w:rPr>
                <w:bCs/>
                <w:sz w:val="24"/>
                <w:szCs w:val="24"/>
              </w:rPr>
              <w:t xml:space="preserve">dwellers </w:t>
            </w:r>
            <w:r w:rsidRPr="005D0E23">
              <w:rPr>
                <w:bCs/>
                <w:color w:val="000000" w:themeColor="text1"/>
                <w:sz w:val="24"/>
                <w:szCs w:val="24"/>
              </w:rPr>
              <w:t>needs</w:t>
            </w:r>
            <w:proofErr w:type="gramEnd"/>
            <w:r w:rsidRPr="005D0E23">
              <w:rPr>
                <w:bCs/>
                <w:color w:val="000000" w:themeColor="text1"/>
                <w:sz w:val="24"/>
                <w:szCs w:val="24"/>
              </w:rPr>
              <w:t xml:space="preserve"> assessment and the Housing &amp; Major Projects policy development and scrutiny </w:t>
            </w:r>
            <w:r w:rsidR="00A1549F" w:rsidRPr="005D0E23">
              <w:rPr>
                <w:bCs/>
                <w:color w:val="000000" w:themeColor="text1"/>
                <w:sz w:val="24"/>
                <w:szCs w:val="24"/>
              </w:rPr>
              <w:t>T</w:t>
            </w:r>
            <w:r w:rsidRPr="005D0E23">
              <w:rPr>
                <w:bCs/>
                <w:color w:val="000000" w:themeColor="text1"/>
                <w:sz w:val="24"/>
                <w:szCs w:val="24"/>
              </w:rPr>
              <w:t xml:space="preserve">ask and </w:t>
            </w:r>
            <w:r w:rsidR="00A1549F" w:rsidRPr="005D0E23">
              <w:rPr>
                <w:bCs/>
                <w:color w:val="000000" w:themeColor="text1"/>
                <w:sz w:val="24"/>
                <w:szCs w:val="24"/>
              </w:rPr>
              <w:t>F</w:t>
            </w:r>
            <w:r w:rsidRPr="005D0E23">
              <w:rPr>
                <w:bCs/>
                <w:color w:val="000000" w:themeColor="text1"/>
                <w:sz w:val="24"/>
                <w:szCs w:val="24"/>
              </w:rPr>
              <w:t>inish group.</w:t>
            </w:r>
          </w:p>
          <w:p w:rsidR="00FF7D28" w:rsidRPr="005D0E23" w:rsidRDefault="00FF7D28" w:rsidP="00C013C7">
            <w:pPr>
              <w:rPr>
                <w:bCs/>
                <w:color w:val="000000" w:themeColor="text1"/>
                <w:sz w:val="24"/>
                <w:szCs w:val="24"/>
              </w:rPr>
            </w:pPr>
            <w:r w:rsidRPr="005D0E23">
              <w:rPr>
                <w:bCs/>
                <w:color w:val="000000" w:themeColor="text1"/>
                <w:sz w:val="24"/>
                <w:szCs w:val="24"/>
              </w:rPr>
              <w:t xml:space="preserve">The gipsy traveller group. </w:t>
            </w:r>
          </w:p>
          <w:p w:rsidR="00FF7D28" w:rsidRDefault="00FF7D28" w:rsidP="00C013C7">
            <w:pPr>
              <w:rPr>
                <w:bCs/>
                <w:sz w:val="24"/>
                <w:szCs w:val="24"/>
              </w:rPr>
            </w:pPr>
            <w:r>
              <w:rPr>
                <w:bCs/>
                <w:sz w:val="24"/>
                <w:szCs w:val="24"/>
              </w:rPr>
              <w:t xml:space="preserve">The Health and Wellbeing Board. </w:t>
            </w:r>
          </w:p>
          <w:p w:rsidR="002B3B5C" w:rsidRDefault="00C013C7" w:rsidP="00C013C7">
            <w:pPr>
              <w:rPr>
                <w:bCs/>
                <w:sz w:val="24"/>
                <w:szCs w:val="24"/>
              </w:rPr>
            </w:pPr>
            <w:r>
              <w:rPr>
                <w:bCs/>
                <w:sz w:val="24"/>
                <w:szCs w:val="24"/>
              </w:rPr>
              <w:t>Health and s</w:t>
            </w:r>
            <w:r w:rsidR="00FF7D28">
              <w:rPr>
                <w:bCs/>
                <w:sz w:val="24"/>
                <w:szCs w:val="24"/>
              </w:rPr>
              <w:t>afety.</w:t>
            </w:r>
          </w:p>
          <w:p w:rsidR="00FF7D28" w:rsidRPr="00FF7D28" w:rsidRDefault="00FF7D28" w:rsidP="00C013C7">
            <w:pPr>
              <w:rPr>
                <w:bCs/>
                <w:sz w:val="24"/>
                <w:szCs w:val="24"/>
              </w:rPr>
            </w:pPr>
            <w:r>
              <w:rPr>
                <w:bCs/>
                <w:sz w:val="24"/>
                <w:szCs w:val="24"/>
              </w:rPr>
              <w:t>Housing.</w:t>
            </w:r>
          </w:p>
        </w:tc>
      </w:tr>
      <w:tr w:rsidR="002B3B5C">
        <w:trPr>
          <w:gridAfter w:val="1"/>
          <w:wAfter w:w="32" w:type="dxa"/>
        </w:trPr>
        <w:tc>
          <w:tcPr>
            <w:tcW w:w="14142" w:type="dxa"/>
            <w:gridSpan w:val="6"/>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rsidTr="00CC2B30">
        <w:trPr>
          <w:gridAfter w:val="1"/>
          <w:wAfter w:w="32" w:type="dxa"/>
        </w:trPr>
        <w:tc>
          <w:tcPr>
            <w:tcW w:w="711" w:type="dxa"/>
            <w:gridSpan w:val="2"/>
          </w:tcPr>
          <w:p w:rsidR="002B3B5C" w:rsidRDefault="002B3B5C">
            <w:pPr>
              <w:rPr>
                <w:sz w:val="24"/>
                <w:szCs w:val="24"/>
              </w:rPr>
            </w:pPr>
          </w:p>
        </w:tc>
        <w:tc>
          <w:tcPr>
            <w:tcW w:w="3508" w:type="dxa"/>
          </w:tcPr>
          <w:p w:rsidR="002B3B5C" w:rsidRDefault="002B3B5C" w:rsidP="00CC2B30">
            <w:pPr>
              <w:rPr>
                <w:b/>
                <w:sz w:val="24"/>
                <w:szCs w:val="24"/>
              </w:rPr>
            </w:pPr>
            <w:r>
              <w:rPr>
                <w:b/>
                <w:sz w:val="24"/>
                <w:szCs w:val="24"/>
              </w:rPr>
              <w:t>Key questions</w:t>
            </w:r>
          </w:p>
        </w:tc>
        <w:tc>
          <w:tcPr>
            <w:tcW w:w="9923" w:type="dxa"/>
            <w:gridSpan w:val="3"/>
            <w:shd w:val="clear" w:color="auto" w:fill="auto"/>
          </w:tcPr>
          <w:p w:rsidR="002B3B5C" w:rsidRDefault="002B3B5C">
            <w:pPr>
              <w:rPr>
                <w:b/>
                <w:sz w:val="24"/>
                <w:szCs w:val="24"/>
              </w:rPr>
            </w:pPr>
            <w:r>
              <w:rPr>
                <w:b/>
                <w:sz w:val="24"/>
                <w:szCs w:val="24"/>
              </w:rPr>
              <w:t xml:space="preserve">Data, research and information that you can refer to </w:t>
            </w:r>
          </w:p>
        </w:tc>
      </w:tr>
      <w:tr w:rsidR="002B3B5C" w:rsidTr="00CC2B30">
        <w:trPr>
          <w:gridAfter w:val="1"/>
          <w:wAfter w:w="32" w:type="dxa"/>
          <w:trHeight w:val="104"/>
        </w:trPr>
        <w:tc>
          <w:tcPr>
            <w:tcW w:w="711" w:type="dxa"/>
            <w:gridSpan w:val="2"/>
          </w:tcPr>
          <w:p w:rsidR="002B3B5C" w:rsidRPr="002B3B5C" w:rsidRDefault="00C013C7">
            <w:pPr>
              <w:rPr>
                <w:b/>
                <w:sz w:val="24"/>
                <w:szCs w:val="24"/>
              </w:rPr>
            </w:pPr>
            <w:r>
              <w:rPr>
                <w:b/>
                <w:sz w:val="24"/>
                <w:szCs w:val="24"/>
              </w:rPr>
              <w:t>2.1</w:t>
            </w:r>
          </w:p>
        </w:tc>
        <w:tc>
          <w:tcPr>
            <w:tcW w:w="3508" w:type="dxa"/>
          </w:tcPr>
          <w:p w:rsidR="002B3B5C" w:rsidRPr="00971D1F" w:rsidRDefault="002B3B5C">
            <w:pPr>
              <w:rPr>
                <w:sz w:val="24"/>
                <w:szCs w:val="24"/>
              </w:rPr>
            </w:pPr>
            <w:r w:rsidRPr="00971D1F">
              <w:rPr>
                <w:sz w:val="24"/>
                <w:szCs w:val="24"/>
              </w:rPr>
              <w:t xml:space="preserve">What equalities training </w:t>
            </w:r>
            <w:proofErr w:type="gramStart"/>
            <w:r w:rsidRPr="00971D1F">
              <w:rPr>
                <w:sz w:val="24"/>
                <w:szCs w:val="24"/>
              </w:rPr>
              <w:t>have staff</w:t>
            </w:r>
            <w:proofErr w:type="gramEnd"/>
            <w:r w:rsidRPr="00971D1F">
              <w:rPr>
                <w:sz w:val="24"/>
                <w:szCs w:val="24"/>
              </w:rPr>
              <w:t xml:space="preserve"> received?</w:t>
            </w:r>
          </w:p>
        </w:tc>
        <w:tc>
          <w:tcPr>
            <w:tcW w:w="9923" w:type="dxa"/>
            <w:gridSpan w:val="3"/>
            <w:shd w:val="clear" w:color="auto" w:fill="auto"/>
          </w:tcPr>
          <w:p w:rsidR="002B3B5C" w:rsidRPr="00971D1F" w:rsidRDefault="00C013C7" w:rsidP="00C013C7">
            <w:pPr>
              <w:rPr>
                <w:sz w:val="24"/>
                <w:szCs w:val="24"/>
              </w:rPr>
            </w:pPr>
            <w:r w:rsidRPr="00971D1F">
              <w:rPr>
                <w:sz w:val="24"/>
                <w:szCs w:val="24"/>
              </w:rPr>
              <w:t xml:space="preserve">All have attended some or all of the following: equality training; equality for managers; equality impact or equality act training. </w:t>
            </w:r>
          </w:p>
        </w:tc>
      </w:tr>
      <w:tr w:rsidR="002B3B5C" w:rsidTr="00CC2B30">
        <w:trPr>
          <w:gridAfter w:val="1"/>
          <w:wAfter w:w="32" w:type="dxa"/>
        </w:trPr>
        <w:tc>
          <w:tcPr>
            <w:tcW w:w="711" w:type="dxa"/>
            <w:gridSpan w:val="2"/>
          </w:tcPr>
          <w:p w:rsidR="002B3B5C" w:rsidRPr="002B3B5C" w:rsidRDefault="00C013C7">
            <w:pPr>
              <w:rPr>
                <w:b/>
                <w:sz w:val="24"/>
                <w:szCs w:val="24"/>
              </w:rPr>
            </w:pPr>
            <w:r>
              <w:rPr>
                <w:b/>
                <w:sz w:val="24"/>
                <w:szCs w:val="24"/>
              </w:rPr>
              <w:t>2.2</w:t>
            </w:r>
          </w:p>
        </w:tc>
        <w:tc>
          <w:tcPr>
            <w:tcW w:w="3508" w:type="dxa"/>
          </w:tcPr>
          <w:p w:rsidR="002B3B5C" w:rsidRPr="00971D1F" w:rsidRDefault="002B3B5C">
            <w:pPr>
              <w:rPr>
                <w:sz w:val="24"/>
                <w:szCs w:val="24"/>
              </w:rPr>
            </w:pPr>
            <w:r w:rsidRPr="00971D1F">
              <w:rPr>
                <w:sz w:val="24"/>
                <w:szCs w:val="24"/>
              </w:rPr>
              <w:t>What is the equalities profile of service</w:t>
            </w:r>
            <w:r w:rsidR="00532357" w:rsidRPr="00971D1F">
              <w:rPr>
                <w:sz w:val="24"/>
                <w:szCs w:val="24"/>
              </w:rPr>
              <w:t xml:space="preserve"> users</w:t>
            </w:r>
            <w:r w:rsidRPr="00971D1F">
              <w:rPr>
                <w:sz w:val="24"/>
                <w:szCs w:val="24"/>
              </w:rPr>
              <w:t xml:space="preserve">?  </w:t>
            </w:r>
          </w:p>
        </w:tc>
        <w:tc>
          <w:tcPr>
            <w:tcW w:w="9923" w:type="dxa"/>
            <w:gridSpan w:val="3"/>
            <w:shd w:val="clear" w:color="auto" w:fill="auto"/>
          </w:tcPr>
          <w:p w:rsidR="002B3B5C" w:rsidRPr="00971D1F" w:rsidRDefault="00C013C7" w:rsidP="00C013C7">
            <w:pPr>
              <w:rPr>
                <w:sz w:val="24"/>
                <w:szCs w:val="24"/>
              </w:rPr>
            </w:pPr>
            <w:r w:rsidRPr="00971D1F">
              <w:rPr>
                <w:sz w:val="24"/>
                <w:szCs w:val="24"/>
              </w:rPr>
              <w:t xml:space="preserve">Due to the transient nature of boat dweller, this </w:t>
            </w:r>
            <w:proofErr w:type="spellStart"/>
            <w:r w:rsidRPr="00971D1F">
              <w:rPr>
                <w:sz w:val="24"/>
                <w:szCs w:val="24"/>
              </w:rPr>
              <w:t>EqIA</w:t>
            </w:r>
            <w:proofErr w:type="spellEnd"/>
            <w:r w:rsidRPr="00971D1F">
              <w:rPr>
                <w:sz w:val="24"/>
                <w:szCs w:val="24"/>
              </w:rPr>
              <w:t xml:space="preserve"> takes into account those people who were resident during a survey carried out during September 2013.</w:t>
            </w:r>
          </w:p>
        </w:tc>
      </w:tr>
      <w:tr w:rsidR="002B3B5C" w:rsidTr="00CC2B30">
        <w:trPr>
          <w:gridAfter w:val="1"/>
          <w:wAfter w:w="32" w:type="dxa"/>
        </w:trPr>
        <w:tc>
          <w:tcPr>
            <w:tcW w:w="711" w:type="dxa"/>
            <w:gridSpan w:val="2"/>
          </w:tcPr>
          <w:p w:rsidR="002B3B5C" w:rsidRPr="002B3B5C" w:rsidRDefault="00C013C7">
            <w:pPr>
              <w:rPr>
                <w:b/>
                <w:sz w:val="24"/>
                <w:szCs w:val="24"/>
              </w:rPr>
            </w:pPr>
            <w:r>
              <w:rPr>
                <w:b/>
                <w:sz w:val="24"/>
                <w:szCs w:val="24"/>
              </w:rPr>
              <w:t>2.3</w:t>
            </w:r>
            <w:r w:rsidR="002B3B5C" w:rsidRPr="002B3B5C">
              <w:rPr>
                <w:b/>
                <w:sz w:val="24"/>
                <w:szCs w:val="24"/>
              </w:rPr>
              <w:t xml:space="preserve"> </w:t>
            </w:r>
          </w:p>
        </w:tc>
        <w:tc>
          <w:tcPr>
            <w:tcW w:w="3508" w:type="dxa"/>
          </w:tcPr>
          <w:p w:rsidR="002B3B5C" w:rsidRPr="00971D1F" w:rsidRDefault="002B3B5C">
            <w:pPr>
              <w:rPr>
                <w:sz w:val="24"/>
                <w:szCs w:val="24"/>
              </w:rPr>
            </w:pPr>
            <w:r w:rsidRPr="00971D1F">
              <w:rPr>
                <w:sz w:val="24"/>
                <w:szCs w:val="24"/>
              </w:rPr>
              <w:t>What other data do you have in terms of service users or staff? (</w:t>
            </w:r>
            <w:proofErr w:type="spellStart"/>
            <w:proofErr w:type="gramStart"/>
            <w:r w:rsidRPr="00971D1F">
              <w:rPr>
                <w:sz w:val="24"/>
                <w:szCs w:val="24"/>
              </w:rPr>
              <w:t>e.g</w:t>
            </w:r>
            <w:proofErr w:type="spellEnd"/>
            <w:proofErr w:type="gramEnd"/>
            <w:r w:rsidRPr="00971D1F">
              <w:rPr>
                <w:sz w:val="24"/>
                <w:szCs w:val="24"/>
              </w:rPr>
              <w:t xml:space="preserve"> results of customer satisfaction surveys, </w:t>
            </w:r>
            <w:r w:rsidR="00532357" w:rsidRPr="00971D1F">
              <w:rPr>
                <w:sz w:val="24"/>
                <w:szCs w:val="24"/>
              </w:rPr>
              <w:t>consultation findings</w:t>
            </w:r>
            <w:r w:rsidRPr="00971D1F">
              <w:rPr>
                <w:sz w:val="24"/>
                <w:szCs w:val="24"/>
              </w:rPr>
              <w:t>)</w:t>
            </w:r>
            <w:r w:rsidR="0023474C" w:rsidRPr="00971D1F">
              <w:rPr>
                <w:sz w:val="24"/>
                <w:szCs w:val="24"/>
              </w:rPr>
              <w:t>. Are there any gaps?</w:t>
            </w:r>
            <w:r w:rsidRPr="00971D1F">
              <w:rPr>
                <w:sz w:val="24"/>
                <w:szCs w:val="24"/>
              </w:rPr>
              <w:t xml:space="preserve"> </w:t>
            </w:r>
          </w:p>
        </w:tc>
        <w:tc>
          <w:tcPr>
            <w:tcW w:w="9923" w:type="dxa"/>
            <w:gridSpan w:val="3"/>
            <w:shd w:val="clear" w:color="auto" w:fill="auto"/>
          </w:tcPr>
          <w:p w:rsidR="002B3B5C" w:rsidRPr="00971D1F" w:rsidRDefault="00C013C7" w:rsidP="00C013C7">
            <w:pPr>
              <w:rPr>
                <w:sz w:val="24"/>
                <w:szCs w:val="24"/>
              </w:rPr>
            </w:pPr>
            <w:r w:rsidRPr="00971D1F">
              <w:rPr>
                <w:sz w:val="24"/>
                <w:szCs w:val="24"/>
              </w:rPr>
              <w:t>A survey of boat dwellers on this stretch of water on two dates during Sept 2013  showed</w:t>
            </w:r>
          </w:p>
          <w:p w:rsidR="00C013C7" w:rsidRPr="00971D1F" w:rsidRDefault="00C013C7" w:rsidP="00C013C7">
            <w:pPr>
              <w:rPr>
                <w:sz w:val="24"/>
                <w:szCs w:val="24"/>
              </w:rPr>
            </w:pPr>
            <w:r w:rsidRPr="00971D1F">
              <w:rPr>
                <w:sz w:val="24"/>
                <w:szCs w:val="24"/>
              </w:rPr>
              <w:t>No children.</w:t>
            </w:r>
          </w:p>
          <w:p w:rsidR="00C013C7" w:rsidRPr="00971D1F" w:rsidRDefault="00C013C7" w:rsidP="00C013C7">
            <w:pPr>
              <w:rPr>
                <w:sz w:val="24"/>
                <w:szCs w:val="24"/>
              </w:rPr>
            </w:pPr>
            <w:r w:rsidRPr="00971D1F">
              <w:rPr>
                <w:sz w:val="24"/>
                <w:szCs w:val="24"/>
              </w:rPr>
              <w:t>No pregnant women.</w:t>
            </w:r>
          </w:p>
          <w:p w:rsidR="00C013C7" w:rsidRPr="00971D1F" w:rsidRDefault="00C013C7" w:rsidP="00C013C7">
            <w:pPr>
              <w:rPr>
                <w:sz w:val="24"/>
                <w:szCs w:val="24"/>
              </w:rPr>
            </w:pPr>
            <w:r w:rsidRPr="00971D1F">
              <w:rPr>
                <w:sz w:val="24"/>
                <w:szCs w:val="24"/>
              </w:rPr>
              <w:t>No declaration of disability.</w:t>
            </w:r>
          </w:p>
          <w:p w:rsidR="00C013C7" w:rsidRPr="00971D1F" w:rsidRDefault="00C013C7" w:rsidP="00971D1F">
            <w:pPr>
              <w:rPr>
                <w:sz w:val="24"/>
                <w:szCs w:val="24"/>
              </w:rPr>
            </w:pPr>
            <w:r w:rsidRPr="00971D1F">
              <w:rPr>
                <w:sz w:val="24"/>
                <w:szCs w:val="24"/>
              </w:rPr>
              <w:t>No request of special consideration within the definition of ‘protected characteristics’ within the Equality Act 2010.</w:t>
            </w:r>
          </w:p>
        </w:tc>
      </w:tr>
      <w:tr w:rsidR="00532357" w:rsidTr="00CC2B30">
        <w:trPr>
          <w:gridAfter w:val="1"/>
          <w:wAfter w:w="32" w:type="dxa"/>
        </w:trPr>
        <w:tc>
          <w:tcPr>
            <w:tcW w:w="711" w:type="dxa"/>
            <w:gridSpan w:val="2"/>
          </w:tcPr>
          <w:p w:rsidR="00532357" w:rsidRPr="002B3B5C" w:rsidRDefault="00532357">
            <w:pPr>
              <w:rPr>
                <w:b/>
                <w:sz w:val="24"/>
                <w:szCs w:val="24"/>
              </w:rPr>
            </w:pPr>
            <w:r>
              <w:rPr>
                <w:b/>
                <w:sz w:val="24"/>
                <w:szCs w:val="24"/>
              </w:rPr>
              <w:t>2.</w:t>
            </w:r>
            <w:r w:rsidR="00C013C7">
              <w:rPr>
                <w:b/>
                <w:sz w:val="24"/>
                <w:szCs w:val="24"/>
              </w:rPr>
              <w:t>4</w:t>
            </w:r>
          </w:p>
        </w:tc>
        <w:tc>
          <w:tcPr>
            <w:tcW w:w="3508" w:type="dxa"/>
          </w:tcPr>
          <w:p w:rsidR="00532357" w:rsidRPr="00971D1F" w:rsidRDefault="00532357">
            <w:pPr>
              <w:rPr>
                <w:sz w:val="24"/>
                <w:szCs w:val="24"/>
              </w:rPr>
            </w:pPr>
            <w:r w:rsidRPr="00971D1F">
              <w:rPr>
                <w:sz w:val="24"/>
                <w:szCs w:val="24"/>
              </w:rPr>
              <w:t xml:space="preserve">What engagement </w:t>
            </w:r>
            <w:r w:rsidR="0023474C" w:rsidRPr="00971D1F">
              <w:rPr>
                <w:sz w:val="24"/>
                <w:szCs w:val="24"/>
              </w:rPr>
              <w:t xml:space="preserve">or consultation </w:t>
            </w:r>
            <w:r w:rsidRPr="00971D1F">
              <w:rPr>
                <w:sz w:val="24"/>
                <w:szCs w:val="24"/>
              </w:rPr>
              <w:t>has been undertaken</w:t>
            </w:r>
            <w:r w:rsidR="0023474C" w:rsidRPr="00971D1F">
              <w:rPr>
                <w:sz w:val="24"/>
                <w:szCs w:val="24"/>
              </w:rPr>
              <w:t xml:space="preserve"> as part of </w:t>
            </w:r>
            <w:r w:rsidRPr="00971D1F">
              <w:rPr>
                <w:sz w:val="24"/>
                <w:szCs w:val="24"/>
              </w:rPr>
              <w:t>this EIA and with whom?</w:t>
            </w:r>
          </w:p>
          <w:p w:rsidR="0023474C" w:rsidRPr="00971D1F" w:rsidRDefault="0023474C">
            <w:pPr>
              <w:rPr>
                <w:sz w:val="24"/>
                <w:szCs w:val="24"/>
              </w:rPr>
            </w:pPr>
            <w:r w:rsidRPr="00971D1F">
              <w:rPr>
                <w:sz w:val="24"/>
                <w:szCs w:val="24"/>
              </w:rPr>
              <w:t>What were the results?</w:t>
            </w:r>
          </w:p>
        </w:tc>
        <w:tc>
          <w:tcPr>
            <w:tcW w:w="9923" w:type="dxa"/>
            <w:gridSpan w:val="3"/>
            <w:shd w:val="clear" w:color="auto" w:fill="auto"/>
          </w:tcPr>
          <w:p w:rsidR="00532357" w:rsidRDefault="00971D1F" w:rsidP="00971D1F">
            <w:pPr>
              <w:rPr>
                <w:sz w:val="24"/>
                <w:szCs w:val="24"/>
              </w:rPr>
            </w:pPr>
            <w:r>
              <w:rPr>
                <w:sz w:val="24"/>
                <w:szCs w:val="24"/>
              </w:rPr>
              <w:t>Survey with boat dwellers September 2013 (see paper ‘Health / education needs assessment report for River Avon moorings).</w:t>
            </w:r>
          </w:p>
          <w:p w:rsidR="00971D1F" w:rsidRDefault="00971D1F" w:rsidP="00971D1F">
            <w:pPr>
              <w:rPr>
                <w:sz w:val="24"/>
                <w:szCs w:val="24"/>
              </w:rPr>
            </w:pPr>
            <w:r>
              <w:rPr>
                <w:sz w:val="24"/>
                <w:szCs w:val="24"/>
              </w:rPr>
              <w:t xml:space="preserve">Notably, some boat dwellers raised further issues not covered in the needs assessment – </w:t>
            </w:r>
            <w:proofErr w:type="spellStart"/>
            <w:r>
              <w:rPr>
                <w:sz w:val="24"/>
                <w:szCs w:val="24"/>
              </w:rPr>
              <w:t>ie</w:t>
            </w:r>
            <w:proofErr w:type="spellEnd"/>
            <w:r>
              <w:rPr>
                <w:sz w:val="24"/>
                <w:szCs w:val="24"/>
              </w:rPr>
              <w:t>:</w:t>
            </w:r>
          </w:p>
          <w:p w:rsidR="00971D1F" w:rsidRDefault="00971D1F" w:rsidP="00971D1F">
            <w:pPr>
              <w:rPr>
                <w:sz w:val="24"/>
                <w:szCs w:val="24"/>
              </w:rPr>
            </w:pPr>
            <w:r>
              <w:rPr>
                <w:sz w:val="24"/>
                <w:szCs w:val="24"/>
              </w:rPr>
              <w:t>Health &amp; safety issues with inadequate places to exit the water in the event of accident;</w:t>
            </w:r>
          </w:p>
          <w:p w:rsidR="00971D1F" w:rsidRDefault="00971D1F" w:rsidP="00971D1F">
            <w:pPr>
              <w:rPr>
                <w:sz w:val="24"/>
                <w:szCs w:val="24"/>
              </w:rPr>
            </w:pPr>
            <w:r>
              <w:rPr>
                <w:sz w:val="24"/>
                <w:szCs w:val="24"/>
              </w:rPr>
              <w:t>Lack of facilities for disposal or rubbish, foul water and waste water;</w:t>
            </w:r>
          </w:p>
          <w:p w:rsidR="00971D1F" w:rsidRDefault="00971D1F" w:rsidP="00971D1F">
            <w:pPr>
              <w:rPr>
                <w:sz w:val="24"/>
                <w:szCs w:val="24"/>
              </w:rPr>
            </w:pPr>
            <w:r>
              <w:rPr>
                <w:sz w:val="24"/>
                <w:szCs w:val="24"/>
              </w:rPr>
              <w:t>Lack of potable water facility.</w:t>
            </w:r>
          </w:p>
          <w:p w:rsidR="00971D1F" w:rsidRPr="00971D1F" w:rsidRDefault="00971D1F" w:rsidP="00971D1F">
            <w:pPr>
              <w:rPr>
                <w:sz w:val="24"/>
                <w:szCs w:val="24"/>
              </w:rPr>
            </w:pPr>
            <w:r>
              <w:rPr>
                <w:sz w:val="24"/>
                <w:szCs w:val="24"/>
              </w:rPr>
              <w:t>Information is circulated to the KANDA website which aims to reach boat owners and dwellers on the Kennet &amp; Avon Canal (adjoining the river).</w:t>
            </w:r>
          </w:p>
        </w:tc>
      </w:tr>
      <w:tr w:rsidR="002B3B5C" w:rsidTr="00CC2B30">
        <w:trPr>
          <w:gridAfter w:val="1"/>
          <w:wAfter w:w="32" w:type="dxa"/>
        </w:trPr>
        <w:tc>
          <w:tcPr>
            <w:tcW w:w="711" w:type="dxa"/>
            <w:gridSpan w:val="2"/>
          </w:tcPr>
          <w:p w:rsidR="002B3B5C" w:rsidRPr="002B3B5C" w:rsidRDefault="00C013C7">
            <w:pPr>
              <w:rPr>
                <w:b/>
                <w:sz w:val="24"/>
                <w:szCs w:val="24"/>
              </w:rPr>
            </w:pPr>
            <w:r>
              <w:rPr>
                <w:b/>
                <w:sz w:val="24"/>
                <w:szCs w:val="24"/>
              </w:rPr>
              <w:t>2.5</w:t>
            </w:r>
          </w:p>
        </w:tc>
        <w:tc>
          <w:tcPr>
            <w:tcW w:w="3508" w:type="dxa"/>
          </w:tcPr>
          <w:p w:rsidR="002B3B5C" w:rsidRPr="00971D1F" w:rsidRDefault="002B3B5C">
            <w:pPr>
              <w:rPr>
                <w:sz w:val="24"/>
                <w:szCs w:val="24"/>
              </w:rPr>
            </w:pPr>
            <w:r w:rsidRPr="00971D1F">
              <w:rPr>
                <w:sz w:val="24"/>
                <w:szCs w:val="24"/>
              </w:rPr>
              <w:t xml:space="preserve">If you are planning to undertake any consultation in the future regarding this service or policy, how will you include equalities considerations within this? </w:t>
            </w:r>
          </w:p>
        </w:tc>
        <w:tc>
          <w:tcPr>
            <w:tcW w:w="9923" w:type="dxa"/>
            <w:gridSpan w:val="3"/>
            <w:shd w:val="clear" w:color="auto" w:fill="auto"/>
          </w:tcPr>
          <w:p w:rsidR="002B3B5C" w:rsidRDefault="00971D1F" w:rsidP="00272C3A">
            <w:pPr>
              <w:rPr>
                <w:sz w:val="24"/>
                <w:szCs w:val="24"/>
              </w:rPr>
            </w:pPr>
            <w:r>
              <w:rPr>
                <w:sz w:val="24"/>
                <w:szCs w:val="24"/>
              </w:rPr>
              <w:t>Further conversations being held with:</w:t>
            </w:r>
          </w:p>
          <w:p w:rsidR="00971D1F" w:rsidRPr="005D0E23" w:rsidRDefault="00971D1F" w:rsidP="00272C3A">
            <w:pPr>
              <w:rPr>
                <w:color w:val="000000" w:themeColor="text1"/>
                <w:sz w:val="24"/>
                <w:szCs w:val="24"/>
              </w:rPr>
            </w:pPr>
            <w:r w:rsidRPr="005D0E23">
              <w:rPr>
                <w:color w:val="000000" w:themeColor="text1"/>
                <w:sz w:val="24"/>
                <w:szCs w:val="24"/>
              </w:rPr>
              <w:t>A</w:t>
            </w:r>
            <w:r w:rsidR="00A1549F" w:rsidRPr="005D0E23">
              <w:rPr>
                <w:color w:val="000000" w:themeColor="text1"/>
                <w:sz w:val="24"/>
                <w:szCs w:val="24"/>
              </w:rPr>
              <w:t xml:space="preserve">ssociation of </w:t>
            </w:r>
            <w:r w:rsidRPr="005D0E23">
              <w:rPr>
                <w:color w:val="000000" w:themeColor="text1"/>
                <w:sz w:val="24"/>
                <w:szCs w:val="24"/>
              </w:rPr>
              <w:t>I</w:t>
            </w:r>
            <w:r w:rsidR="00A1549F" w:rsidRPr="005D0E23">
              <w:rPr>
                <w:color w:val="000000" w:themeColor="text1"/>
                <w:sz w:val="24"/>
                <w:szCs w:val="24"/>
              </w:rPr>
              <w:t>nland Navigation Authorities</w:t>
            </w:r>
          </w:p>
          <w:p w:rsidR="00971D1F" w:rsidRDefault="00971D1F" w:rsidP="00272C3A">
            <w:pPr>
              <w:rPr>
                <w:sz w:val="24"/>
                <w:szCs w:val="24"/>
              </w:rPr>
            </w:pPr>
            <w:r>
              <w:rPr>
                <w:sz w:val="24"/>
                <w:szCs w:val="24"/>
              </w:rPr>
              <w:t>Environment Agency</w:t>
            </w:r>
          </w:p>
          <w:p w:rsidR="00971D1F" w:rsidRDefault="00971D1F" w:rsidP="00971D1F">
            <w:pPr>
              <w:rPr>
                <w:sz w:val="24"/>
                <w:szCs w:val="24"/>
              </w:rPr>
            </w:pPr>
            <w:r>
              <w:rPr>
                <w:sz w:val="24"/>
                <w:szCs w:val="24"/>
              </w:rPr>
              <w:t>Kennet &amp; Avon Trust</w:t>
            </w:r>
          </w:p>
          <w:p w:rsidR="00971D1F" w:rsidRDefault="00971D1F" w:rsidP="00971D1F">
            <w:pPr>
              <w:rPr>
                <w:sz w:val="24"/>
                <w:szCs w:val="24"/>
              </w:rPr>
            </w:pPr>
            <w:r>
              <w:rPr>
                <w:sz w:val="24"/>
                <w:szCs w:val="24"/>
              </w:rPr>
              <w:t>Royal Society for the Prevention of Accidents</w:t>
            </w:r>
          </w:p>
          <w:p w:rsidR="00971D1F" w:rsidRDefault="00971D1F" w:rsidP="00971D1F">
            <w:pPr>
              <w:rPr>
                <w:sz w:val="24"/>
                <w:szCs w:val="24"/>
              </w:rPr>
            </w:pPr>
            <w:r>
              <w:rPr>
                <w:sz w:val="24"/>
                <w:szCs w:val="24"/>
              </w:rPr>
              <w:t>Canal and River Trust</w:t>
            </w:r>
          </w:p>
          <w:p w:rsidR="00971D1F" w:rsidRPr="00971D1F" w:rsidRDefault="00971D1F" w:rsidP="00971D1F">
            <w:pPr>
              <w:rPr>
                <w:sz w:val="24"/>
                <w:szCs w:val="24"/>
              </w:rPr>
            </w:pPr>
            <w:r>
              <w:rPr>
                <w:sz w:val="24"/>
                <w:szCs w:val="24"/>
              </w:rPr>
              <w:t>Inland Waterways.</w:t>
            </w:r>
          </w:p>
        </w:tc>
      </w:tr>
      <w:tr w:rsidR="004E418F">
        <w:tc>
          <w:tcPr>
            <w:tcW w:w="14174" w:type="dxa"/>
            <w:gridSpan w:val="7"/>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rsidTr="008D13A5">
        <w:tc>
          <w:tcPr>
            <w:tcW w:w="684" w:type="dxa"/>
          </w:tcPr>
          <w:p w:rsidR="006B2DF8" w:rsidRPr="00CC2B30" w:rsidRDefault="006B2DF8">
            <w:pPr>
              <w:rPr>
                <w:b/>
                <w:sz w:val="24"/>
                <w:szCs w:val="24"/>
              </w:rPr>
            </w:pPr>
          </w:p>
        </w:tc>
        <w:tc>
          <w:tcPr>
            <w:tcW w:w="13490" w:type="dxa"/>
            <w:gridSpan w:val="6"/>
          </w:tcPr>
          <w:p w:rsidR="005E0695" w:rsidRPr="00CC2B30" w:rsidRDefault="006B2DF8">
            <w:pPr>
              <w:rPr>
                <w:sz w:val="24"/>
                <w:szCs w:val="24"/>
              </w:rPr>
            </w:pPr>
            <w:r w:rsidRPr="00CC2B30">
              <w:rPr>
                <w:sz w:val="24"/>
                <w:szCs w:val="24"/>
              </w:rPr>
              <w:t xml:space="preserve">Based upon any data you have </w:t>
            </w:r>
            <w:r w:rsidR="00C64D7C" w:rsidRPr="00CC2B30">
              <w:rPr>
                <w:sz w:val="24"/>
                <w:szCs w:val="24"/>
              </w:rPr>
              <w:t xml:space="preserve">considered, </w:t>
            </w:r>
            <w:r w:rsidRPr="00CC2B30">
              <w:rPr>
                <w:sz w:val="24"/>
                <w:szCs w:val="24"/>
              </w:rPr>
              <w:t xml:space="preserve">or the results of consultation or research, use the spaces below to </w:t>
            </w:r>
            <w:r w:rsidR="00C64D7C" w:rsidRPr="00CC2B30">
              <w:rPr>
                <w:sz w:val="24"/>
                <w:szCs w:val="24"/>
              </w:rPr>
              <w:t xml:space="preserve">demonstrate you have analysed </w:t>
            </w:r>
            <w:r w:rsidRPr="00CC2B30">
              <w:rPr>
                <w:sz w:val="24"/>
                <w:szCs w:val="24"/>
              </w:rPr>
              <w:t xml:space="preserve">how the </w:t>
            </w:r>
            <w:r w:rsidR="002B3B5C" w:rsidRPr="00CC2B30">
              <w:rPr>
                <w:sz w:val="24"/>
                <w:szCs w:val="24"/>
              </w:rPr>
              <w:t xml:space="preserve">service or </w:t>
            </w:r>
            <w:r w:rsidRPr="00CC2B30">
              <w:rPr>
                <w:sz w:val="24"/>
                <w:szCs w:val="24"/>
              </w:rPr>
              <w:t>policy</w:t>
            </w:r>
            <w:r w:rsidR="002B3B5C" w:rsidRPr="00CC2B30">
              <w:rPr>
                <w:sz w:val="24"/>
                <w:szCs w:val="24"/>
              </w:rPr>
              <w:t>:</w:t>
            </w:r>
          </w:p>
          <w:p w:rsidR="005E0695" w:rsidRPr="00CC2B30" w:rsidRDefault="002B3B5C" w:rsidP="002B3B5C">
            <w:pPr>
              <w:numPr>
                <w:ilvl w:val="0"/>
                <w:numId w:val="20"/>
              </w:numPr>
              <w:rPr>
                <w:sz w:val="24"/>
                <w:szCs w:val="24"/>
              </w:rPr>
            </w:pPr>
            <w:r w:rsidRPr="00CC2B30">
              <w:rPr>
                <w:sz w:val="24"/>
                <w:szCs w:val="24"/>
              </w:rPr>
              <w:t>M</w:t>
            </w:r>
            <w:r w:rsidR="006B2DF8" w:rsidRPr="00CC2B30">
              <w:rPr>
                <w:sz w:val="24"/>
                <w:szCs w:val="24"/>
              </w:rPr>
              <w:t>eets any particular needs of equalities groups</w:t>
            </w:r>
            <w:r w:rsidRPr="00CC2B30">
              <w:rPr>
                <w:sz w:val="24"/>
                <w:szCs w:val="24"/>
              </w:rPr>
              <w:t xml:space="preserve"> or helps promote equality in some way</w:t>
            </w:r>
            <w:r w:rsidR="006B2DF8" w:rsidRPr="00CC2B30">
              <w:rPr>
                <w:sz w:val="24"/>
                <w:szCs w:val="24"/>
              </w:rPr>
              <w:t>.</w:t>
            </w:r>
            <w:r w:rsidR="00E62C69" w:rsidRPr="00CC2B30">
              <w:rPr>
                <w:sz w:val="24"/>
                <w:szCs w:val="24"/>
              </w:rPr>
              <w:t xml:space="preserve">  </w:t>
            </w:r>
          </w:p>
          <w:p w:rsidR="006B2DF8" w:rsidRPr="00CC2B30" w:rsidRDefault="002B3B5C" w:rsidP="002B3B5C">
            <w:pPr>
              <w:numPr>
                <w:ilvl w:val="0"/>
                <w:numId w:val="20"/>
              </w:numPr>
              <w:rPr>
                <w:sz w:val="24"/>
                <w:szCs w:val="24"/>
              </w:rPr>
            </w:pPr>
            <w:r w:rsidRPr="00CC2B30">
              <w:rPr>
                <w:sz w:val="24"/>
                <w:szCs w:val="24"/>
              </w:rPr>
              <w:t xml:space="preserve">Could have a negative </w:t>
            </w:r>
            <w:r w:rsidR="005E0695" w:rsidRPr="00CC2B30">
              <w:rPr>
                <w:sz w:val="24"/>
                <w:szCs w:val="24"/>
              </w:rPr>
              <w:t>or adverse</w:t>
            </w:r>
            <w:r w:rsidRPr="00CC2B30">
              <w:rPr>
                <w:sz w:val="24"/>
                <w:szCs w:val="24"/>
              </w:rPr>
              <w:t xml:space="preserve"> impact</w:t>
            </w:r>
            <w:r w:rsidR="005E0695" w:rsidRPr="00CC2B30">
              <w:rPr>
                <w:sz w:val="24"/>
                <w:szCs w:val="24"/>
              </w:rPr>
              <w:t xml:space="preserve"> for </w:t>
            </w:r>
            <w:r w:rsidR="008B760D" w:rsidRPr="00CC2B30">
              <w:rPr>
                <w:sz w:val="24"/>
                <w:szCs w:val="24"/>
              </w:rPr>
              <w:t>any of the</w:t>
            </w:r>
            <w:r w:rsidR="005E0695" w:rsidRPr="00CC2B30">
              <w:rPr>
                <w:sz w:val="24"/>
                <w:szCs w:val="24"/>
              </w:rPr>
              <w:t xml:space="preserve"> equalities groups </w:t>
            </w:r>
            <w:r w:rsidR="00E62C69" w:rsidRPr="00CC2B30">
              <w:rPr>
                <w:sz w:val="24"/>
                <w:szCs w:val="24"/>
              </w:rPr>
              <w:t xml:space="preserve"> </w:t>
            </w:r>
          </w:p>
        </w:tc>
      </w:tr>
      <w:tr w:rsidR="002B3B5C" w:rsidTr="00331AC8">
        <w:tc>
          <w:tcPr>
            <w:tcW w:w="684" w:type="dxa"/>
          </w:tcPr>
          <w:p w:rsidR="002B3B5C" w:rsidRPr="00CC2B30" w:rsidRDefault="002B3B5C">
            <w:pPr>
              <w:rPr>
                <w:sz w:val="24"/>
                <w:szCs w:val="24"/>
              </w:rPr>
            </w:pPr>
          </w:p>
        </w:tc>
        <w:tc>
          <w:tcPr>
            <w:tcW w:w="4102" w:type="dxa"/>
            <w:gridSpan w:val="3"/>
          </w:tcPr>
          <w:p w:rsidR="002B3B5C" w:rsidRPr="00CC2B30" w:rsidRDefault="002B3B5C" w:rsidP="00C70B44">
            <w:pPr>
              <w:rPr>
                <w:sz w:val="24"/>
                <w:szCs w:val="24"/>
              </w:rPr>
            </w:pPr>
          </w:p>
        </w:tc>
        <w:tc>
          <w:tcPr>
            <w:tcW w:w="4678" w:type="dxa"/>
            <w:shd w:val="clear" w:color="auto" w:fill="auto"/>
          </w:tcPr>
          <w:p w:rsidR="002B3B5C" w:rsidRPr="00CC2B30" w:rsidRDefault="002B3B5C">
            <w:pPr>
              <w:rPr>
                <w:b/>
                <w:sz w:val="24"/>
                <w:szCs w:val="24"/>
              </w:rPr>
            </w:pPr>
          </w:p>
          <w:p w:rsidR="002B3B5C" w:rsidRPr="00CC2B30" w:rsidRDefault="002B3B5C">
            <w:pPr>
              <w:rPr>
                <w:b/>
                <w:sz w:val="24"/>
                <w:szCs w:val="24"/>
              </w:rPr>
            </w:pPr>
            <w:r w:rsidRPr="00CC2B30">
              <w:rPr>
                <w:b/>
                <w:sz w:val="24"/>
                <w:szCs w:val="24"/>
              </w:rPr>
              <w:t>Examples of what the service has done to promote equality</w:t>
            </w:r>
          </w:p>
          <w:p w:rsidR="002B3B5C" w:rsidRPr="00CC2B30" w:rsidRDefault="002B3B5C">
            <w:pPr>
              <w:rPr>
                <w:b/>
                <w:sz w:val="24"/>
                <w:szCs w:val="24"/>
              </w:rPr>
            </w:pPr>
          </w:p>
        </w:tc>
        <w:tc>
          <w:tcPr>
            <w:tcW w:w="4710" w:type="dxa"/>
            <w:gridSpan w:val="2"/>
            <w:shd w:val="clear" w:color="auto" w:fill="auto"/>
          </w:tcPr>
          <w:p w:rsidR="002B3B5C" w:rsidRPr="00CC2B30" w:rsidRDefault="002B3B5C">
            <w:pPr>
              <w:rPr>
                <w:b/>
                <w:sz w:val="24"/>
                <w:szCs w:val="24"/>
              </w:rPr>
            </w:pPr>
            <w:r w:rsidRPr="00CC2B30">
              <w:rPr>
                <w:b/>
                <w:sz w:val="24"/>
                <w:szCs w:val="24"/>
              </w:rPr>
              <w:t xml:space="preserve">Examples of </w:t>
            </w:r>
            <w:r w:rsidR="00C64D7C" w:rsidRPr="00CC2B30">
              <w:rPr>
                <w:b/>
                <w:sz w:val="24"/>
                <w:szCs w:val="24"/>
              </w:rPr>
              <w:t xml:space="preserve">actual or </w:t>
            </w:r>
            <w:r w:rsidRPr="00CC2B30">
              <w:rPr>
                <w:b/>
                <w:sz w:val="24"/>
                <w:szCs w:val="24"/>
              </w:rPr>
              <w:t>potential negative or adverse impact and what steps have been or could be taken to address this</w:t>
            </w:r>
          </w:p>
        </w:tc>
      </w:tr>
      <w:tr w:rsidR="002B3B5C" w:rsidTr="00331AC8">
        <w:tc>
          <w:tcPr>
            <w:tcW w:w="684" w:type="dxa"/>
          </w:tcPr>
          <w:p w:rsidR="002B3B5C" w:rsidRPr="00CC2B30" w:rsidRDefault="002B3B5C">
            <w:pPr>
              <w:rPr>
                <w:b/>
                <w:sz w:val="24"/>
                <w:szCs w:val="24"/>
              </w:rPr>
            </w:pPr>
            <w:r w:rsidRPr="00CC2B30">
              <w:rPr>
                <w:b/>
                <w:sz w:val="24"/>
                <w:szCs w:val="24"/>
              </w:rPr>
              <w:t>3.1</w:t>
            </w:r>
          </w:p>
        </w:tc>
        <w:tc>
          <w:tcPr>
            <w:tcW w:w="4102" w:type="dxa"/>
            <w:gridSpan w:val="3"/>
          </w:tcPr>
          <w:p w:rsidR="002B3B5C" w:rsidRPr="00CC2B30" w:rsidRDefault="002B3B5C" w:rsidP="002C4B12">
            <w:pPr>
              <w:rPr>
                <w:sz w:val="24"/>
                <w:szCs w:val="24"/>
              </w:rPr>
            </w:pPr>
            <w:r w:rsidRPr="00CC2B30">
              <w:rPr>
                <w:b/>
                <w:sz w:val="24"/>
                <w:szCs w:val="24"/>
              </w:rPr>
              <w:t xml:space="preserve">Gender </w:t>
            </w:r>
            <w:r w:rsidRPr="00CC2B30">
              <w:rPr>
                <w:sz w:val="24"/>
                <w:szCs w:val="24"/>
              </w:rPr>
              <w:t>– identify the impact/potential impact of the policy on women</w:t>
            </w:r>
            <w:r w:rsidR="008B760D" w:rsidRPr="00CC2B30">
              <w:rPr>
                <w:sz w:val="24"/>
                <w:szCs w:val="24"/>
              </w:rPr>
              <w:t xml:space="preserve"> and men.  </w:t>
            </w:r>
          </w:p>
        </w:tc>
        <w:tc>
          <w:tcPr>
            <w:tcW w:w="4678" w:type="dxa"/>
            <w:shd w:val="clear" w:color="auto" w:fill="auto"/>
          </w:tcPr>
          <w:p w:rsidR="002B3B5C" w:rsidRPr="00CC2B30" w:rsidRDefault="00331AC8" w:rsidP="00331AC8">
            <w:pPr>
              <w:rPr>
                <w:sz w:val="24"/>
                <w:szCs w:val="24"/>
              </w:rPr>
            </w:pPr>
            <w:r w:rsidRPr="00CC2B30">
              <w:rPr>
                <w:sz w:val="24"/>
                <w:szCs w:val="24"/>
              </w:rPr>
              <w:t>September survey aimed to identify if there were any pregnant women boat dwellers. There were none.</w:t>
            </w:r>
          </w:p>
        </w:tc>
        <w:tc>
          <w:tcPr>
            <w:tcW w:w="4710" w:type="dxa"/>
            <w:gridSpan w:val="2"/>
            <w:shd w:val="clear" w:color="auto" w:fill="auto"/>
          </w:tcPr>
          <w:p w:rsidR="002B3B5C" w:rsidRPr="00CC2B30" w:rsidRDefault="00331AC8">
            <w:pPr>
              <w:rPr>
                <w:sz w:val="24"/>
                <w:szCs w:val="24"/>
              </w:rPr>
            </w:pPr>
            <w:r w:rsidRPr="00CC2B30">
              <w:rPr>
                <w:sz w:val="24"/>
                <w:szCs w:val="24"/>
              </w:rPr>
              <w:t>Not applicable.</w:t>
            </w:r>
          </w:p>
          <w:p w:rsidR="002B3B5C" w:rsidRPr="00CC2B30" w:rsidRDefault="002B3B5C">
            <w:pPr>
              <w:rPr>
                <w:sz w:val="24"/>
                <w:szCs w:val="24"/>
              </w:rPr>
            </w:pPr>
          </w:p>
          <w:p w:rsidR="002B3B5C" w:rsidRPr="00CC2B30" w:rsidRDefault="002B3B5C" w:rsidP="002B3B5C">
            <w:pPr>
              <w:rPr>
                <w:sz w:val="24"/>
                <w:szCs w:val="24"/>
              </w:rPr>
            </w:pPr>
          </w:p>
        </w:tc>
      </w:tr>
      <w:tr w:rsidR="00331AC8" w:rsidTr="00331AC8">
        <w:tc>
          <w:tcPr>
            <w:tcW w:w="684" w:type="dxa"/>
          </w:tcPr>
          <w:p w:rsidR="00331AC8" w:rsidRPr="00CC2B30" w:rsidRDefault="00331AC8">
            <w:pPr>
              <w:rPr>
                <w:b/>
                <w:sz w:val="24"/>
                <w:szCs w:val="24"/>
              </w:rPr>
            </w:pPr>
            <w:r w:rsidRPr="00CC2B30">
              <w:rPr>
                <w:b/>
                <w:sz w:val="24"/>
                <w:szCs w:val="24"/>
              </w:rPr>
              <w:t>3.2</w:t>
            </w:r>
          </w:p>
        </w:tc>
        <w:tc>
          <w:tcPr>
            <w:tcW w:w="4102" w:type="dxa"/>
            <w:gridSpan w:val="3"/>
          </w:tcPr>
          <w:p w:rsidR="00331AC8" w:rsidRPr="00CC2B30" w:rsidRDefault="00331AC8" w:rsidP="002C4B12">
            <w:pPr>
              <w:rPr>
                <w:b/>
                <w:sz w:val="24"/>
                <w:szCs w:val="24"/>
              </w:rPr>
            </w:pPr>
            <w:r w:rsidRPr="00CC2B30">
              <w:rPr>
                <w:b/>
                <w:sz w:val="24"/>
                <w:szCs w:val="24"/>
              </w:rPr>
              <w:t>Disability</w:t>
            </w:r>
            <w:r w:rsidRPr="00CC2B30">
              <w:rPr>
                <w:sz w:val="24"/>
                <w:szCs w:val="24"/>
              </w:rPr>
              <w:t xml:space="preserve"> - identify the impact/potential impact of the policy on disabled people (ensure consideration both physical and mental impairments)</w:t>
            </w:r>
          </w:p>
        </w:tc>
        <w:tc>
          <w:tcPr>
            <w:tcW w:w="4678" w:type="dxa"/>
            <w:shd w:val="clear" w:color="auto" w:fill="auto"/>
          </w:tcPr>
          <w:p w:rsidR="00331AC8" w:rsidRPr="00CC2B30" w:rsidRDefault="00331AC8" w:rsidP="00331AC8">
            <w:pPr>
              <w:rPr>
                <w:sz w:val="24"/>
                <w:szCs w:val="24"/>
              </w:rPr>
            </w:pPr>
            <w:r w:rsidRPr="00CC2B30">
              <w:rPr>
                <w:sz w:val="24"/>
                <w:szCs w:val="24"/>
              </w:rPr>
              <w:t xml:space="preserve">September survey asked if there were any disabled boat dwellers present. </w:t>
            </w:r>
          </w:p>
        </w:tc>
        <w:tc>
          <w:tcPr>
            <w:tcW w:w="4710" w:type="dxa"/>
            <w:gridSpan w:val="2"/>
            <w:shd w:val="clear" w:color="auto" w:fill="auto"/>
          </w:tcPr>
          <w:p w:rsidR="00331AC8" w:rsidRPr="00CC2B30" w:rsidRDefault="00331AC8" w:rsidP="00331AC8">
            <w:pPr>
              <w:rPr>
                <w:sz w:val="24"/>
                <w:szCs w:val="24"/>
              </w:rPr>
            </w:pPr>
            <w:r w:rsidRPr="00CC2B30">
              <w:rPr>
                <w:sz w:val="24"/>
                <w:szCs w:val="24"/>
              </w:rPr>
              <w:t xml:space="preserve">Access to long term health care is a particular issue with transient communities; the survey aimed to identify people who </w:t>
            </w:r>
            <w:r w:rsidR="00D3330F" w:rsidRPr="00CC2B30">
              <w:rPr>
                <w:sz w:val="24"/>
                <w:szCs w:val="24"/>
              </w:rPr>
              <w:t xml:space="preserve">need access to regular and </w:t>
            </w:r>
            <w:proofErr w:type="spellStart"/>
            <w:r w:rsidR="00D3330F" w:rsidRPr="00CC2B30">
              <w:rPr>
                <w:sz w:val="24"/>
                <w:szCs w:val="24"/>
              </w:rPr>
              <w:t>on going</w:t>
            </w:r>
            <w:proofErr w:type="spellEnd"/>
            <w:r w:rsidR="00D3330F" w:rsidRPr="00CC2B30">
              <w:rPr>
                <w:sz w:val="24"/>
                <w:szCs w:val="24"/>
              </w:rPr>
              <w:t xml:space="preserve"> health care.</w:t>
            </w:r>
          </w:p>
        </w:tc>
      </w:tr>
      <w:tr w:rsidR="00331AC8" w:rsidTr="00331AC8">
        <w:tc>
          <w:tcPr>
            <w:tcW w:w="684" w:type="dxa"/>
          </w:tcPr>
          <w:p w:rsidR="00331AC8" w:rsidRPr="00CC2B30" w:rsidRDefault="00331AC8">
            <w:pPr>
              <w:rPr>
                <w:b/>
                <w:sz w:val="24"/>
                <w:szCs w:val="24"/>
              </w:rPr>
            </w:pPr>
            <w:r w:rsidRPr="00CC2B30">
              <w:rPr>
                <w:b/>
                <w:sz w:val="24"/>
                <w:szCs w:val="24"/>
              </w:rPr>
              <w:t>3.3</w:t>
            </w:r>
          </w:p>
        </w:tc>
        <w:tc>
          <w:tcPr>
            <w:tcW w:w="4102" w:type="dxa"/>
            <w:gridSpan w:val="3"/>
          </w:tcPr>
          <w:p w:rsidR="00331AC8" w:rsidRPr="00CC2B30" w:rsidRDefault="00331AC8" w:rsidP="00331AC8">
            <w:pPr>
              <w:rPr>
                <w:sz w:val="24"/>
                <w:szCs w:val="24"/>
              </w:rPr>
            </w:pPr>
            <w:r w:rsidRPr="00CC2B30">
              <w:rPr>
                <w:b/>
                <w:sz w:val="24"/>
                <w:szCs w:val="24"/>
              </w:rPr>
              <w:t xml:space="preserve">Age  </w:t>
            </w:r>
            <w:r w:rsidRPr="00CC2B30">
              <w:rPr>
                <w:sz w:val="24"/>
                <w:szCs w:val="24"/>
              </w:rPr>
              <w:t>– identify the impact/potential impact of the policy on different age groups</w:t>
            </w:r>
          </w:p>
          <w:p w:rsidR="00331AC8" w:rsidRPr="00CC2B30" w:rsidRDefault="00331AC8" w:rsidP="002C4B12">
            <w:pPr>
              <w:rPr>
                <w:b/>
                <w:sz w:val="24"/>
                <w:szCs w:val="24"/>
              </w:rPr>
            </w:pPr>
          </w:p>
        </w:tc>
        <w:tc>
          <w:tcPr>
            <w:tcW w:w="4678" w:type="dxa"/>
            <w:shd w:val="clear" w:color="auto" w:fill="auto"/>
          </w:tcPr>
          <w:p w:rsidR="00331AC8" w:rsidRPr="00CC2B30" w:rsidRDefault="00D3330F">
            <w:pPr>
              <w:rPr>
                <w:sz w:val="24"/>
                <w:szCs w:val="24"/>
              </w:rPr>
            </w:pPr>
            <w:r w:rsidRPr="00CC2B30">
              <w:rPr>
                <w:sz w:val="24"/>
                <w:szCs w:val="24"/>
              </w:rPr>
              <w:t>Consideration of educational needs was planned into the survey. As there were no children dwelling on the boats moored this part of the survey is not applicable.</w:t>
            </w:r>
          </w:p>
        </w:tc>
        <w:tc>
          <w:tcPr>
            <w:tcW w:w="4710" w:type="dxa"/>
            <w:gridSpan w:val="2"/>
            <w:shd w:val="clear" w:color="auto" w:fill="auto"/>
          </w:tcPr>
          <w:p w:rsidR="00331AC8" w:rsidRPr="00CC2B30" w:rsidRDefault="00D3330F" w:rsidP="00D3330F">
            <w:pPr>
              <w:rPr>
                <w:sz w:val="24"/>
                <w:szCs w:val="24"/>
              </w:rPr>
            </w:pPr>
            <w:r w:rsidRPr="00CC2B30">
              <w:rPr>
                <w:sz w:val="24"/>
                <w:szCs w:val="24"/>
              </w:rPr>
              <w:t>Some survey respondents were over the age of 60 years.</w:t>
            </w:r>
          </w:p>
          <w:p w:rsidR="00D3330F" w:rsidRPr="00CC2B30" w:rsidRDefault="00D3330F" w:rsidP="00D3330F">
            <w:pPr>
              <w:rPr>
                <w:sz w:val="24"/>
                <w:szCs w:val="24"/>
              </w:rPr>
            </w:pPr>
            <w:r w:rsidRPr="00CC2B30">
              <w:rPr>
                <w:sz w:val="24"/>
                <w:szCs w:val="24"/>
              </w:rPr>
              <w:t>There were no school age children at the time of the survey.</w:t>
            </w:r>
          </w:p>
        </w:tc>
      </w:tr>
      <w:tr w:rsidR="00CE1089" w:rsidTr="00331AC8">
        <w:tc>
          <w:tcPr>
            <w:tcW w:w="684" w:type="dxa"/>
          </w:tcPr>
          <w:p w:rsidR="00CE1089" w:rsidRPr="00CC2B30" w:rsidRDefault="00CE1089">
            <w:pPr>
              <w:rPr>
                <w:b/>
                <w:sz w:val="24"/>
                <w:szCs w:val="24"/>
              </w:rPr>
            </w:pPr>
            <w:r w:rsidRPr="00CC2B30">
              <w:rPr>
                <w:b/>
                <w:sz w:val="24"/>
                <w:szCs w:val="24"/>
              </w:rPr>
              <w:t>3.</w:t>
            </w:r>
            <w:r w:rsidR="00331AC8" w:rsidRPr="00CC2B30">
              <w:rPr>
                <w:b/>
                <w:sz w:val="24"/>
                <w:szCs w:val="24"/>
              </w:rPr>
              <w:t>4</w:t>
            </w:r>
          </w:p>
        </w:tc>
        <w:tc>
          <w:tcPr>
            <w:tcW w:w="4102" w:type="dxa"/>
            <w:gridSpan w:val="3"/>
          </w:tcPr>
          <w:p w:rsidR="002C4B12" w:rsidRPr="00CC2B30" w:rsidRDefault="00CE1089">
            <w:pPr>
              <w:rPr>
                <w:sz w:val="24"/>
                <w:szCs w:val="24"/>
              </w:rPr>
            </w:pPr>
            <w:r w:rsidRPr="00CC2B30">
              <w:rPr>
                <w:b/>
                <w:sz w:val="24"/>
                <w:szCs w:val="24"/>
              </w:rPr>
              <w:t>Pregnancy and maternity</w:t>
            </w:r>
            <w:r w:rsidR="00331AC8" w:rsidRPr="00CC2B30">
              <w:rPr>
                <w:b/>
                <w:sz w:val="24"/>
                <w:szCs w:val="24"/>
              </w:rPr>
              <w:t xml:space="preserve">; Transgender; </w:t>
            </w:r>
          </w:p>
          <w:p w:rsidR="00331AC8" w:rsidRPr="00CC2B30" w:rsidRDefault="00331AC8" w:rsidP="00331AC8">
            <w:pPr>
              <w:rPr>
                <w:b/>
                <w:sz w:val="24"/>
                <w:szCs w:val="24"/>
              </w:rPr>
            </w:pPr>
            <w:r w:rsidRPr="00CC2B30">
              <w:rPr>
                <w:b/>
                <w:sz w:val="24"/>
                <w:szCs w:val="24"/>
              </w:rPr>
              <w:t>Race</w:t>
            </w:r>
            <w:r w:rsidRPr="00CC2B30">
              <w:rPr>
                <w:sz w:val="24"/>
                <w:szCs w:val="24"/>
              </w:rPr>
              <w:t xml:space="preserve">; </w:t>
            </w:r>
            <w:r w:rsidRPr="00CC2B30">
              <w:rPr>
                <w:b/>
                <w:sz w:val="24"/>
                <w:szCs w:val="24"/>
              </w:rPr>
              <w:t>Sexual orientation; Religion/belief; Marriage and civil partnership.</w:t>
            </w:r>
          </w:p>
        </w:tc>
        <w:tc>
          <w:tcPr>
            <w:tcW w:w="4678" w:type="dxa"/>
            <w:shd w:val="clear" w:color="auto" w:fill="auto"/>
          </w:tcPr>
          <w:p w:rsidR="002C4B12" w:rsidRPr="00CC2B30" w:rsidRDefault="00331AC8">
            <w:pPr>
              <w:rPr>
                <w:sz w:val="24"/>
                <w:szCs w:val="24"/>
              </w:rPr>
            </w:pPr>
            <w:r w:rsidRPr="00CC2B30">
              <w:rPr>
                <w:sz w:val="24"/>
                <w:szCs w:val="24"/>
              </w:rPr>
              <w:t>Not applicable.</w:t>
            </w:r>
          </w:p>
        </w:tc>
        <w:tc>
          <w:tcPr>
            <w:tcW w:w="4710" w:type="dxa"/>
            <w:gridSpan w:val="2"/>
            <w:shd w:val="clear" w:color="auto" w:fill="auto"/>
          </w:tcPr>
          <w:p w:rsidR="00CE1089" w:rsidRPr="00CC2B30" w:rsidRDefault="00331AC8">
            <w:pPr>
              <w:rPr>
                <w:sz w:val="24"/>
                <w:szCs w:val="24"/>
              </w:rPr>
            </w:pPr>
            <w:r w:rsidRPr="00CC2B30">
              <w:rPr>
                <w:sz w:val="24"/>
                <w:szCs w:val="24"/>
              </w:rPr>
              <w:t>No identified adverse effects.</w:t>
            </w:r>
          </w:p>
        </w:tc>
      </w:tr>
    </w:tbl>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w:t>
      </w:r>
      <w:proofErr w:type="gramStart"/>
      <w:r w:rsidRPr="00163C4F">
        <w:rPr>
          <w:rFonts w:cs="Arial"/>
          <w:sz w:val="24"/>
          <w:szCs w:val="24"/>
          <w:lang w:eastAsia="en-GB"/>
        </w:rPr>
        <w:t>realistic</w:t>
      </w:r>
      <w:proofErr w:type="gramEnd"/>
      <w:r w:rsidRPr="00163C4F">
        <w:rPr>
          <w:rFonts w:cs="Arial"/>
          <w:sz w:val="24"/>
          <w:szCs w:val="24"/>
          <w:lang w:eastAsia="en-GB"/>
        </w:rPr>
        <w:t xml:space="preserve"> and time </w:t>
      </w:r>
      <w:r w:rsidR="002B3B5C">
        <w:rPr>
          <w:rFonts w:cs="Arial"/>
          <w:sz w:val="24"/>
          <w:szCs w:val="24"/>
          <w:lang w:eastAsia="en-GB"/>
        </w:rPr>
        <w:t>framed</w:t>
      </w:r>
      <w:r w:rsidRPr="00163C4F">
        <w:rPr>
          <w:rFonts w:cs="Arial"/>
          <w:sz w:val="24"/>
          <w:szCs w:val="24"/>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5D0E23" w:rsidRPr="005D0E23">
        <w:tc>
          <w:tcPr>
            <w:tcW w:w="3794" w:type="dxa"/>
          </w:tcPr>
          <w:p w:rsidR="006B2DF8" w:rsidRPr="00D3330F" w:rsidRDefault="00D3330F" w:rsidP="00CC2B30">
            <w:pPr>
              <w:rPr>
                <w:sz w:val="24"/>
                <w:szCs w:val="24"/>
              </w:rPr>
            </w:pPr>
            <w:r w:rsidRPr="00D3330F">
              <w:rPr>
                <w:sz w:val="24"/>
                <w:szCs w:val="24"/>
              </w:rPr>
              <w:t>Health and safety issues override equality issues.</w:t>
            </w:r>
          </w:p>
        </w:tc>
        <w:tc>
          <w:tcPr>
            <w:tcW w:w="3544" w:type="dxa"/>
          </w:tcPr>
          <w:p w:rsidR="0028243B" w:rsidRPr="005D0E23" w:rsidRDefault="00D3330F">
            <w:pPr>
              <w:rPr>
                <w:color w:val="000000" w:themeColor="text1"/>
                <w:sz w:val="24"/>
                <w:szCs w:val="24"/>
              </w:rPr>
            </w:pPr>
            <w:r w:rsidRPr="005D0E23">
              <w:rPr>
                <w:color w:val="000000" w:themeColor="text1"/>
                <w:sz w:val="24"/>
                <w:szCs w:val="24"/>
              </w:rPr>
              <w:t>Advice to be taken from ROSPA re access and emergency egress from boats and from the river itself.</w:t>
            </w:r>
          </w:p>
        </w:tc>
        <w:tc>
          <w:tcPr>
            <w:tcW w:w="3822" w:type="dxa"/>
          </w:tcPr>
          <w:p w:rsidR="0028243B" w:rsidRPr="005D0E23" w:rsidRDefault="00BB6D31">
            <w:pPr>
              <w:rPr>
                <w:color w:val="000000" w:themeColor="text1"/>
              </w:rPr>
            </w:pPr>
            <w:proofErr w:type="spellStart"/>
            <w:r w:rsidRPr="005D0E23">
              <w:rPr>
                <w:color w:val="000000" w:themeColor="text1"/>
              </w:rPr>
              <w:t>RoSPA</w:t>
            </w:r>
            <w:proofErr w:type="spellEnd"/>
            <w:r w:rsidRPr="005D0E23">
              <w:rPr>
                <w:color w:val="000000" w:themeColor="text1"/>
              </w:rPr>
              <w:t xml:space="preserve"> Brief confirmed, to include consultation with key stakeholders</w:t>
            </w:r>
          </w:p>
        </w:tc>
        <w:tc>
          <w:tcPr>
            <w:tcW w:w="1564" w:type="dxa"/>
          </w:tcPr>
          <w:p w:rsidR="006B2DF8" w:rsidRPr="005D0E23" w:rsidRDefault="00BB6D31">
            <w:pPr>
              <w:rPr>
                <w:color w:val="000000" w:themeColor="text1"/>
              </w:rPr>
            </w:pPr>
            <w:r w:rsidRPr="005D0E23">
              <w:rPr>
                <w:color w:val="000000" w:themeColor="text1"/>
              </w:rPr>
              <w:t>Lynda Deane</w:t>
            </w:r>
          </w:p>
        </w:tc>
        <w:tc>
          <w:tcPr>
            <w:tcW w:w="1450" w:type="dxa"/>
          </w:tcPr>
          <w:p w:rsidR="006B2DF8" w:rsidRPr="005D0E23" w:rsidRDefault="00BB6D31">
            <w:pPr>
              <w:rPr>
                <w:color w:val="000000" w:themeColor="text1"/>
              </w:rPr>
            </w:pPr>
            <w:r w:rsidRPr="005D0E23">
              <w:rPr>
                <w:color w:val="000000" w:themeColor="text1"/>
              </w:rPr>
              <w:t>8 Nov 2013</w:t>
            </w:r>
          </w:p>
        </w:tc>
      </w:tr>
      <w:tr w:rsidR="005D0E23" w:rsidRPr="005D0E23" w:rsidTr="00CC2B30">
        <w:trPr>
          <w:trHeight w:val="2589"/>
        </w:trPr>
        <w:tc>
          <w:tcPr>
            <w:tcW w:w="3794" w:type="dxa"/>
          </w:tcPr>
          <w:p w:rsidR="006B2DF8" w:rsidRPr="00D3330F" w:rsidRDefault="00D3330F" w:rsidP="00CC2B30">
            <w:pPr>
              <w:rPr>
                <w:sz w:val="24"/>
                <w:szCs w:val="24"/>
              </w:rPr>
            </w:pPr>
            <w:r>
              <w:rPr>
                <w:sz w:val="24"/>
                <w:szCs w:val="24"/>
              </w:rPr>
              <w:t>Desire to regulate the use of</w:t>
            </w:r>
            <w:r w:rsidR="00CC2B30">
              <w:rPr>
                <w:sz w:val="24"/>
                <w:szCs w:val="24"/>
              </w:rPr>
              <w:t xml:space="preserve"> council facilities and to deve</w:t>
            </w:r>
            <w:r>
              <w:rPr>
                <w:sz w:val="24"/>
                <w:szCs w:val="24"/>
              </w:rPr>
              <w:t xml:space="preserve">lop appropriate </w:t>
            </w:r>
            <w:r w:rsidR="00CC2B30">
              <w:rPr>
                <w:sz w:val="24"/>
                <w:szCs w:val="24"/>
              </w:rPr>
              <w:t>bye laws that are fair</w:t>
            </w:r>
            <w:proofErr w:type="gramStart"/>
            <w:r w:rsidR="00CC2B30">
              <w:rPr>
                <w:sz w:val="24"/>
                <w:szCs w:val="24"/>
              </w:rPr>
              <w:t>,  clear</w:t>
            </w:r>
            <w:proofErr w:type="gramEnd"/>
            <w:r w:rsidR="00CC2B30">
              <w:rPr>
                <w:sz w:val="24"/>
                <w:szCs w:val="24"/>
              </w:rPr>
              <w:t xml:space="preserve"> and transparent in their use and application.</w:t>
            </w:r>
          </w:p>
        </w:tc>
        <w:tc>
          <w:tcPr>
            <w:tcW w:w="3544" w:type="dxa"/>
          </w:tcPr>
          <w:p w:rsidR="00CC2B30" w:rsidRPr="005D0E23" w:rsidRDefault="00CC2B30" w:rsidP="00CC2B30">
            <w:pPr>
              <w:rPr>
                <w:color w:val="000000" w:themeColor="text1"/>
                <w:sz w:val="24"/>
                <w:szCs w:val="24"/>
              </w:rPr>
            </w:pPr>
            <w:r w:rsidRPr="005D0E23">
              <w:rPr>
                <w:color w:val="000000" w:themeColor="text1"/>
                <w:sz w:val="24"/>
                <w:szCs w:val="24"/>
              </w:rPr>
              <w:t>Considerat</w:t>
            </w:r>
            <w:r w:rsidR="00BB6D31" w:rsidRPr="005D0E23">
              <w:rPr>
                <w:color w:val="000000" w:themeColor="text1"/>
                <w:sz w:val="24"/>
                <w:szCs w:val="24"/>
              </w:rPr>
              <w:t xml:space="preserve">ion of bye laws and associated </w:t>
            </w:r>
            <w:r w:rsidRPr="005D0E23">
              <w:rPr>
                <w:color w:val="000000" w:themeColor="text1"/>
                <w:sz w:val="24"/>
                <w:szCs w:val="24"/>
              </w:rPr>
              <w:t>polices and processes to regulate moorings on this stretch of water.</w:t>
            </w:r>
          </w:p>
          <w:p w:rsidR="0028243B" w:rsidRPr="005D0E23" w:rsidRDefault="00CC2B30">
            <w:pPr>
              <w:rPr>
                <w:color w:val="000000" w:themeColor="text1"/>
                <w:sz w:val="24"/>
                <w:szCs w:val="24"/>
              </w:rPr>
            </w:pPr>
            <w:r w:rsidRPr="005D0E23">
              <w:rPr>
                <w:color w:val="000000" w:themeColor="text1"/>
                <w:sz w:val="24"/>
                <w:szCs w:val="24"/>
              </w:rPr>
              <w:t>Consideration of issuing ‘notice to leave’ papers to all vessels without authorised mooring on this stretch of water.</w:t>
            </w:r>
          </w:p>
        </w:tc>
        <w:tc>
          <w:tcPr>
            <w:tcW w:w="3822" w:type="dxa"/>
          </w:tcPr>
          <w:p w:rsidR="0028243B" w:rsidRPr="005D0E23" w:rsidRDefault="00BB6D31">
            <w:pPr>
              <w:rPr>
                <w:color w:val="000000" w:themeColor="text1"/>
              </w:rPr>
            </w:pPr>
            <w:r w:rsidRPr="005D0E23">
              <w:rPr>
                <w:color w:val="000000" w:themeColor="text1"/>
              </w:rPr>
              <w:t xml:space="preserve">Clarke </w:t>
            </w:r>
            <w:proofErr w:type="spellStart"/>
            <w:r w:rsidRPr="005D0E23">
              <w:rPr>
                <w:color w:val="000000" w:themeColor="text1"/>
              </w:rPr>
              <w:t>Willmott</w:t>
            </w:r>
            <w:proofErr w:type="spellEnd"/>
            <w:r w:rsidRPr="005D0E23">
              <w:rPr>
                <w:color w:val="000000" w:themeColor="text1"/>
              </w:rPr>
              <w:t>, Solicitors, acting on behalf of the Council are in the process of producing a Report, outlining the Council’s options in relation to becoming a Navigation Authority and legislation in relation to Bye-Laws</w:t>
            </w:r>
          </w:p>
        </w:tc>
        <w:tc>
          <w:tcPr>
            <w:tcW w:w="1564" w:type="dxa"/>
          </w:tcPr>
          <w:p w:rsidR="006B2DF8" w:rsidRPr="005D0E23" w:rsidRDefault="00BB6D31">
            <w:pPr>
              <w:rPr>
                <w:color w:val="000000" w:themeColor="text1"/>
              </w:rPr>
            </w:pPr>
            <w:r w:rsidRPr="005D0E23">
              <w:rPr>
                <w:color w:val="000000" w:themeColor="text1"/>
              </w:rPr>
              <w:t>Lynda Deane</w:t>
            </w:r>
          </w:p>
        </w:tc>
        <w:tc>
          <w:tcPr>
            <w:tcW w:w="1450" w:type="dxa"/>
          </w:tcPr>
          <w:p w:rsidR="006B2DF8" w:rsidRPr="005D0E23" w:rsidRDefault="00BB6D31">
            <w:pPr>
              <w:rPr>
                <w:color w:val="000000" w:themeColor="text1"/>
              </w:rPr>
            </w:pPr>
            <w:r w:rsidRPr="005D0E23">
              <w:rPr>
                <w:color w:val="000000" w:themeColor="text1"/>
              </w:rPr>
              <w:t>31 Oct 2013</w:t>
            </w:r>
          </w:p>
        </w:tc>
      </w:tr>
      <w:tr w:rsidR="005D0E23" w:rsidRPr="005D0E23">
        <w:tc>
          <w:tcPr>
            <w:tcW w:w="3794" w:type="dxa"/>
          </w:tcPr>
          <w:p w:rsidR="00C70B44" w:rsidRPr="00D3330F" w:rsidDel="00C70B44" w:rsidRDefault="00D3330F" w:rsidP="00D3330F">
            <w:pPr>
              <w:rPr>
                <w:sz w:val="24"/>
                <w:szCs w:val="24"/>
              </w:rPr>
            </w:pPr>
            <w:r>
              <w:rPr>
                <w:sz w:val="24"/>
                <w:szCs w:val="24"/>
              </w:rPr>
              <w:t>Survey not complete as unable to locate boat owners</w:t>
            </w:r>
          </w:p>
        </w:tc>
        <w:tc>
          <w:tcPr>
            <w:tcW w:w="3544" w:type="dxa"/>
          </w:tcPr>
          <w:p w:rsidR="00C70B44" w:rsidRPr="005D0E23" w:rsidRDefault="00D3330F" w:rsidP="00CC2B30">
            <w:pPr>
              <w:rPr>
                <w:color w:val="000000" w:themeColor="text1"/>
                <w:sz w:val="24"/>
                <w:szCs w:val="24"/>
              </w:rPr>
            </w:pPr>
            <w:r w:rsidRPr="005D0E23">
              <w:rPr>
                <w:color w:val="000000" w:themeColor="text1"/>
                <w:sz w:val="24"/>
                <w:szCs w:val="24"/>
              </w:rPr>
              <w:t>Attempt to contact apparently abandoned / derelict boat owners to determine their specific needs / requirements and feed this into the survey results</w:t>
            </w:r>
          </w:p>
        </w:tc>
        <w:tc>
          <w:tcPr>
            <w:tcW w:w="3822" w:type="dxa"/>
          </w:tcPr>
          <w:p w:rsidR="00C70B44" w:rsidRPr="005D0E23" w:rsidRDefault="00BB6D31" w:rsidP="00BB6D31">
            <w:pPr>
              <w:rPr>
                <w:color w:val="000000" w:themeColor="text1"/>
              </w:rPr>
            </w:pPr>
            <w:r w:rsidRPr="005D0E23">
              <w:rPr>
                <w:color w:val="000000" w:themeColor="text1"/>
              </w:rPr>
              <w:t>Contact to be made with Canal and River Trust to ascertain whether they can identify the owners of these boats</w:t>
            </w:r>
          </w:p>
        </w:tc>
        <w:tc>
          <w:tcPr>
            <w:tcW w:w="1564" w:type="dxa"/>
          </w:tcPr>
          <w:p w:rsidR="00C70B44" w:rsidRPr="005D0E23" w:rsidRDefault="00BB6D31">
            <w:pPr>
              <w:rPr>
                <w:color w:val="000000" w:themeColor="text1"/>
              </w:rPr>
            </w:pPr>
            <w:r w:rsidRPr="005D0E23">
              <w:rPr>
                <w:color w:val="000000" w:themeColor="text1"/>
              </w:rPr>
              <w:t xml:space="preserve">Keith </w:t>
            </w:r>
            <w:proofErr w:type="spellStart"/>
            <w:r w:rsidRPr="005D0E23">
              <w:rPr>
                <w:color w:val="000000" w:themeColor="text1"/>
              </w:rPr>
              <w:t>McCombie</w:t>
            </w:r>
            <w:proofErr w:type="spellEnd"/>
          </w:p>
        </w:tc>
        <w:tc>
          <w:tcPr>
            <w:tcW w:w="1450" w:type="dxa"/>
          </w:tcPr>
          <w:p w:rsidR="00C70B44" w:rsidRPr="005D0E23" w:rsidRDefault="00BB6D31">
            <w:pPr>
              <w:rPr>
                <w:color w:val="000000" w:themeColor="text1"/>
              </w:rPr>
            </w:pPr>
            <w:r w:rsidRPr="005D0E23">
              <w:rPr>
                <w:color w:val="000000" w:themeColor="text1"/>
              </w:rPr>
              <w:t>14 Oct 2013</w:t>
            </w:r>
          </w:p>
        </w:tc>
      </w:tr>
    </w:tbl>
    <w:p w:rsidR="006B2DF8" w:rsidRDefault="006B2DF8"/>
    <w:p w:rsidR="002B3B5C" w:rsidRDefault="002B3B5C">
      <w:pPr>
        <w:rPr>
          <w:b/>
          <w:sz w:val="32"/>
          <w:szCs w:val="32"/>
        </w:rPr>
      </w:pPr>
      <w:r w:rsidRPr="002B3B5C">
        <w:rPr>
          <w:b/>
          <w:sz w:val="32"/>
          <w:szCs w:val="32"/>
        </w:rPr>
        <w:t>5. Sign off and publishing</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00CC2B30">
        <w:rPr>
          <w:sz w:val="28"/>
          <w:szCs w:val="28"/>
        </w:rPr>
        <w:tab/>
      </w:r>
      <w:r w:rsidR="005D0E23">
        <w:rPr>
          <w:sz w:val="28"/>
          <w:szCs w:val="28"/>
        </w:rPr>
        <w:t xml:space="preserve">Louise </w:t>
      </w:r>
      <w:proofErr w:type="spellStart"/>
      <w:r w:rsidR="005D0E23">
        <w:rPr>
          <w:sz w:val="28"/>
          <w:szCs w:val="28"/>
        </w:rPr>
        <w:t>Fradd</w:t>
      </w:r>
      <w:proofErr w:type="spellEnd"/>
      <w:r w:rsidR="005D0E23">
        <w:rPr>
          <w:sz w:val="28"/>
          <w:szCs w:val="28"/>
        </w:rPr>
        <w:t xml:space="preserve"> </w:t>
      </w:r>
      <w:r w:rsidR="00CC2B30">
        <w:rPr>
          <w:sz w:val="28"/>
          <w:szCs w:val="28"/>
        </w:rPr>
        <w:tab/>
      </w:r>
      <w:r w:rsidRPr="002B3B5C">
        <w:rPr>
          <w:sz w:val="28"/>
          <w:szCs w:val="28"/>
        </w:rPr>
        <w:t>(</w:t>
      </w:r>
      <w:r w:rsidR="005D0E23">
        <w:rPr>
          <w:sz w:val="28"/>
          <w:szCs w:val="28"/>
        </w:rPr>
        <w:t xml:space="preserve">Strategic </w:t>
      </w:r>
      <w:r w:rsidRPr="002B3B5C">
        <w:rPr>
          <w:sz w:val="28"/>
          <w:szCs w:val="28"/>
        </w:rPr>
        <w:t>Director)</w:t>
      </w:r>
    </w:p>
    <w:p w:rsidR="002B3B5C" w:rsidRPr="00CC2B30" w:rsidRDefault="002B3B5C" w:rsidP="00543922">
      <w:pPr>
        <w:rPr>
          <w:sz w:val="28"/>
          <w:szCs w:val="28"/>
        </w:rPr>
      </w:pPr>
      <w:r w:rsidRPr="002B3B5C">
        <w:rPr>
          <w:b/>
          <w:sz w:val="28"/>
          <w:szCs w:val="28"/>
        </w:rPr>
        <w:t>Date:</w:t>
      </w:r>
      <w:r w:rsidR="00CC2B30">
        <w:rPr>
          <w:b/>
          <w:sz w:val="28"/>
          <w:szCs w:val="28"/>
        </w:rPr>
        <w:tab/>
      </w:r>
      <w:r w:rsidR="00CC2B30" w:rsidRPr="00CC2B30">
        <w:rPr>
          <w:sz w:val="28"/>
          <w:szCs w:val="28"/>
        </w:rPr>
        <w:tab/>
        <w:t>October 2013</w:t>
      </w:r>
    </w:p>
    <w:sectPr w:rsidR="002B3B5C" w:rsidRPr="00CC2B30"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F3" w:rsidRDefault="00810FF3">
      <w:r>
        <w:separator/>
      </w:r>
    </w:p>
    <w:p w:rsidR="00810FF3" w:rsidRDefault="00810FF3"/>
    <w:p w:rsidR="00810FF3" w:rsidRDefault="00810FF3"/>
  </w:endnote>
  <w:endnote w:type="continuationSeparator" w:id="0">
    <w:p w:rsidR="00810FF3" w:rsidRDefault="00810FF3">
      <w:r>
        <w:continuationSeparator/>
      </w:r>
    </w:p>
    <w:p w:rsidR="00810FF3" w:rsidRDefault="00810FF3"/>
    <w:p w:rsidR="00810FF3" w:rsidRDefault="0081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0F" w:rsidRDefault="00D3330F">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D0E2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D0E23">
      <w:rPr>
        <w:noProof/>
        <w:snapToGrid w:val="0"/>
      </w:rPr>
      <w:t>6</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0F" w:rsidRDefault="005D0E23">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F3" w:rsidRDefault="00810FF3">
      <w:r>
        <w:separator/>
      </w:r>
    </w:p>
    <w:p w:rsidR="00810FF3" w:rsidRDefault="00810FF3"/>
    <w:p w:rsidR="00810FF3" w:rsidRDefault="00810FF3"/>
  </w:footnote>
  <w:footnote w:type="continuationSeparator" w:id="0">
    <w:p w:rsidR="00810FF3" w:rsidRDefault="00810FF3">
      <w:r>
        <w:continuationSeparator/>
      </w:r>
    </w:p>
    <w:p w:rsidR="00810FF3" w:rsidRDefault="00810FF3"/>
    <w:p w:rsidR="00810FF3" w:rsidRDefault="00810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0F" w:rsidRPr="002E7EF8" w:rsidRDefault="00D3330F">
    <w:pPr>
      <w:pStyle w:val="Header"/>
      <w:rPr>
        <w:sz w:val="56"/>
        <w:szCs w:val="56"/>
      </w:rPr>
    </w:pPr>
    <w:r>
      <w:rPr>
        <w:sz w:val="56"/>
        <w:szCs w:val="56"/>
      </w:rPr>
      <w:t xml:space="preserve"> </w:t>
    </w:r>
    <w:r w:rsidR="005D0E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7.2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C0674A"/>
    <w:multiLevelType w:val="hybridMultilevel"/>
    <w:tmpl w:val="8A567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5"/>
  </w:num>
  <w:num w:numId="3">
    <w:abstractNumId w:val="8"/>
  </w:num>
  <w:num w:numId="4">
    <w:abstractNumId w:val="17"/>
  </w:num>
  <w:num w:numId="5">
    <w:abstractNumId w:val="20"/>
  </w:num>
  <w:num w:numId="6">
    <w:abstractNumId w:val="16"/>
  </w:num>
  <w:num w:numId="7">
    <w:abstractNumId w:val="19"/>
  </w:num>
  <w:num w:numId="8">
    <w:abstractNumId w:val="12"/>
  </w:num>
  <w:num w:numId="9">
    <w:abstractNumId w:val="3"/>
  </w:num>
  <w:num w:numId="10">
    <w:abstractNumId w:val="13"/>
  </w:num>
  <w:num w:numId="11">
    <w:abstractNumId w:val="5"/>
  </w:num>
  <w:num w:numId="12">
    <w:abstractNumId w:val="2"/>
  </w:num>
  <w:num w:numId="13">
    <w:abstractNumId w:val="11"/>
  </w:num>
  <w:num w:numId="14">
    <w:abstractNumId w:val="14"/>
  </w:num>
  <w:num w:numId="15">
    <w:abstractNumId w:val="6"/>
  </w:num>
  <w:num w:numId="16">
    <w:abstractNumId w:val="21"/>
  </w:num>
  <w:num w:numId="17">
    <w:abstractNumId w:val="9"/>
  </w:num>
  <w:num w:numId="18">
    <w:abstractNumId w:val="0"/>
  </w:num>
  <w:num w:numId="19">
    <w:abstractNumId w:val="1"/>
  </w:num>
  <w:num w:numId="20">
    <w:abstractNumId w:val="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7611"/>
    <w:rsid w:val="000722BB"/>
    <w:rsid w:val="0009484C"/>
    <w:rsid w:val="000A184F"/>
    <w:rsid w:val="000A35B3"/>
    <w:rsid w:val="000E51CA"/>
    <w:rsid w:val="000E7510"/>
    <w:rsid w:val="0010752D"/>
    <w:rsid w:val="00163C4F"/>
    <w:rsid w:val="001734E3"/>
    <w:rsid w:val="00223636"/>
    <w:rsid w:val="00230F50"/>
    <w:rsid w:val="0023292D"/>
    <w:rsid w:val="0023474C"/>
    <w:rsid w:val="00256E5A"/>
    <w:rsid w:val="00272C3A"/>
    <w:rsid w:val="0028243B"/>
    <w:rsid w:val="002A17F4"/>
    <w:rsid w:val="002B3B5C"/>
    <w:rsid w:val="002B53E5"/>
    <w:rsid w:val="002C0763"/>
    <w:rsid w:val="002C1B75"/>
    <w:rsid w:val="002C4B12"/>
    <w:rsid w:val="002D33D2"/>
    <w:rsid w:val="002E7EF8"/>
    <w:rsid w:val="00307CB7"/>
    <w:rsid w:val="00331AC8"/>
    <w:rsid w:val="00362518"/>
    <w:rsid w:val="00381E3F"/>
    <w:rsid w:val="00391EBA"/>
    <w:rsid w:val="003A0A1D"/>
    <w:rsid w:val="003D031B"/>
    <w:rsid w:val="003D5896"/>
    <w:rsid w:val="004001AB"/>
    <w:rsid w:val="0041018B"/>
    <w:rsid w:val="00431237"/>
    <w:rsid w:val="00446395"/>
    <w:rsid w:val="00467DAE"/>
    <w:rsid w:val="004860A1"/>
    <w:rsid w:val="004C318C"/>
    <w:rsid w:val="004E418F"/>
    <w:rsid w:val="004F5AC9"/>
    <w:rsid w:val="00500300"/>
    <w:rsid w:val="00532357"/>
    <w:rsid w:val="0053446A"/>
    <w:rsid w:val="005365D0"/>
    <w:rsid w:val="00543922"/>
    <w:rsid w:val="00565025"/>
    <w:rsid w:val="00573640"/>
    <w:rsid w:val="005A4AA2"/>
    <w:rsid w:val="005D0E23"/>
    <w:rsid w:val="005D7C5F"/>
    <w:rsid w:val="005E0695"/>
    <w:rsid w:val="005F46E5"/>
    <w:rsid w:val="00603419"/>
    <w:rsid w:val="00647737"/>
    <w:rsid w:val="006651F7"/>
    <w:rsid w:val="006B2DF8"/>
    <w:rsid w:val="006D0E8C"/>
    <w:rsid w:val="00713445"/>
    <w:rsid w:val="00724863"/>
    <w:rsid w:val="007370BE"/>
    <w:rsid w:val="00744837"/>
    <w:rsid w:val="00791493"/>
    <w:rsid w:val="007A2E46"/>
    <w:rsid w:val="007C694D"/>
    <w:rsid w:val="007D076A"/>
    <w:rsid w:val="007E2562"/>
    <w:rsid w:val="008075D3"/>
    <w:rsid w:val="00810FF3"/>
    <w:rsid w:val="0082170A"/>
    <w:rsid w:val="00842686"/>
    <w:rsid w:val="00844682"/>
    <w:rsid w:val="00897896"/>
    <w:rsid w:val="008B760D"/>
    <w:rsid w:val="008D13A5"/>
    <w:rsid w:val="009171DA"/>
    <w:rsid w:val="00922FEE"/>
    <w:rsid w:val="00943384"/>
    <w:rsid w:val="00946D77"/>
    <w:rsid w:val="0096291D"/>
    <w:rsid w:val="00971D1F"/>
    <w:rsid w:val="009B5A08"/>
    <w:rsid w:val="009C4D42"/>
    <w:rsid w:val="00A125C2"/>
    <w:rsid w:val="00A1549F"/>
    <w:rsid w:val="00A26DC2"/>
    <w:rsid w:val="00AA1B1B"/>
    <w:rsid w:val="00AE4C56"/>
    <w:rsid w:val="00AF1F77"/>
    <w:rsid w:val="00B51359"/>
    <w:rsid w:val="00B8565F"/>
    <w:rsid w:val="00B86FBE"/>
    <w:rsid w:val="00B94585"/>
    <w:rsid w:val="00BA5825"/>
    <w:rsid w:val="00BB6D31"/>
    <w:rsid w:val="00BC0B1B"/>
    <w:rsid w:val="00BC3E3F"/>
    <w:rsid w:val="00BD1C09"/>
    <w:rsid w:val="00C013C7"/>
    <w:rsid w:val="00C045BC"/>
    <w:rsid w:val="00C14271"/>
    <w:rsid w:val="00C163FE"/>
    <w:rsid w:val="00C42998"/>
    <w:rsid w:val="00C56843"/>
    <w:rsid w:val="00C64D7C"/>
    <w:rsid w:val="00C70B44"/>
    <w:rsid w:val="00CB3CD8"/>
    <w:rsid w:val="00CB514F"/>
    <w:rsid w:val="00CC2B30"/>
    <w:rsid w:val="00CE1089"/>
    <w:rsid w:val="00CF282A"/>
    <w:rsid w:val="00D3330F"/>
    <w:rsid w:val="00D34F21"/>
    <w:rsid w:val="00D36EE9"/>
    <w:rsid w:val="00E41F95"/>
    <w:rsid w:val="00E4699F"/>
    <w:rsid w:val="00E54AC2"/>
    <w:rsid w:val="00E62C69"/>
    <w:rsid w:val="00E65651"/>
    <w:rsid w:val="00E67B1F"/>
    <w:rsid w:val="00ED5CED"/>
    <w:rsid w:val="00EE1489"/>
    <w:rsid w:val="00EE20BF"/>
    <w:rsid w:val="00EE50F5"/>
    <w:rsid w:val="00EF61CE"/>
    <w:rsid w:val="00F43499"/>
    <w:rsid w:val="00F60057"/>
    <w:rsid w:val="00F67000"/>
    <w:rsid w:val="00F93043"/>
    <w:rsid w:val="00FB1656"/>
    <w:rsid w:val="00FB3089"/>
    <w:rsid w:val="00FB5E93"/>
    <w:rsid w:val="00FC4A1E"/>
    <w:rsid w:val="00FE5AB2"/>
    <w:rsid w:val="00FF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992">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14F5-49C3-4A69-8AEA-C391F9BEE467}">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FB1E17-1DDB-4AF1-918D-218B8E5C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B3444329.dotm</Template>
  <TotalTime>1</TotalTime>
  <Pages>6</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8908</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cp:lastModifiedBy>Louise Murphy</cp:lastModifiedBy>
  <cp:revision>2</cp:revision>
  <cp:lastPrinted>2008-09-11T08:20:00Z</cp:lastPrinted>
  <dcterms:created xsi:type="dcterms:W3CDTF">2013-12-05T13:53:00Z</dcterms:created>
  <dcterms:modified xsi:type="dcterms:W3CDTF">2013-12-05T13:53:00Z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