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B8" w:rsidRPr="00464FB8" w:rsidRDefault="00464FB8" w:rsidP="00464FB8">
      <w:pPr>
        <w:keepNext/>
        <w:pBdr>
          <w:bottom w:val="single" w:sz="4" w:space="1" w:color="FFFFFF"/>
        </w:pBdr>
        <w:spacing w:before="360" w:after="180"/>
        <w:outlineLvl w:val="0"/>
        <w:rPr>
          <w:rFonts w:ascii="Arial" w:hAnsi="Arial"/>
          <w:bCs/>
          <w:color w:val="4F81BD"/>
          <w:kern w:val="32"/>
          <w:sz w:val="32"/>
          <w:szCs w:val="32"/>
        </w:rPr>
      </w:pPr>
      <w:bookmarkStart w:id="0" w:name="_GoBack"/>
      <w:r w:rsidRPr="00464FB8">
        <w:rPr>
          <w:rFonts w:ascii="Arial" w:hAnsi="Arial"/>
          <w:bCs/>
          <w:color w:val="4F81BD"/>
          <w:kern w:val="32"/>
          <w:sz w:val="32"/>
          <w:szCs w:val="32"/>
        </w:rPr>
        <w:t xml:space="preserve">Equality Impact Assessment </w:t>
      </w:r>
    </w:p>
    <w:bookmarkEnd w:id="0"/>
    <w:p w:rsidR="00464FB8" w:rsidRPr="00464FB8" w:rsidRDefault="00464FB8" w:rsidP="00464FB8">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5495"/>
      </w:tblGrid>
      <w:tr w:rsidR="00464FB8" w:rsidRPr="00464FB8" w:rsidTr="000132CD">
        <w:tc>
          <w:tcPr>
            <w:tcW w:w="4977" w:type="dxa"/>
            <w:vAlign w:val="center"/>
          </w:tcPr>
          <w:p w:rsidR="00464FB8" w:rsidRPr="00464FB8" w:rsidRDefault="00464FB8" w:rsidP="00464FB8">
            <w:pPr>
              <w:rPr>
                <w:rFonts w:ascii="Verdana" w:hAnsi="Verdana"/>
                <w:b/>
                <w:bCs/>
              </w:rPr>
            </w:pPr>
          </w:p>
          <w:p w:rsidR="00464FB8" w:rsidRPr="00464FB8" w:rsidRDefault="00464FB8" w:rsidP="00464FB8">
            <w:pPr>
              <w:rPr>
                <w:rFonts w:ascii="Verdana" w:hAnsi="Verdana"/>
                <w:b/>
                <w:bCs/>
              </w:rPr>
            </w:pPr>
            <w:r w:rsidRPr="00464FB8">
              <w:rPr>
                <w:rFonts w:ascii="Verdana" w:hAnsi="Verdana"/>
                <w:b/>
                <w:bCs/>
              </w:rPr>
              <w:t>Name and role of officers completing the EIA</w:t>
            </w:r>
          </w:p>
          <w:p w:rsidR="00464FB8" w:rsidRPr="00464FB8" w:rsidRDefault="00464FB8" w:rsidP="00464FB8">
            <w:pPr>
              <w:rPr>
                <w:rFonts w:ascii="Verdana" w:hAnsi="Verdana"/>
                <w:b/>
                <w:bCs/>
              </w:rPr>
            </w:pPr>
          </w:p>
        </w:tc>
        <w:tc>
          <w:tcPr>
            <w:tcW w:w="5495" w:type="dxa"/>
            <w:vAlign w:val="center"/>
          </w:tcPr>
          <w:p w:rsidR="00464FB8" w:rsidRPr="00464FB8" w:rsidRDefault="00464FB8" w:rsidP="000132CD">
            <w:pPr>
              <w:rPr>
                <w:rFonts w:ascii="Verdana" w:hAnsi="Verdana"/>
              </w:rPr>
            </w:pPr>
            <w:r w:rsidRPr="00464FB8">
              <w:rPr>
                <w:rFonts w:ascii="Verdana" w:hAnsi="Verdana"/>
              </w:rPr>
              <w:t>Mike Chedzoy</w:t>
            </w:r>
          </w:p>
          <w:p w:rsidR="00F14026" w:rsidRPr="00464FB8" w:rsidRDefault="00F14026" w:rsidP="000132CD">
            <w:pPr>
              <w:rPr>
                <w:rFonts w:ascii="Verdana" w:hAnsi="Verdana"/>
              </w:rPr>
            </w:pPr>
            <w:r>
              <w:rPr>
                <w:rFonts w:ascii="Verdana" w:hAnsi="Verdana"/>
              </w:rPr>
              <w:t>Susan Hayter</w:t>
            </w:r>
          </w:p>
        </w:tc>
      </w:tr>
      <w:tr w:rsidR="00464FB8" w:rsidRPr="00464FB8" w:rsidTr="000132CD">
        <w:tc>
          <w:tcPr>
            <w:tcW w:w="4977" w:type="dxa"/>
            <w:vAlign w:val="center"/>
          </w:tcPr>
          <w:p w:rsidR="00464FB8" w:rsidRPr="00464FB8" w:rsidRDefault="00464FB8" w:rsidP="00464FB8">
            <w:pPr>
              <w:rPr>
                <w:rFonts w:ascii="Verdana" w:hAnsi="Verdana"/>
                <w:b/>
                <w:bCs/>
              </w:rPr>
            </w:pPr>
          </w:p>
          <w:p w:rsidR="00464FB8" w:rsidRPr="00464FB8" w:rsidRDefault="00464FB8" w:rsidP="00464FB8">
            <w:pPr>
              <w:rPr>
                <w:rFonts w:ascii="Verdana" w:hAnsi="Verdana"/>
                <w:b/>
                <w:bCs/>
              </w:rPr>
            </w:pPr>
            <w:r w:rsidRPr="00464FB8">
              <w:rPr>
                <w:rFonts w:ascii="Verdana" w:hAnsi="Verdana"/>
                <w:b/>
                <w:bCs/>
              </w:rPr>
              <w:t xml:space="preserve">Date of assessment </w:t>
            </w:r>
          </w:p>
          <w:p w:rsidR="00464FB8" w:rsidRPr="00464FB8" w:rsidRDefault="00464FB8" w:rsidP="00464FB8">
            <w:pPr>
              <w:rPr>
                <w:rFonts w:ascii="Verdana" w:hAnsi="Verdana"/>
                <w:b/>
                <w:bCs/>
              </w:rPr>
            </w:pPr>
          </w:p>
        </w:tc>
        <w:tc>
          <w:tcPr>
            <w:tcW w:w="5495" w:type="dxa"/>
            <w:vAlign w:val="center"/>
          </w:tcPr>
          <w:p w:rsidR="00464FB8" w:rsidRPr="00464FB8" w:rsidRDefault="00E53D0E" w:rsidP="000132CD">
            <w:pPr>
              <w:rPr>
                <w:rFonts w:ascii="Verdana" w:hAnsi="Verdana"/>
              </w:rPr>
            </w:pPr>
            <w:r>
              <w:rPr>
                <w:rFonts w:ascii="Verdana" w:hAnsi="Verdana"/>
              </w:rPr>
              <w:t>10</w:t>
            </w:r>
            <w:r w:rsidR="000132CD">
              <w:rPr>
                <w:rFonts w:ascii="Verdana" w:hAnsi="Verdana"/>
              </w:rPr>
              <w:t>/5/18</w:t>
            </w:r>
          </w:p>
        </w:tc>
      </w:tr>
    </w:tbl>
    <w:p w:rsidR="00464FB8" w:rsidRPr="002A1C34" w:rsidRDefault="00464FB8" w:rsidP="00464FB8">
      <w:pPr>
        <w:rPr>
          <w:rFonts w:ascii="Arial" w:hAnsi="Arial"/>
          <w:b/>
          <w:sz w:val="22"/>
        </w:rPr>
      </w:pPr>
    </w:p>
    <w:p w:rsidR="00B42F64" w:rsidRPr="00CD5B2D" w:rsidRDefault="00B42F64" w:rsidP="00B42F64">
      <w:pPr>
        <w:rPr>
          <w:rFonts w:ascii="Arial" w:hAnsi="Arial" w:cs="Arial"/>
          <w:sz w:val="22"/>
        </w:rPr>
      </w:pPr>
      <w:r w:rsidRPr="00CD5B2D">
        <w:rPr>
          <w:rFonts w:ascii="Arial" w:hAnsi="Arial" w:cs="Arial"/>
          <w:sz w:val="22"/>
        </w:rPr>
        <w:t>The Equality Act 2010 public sector equality duty requires public authorities to demonstrate that they have paid 'due regard' to the need to: </w:t>
      </w:r>
    </w:p>
    <w:p w:rsidR="00B42F64" w:rsidRPr="00CD5B2D" w:rsidRDefault="00B42F64" w:rsidP="00B42F64">
      <w:pPr>
        <w:rPr>
          <w:rFonts w:ascii="Arial" w:hAnsi="Arial" w:cs="Arial"/>
          <w:sz w:val="22"/>
        </w:rPr>
      </w:pPr>
    </w:p>
    <w:p w:rsidR="00B42F64" w:rsidRPr="00CD5B2D" w:rsidRDefault="00B42F64" w:rsidP="00B42F64">
      <w:pPr>
        <w:numPr>
          <w:ilvl w:val="0"/>
          <w:numId w:val="3"/>
        </w:numPr>
        <w:rPr>
          <w:rFonts w:ascii="Arial" w:hAnsi="Arial" w:cs="Arial"/>
          <w:sz w:val="22"/>
        </w:rPr>
      </w:pPr>
      <w:r w:rsidRPr="00CD5B2D">
        <w:rPr>
          <w:rFonts w:ascii="Arial" w:hAnsi="Arial" w:cs="Arial"/>
          <w:sz w:val="22"/>
        </w:rPr>
        <w:t>eliminate unlawful discrimination, harassment and victimisation</w:t>
      </w:r>
    </w:p>
    <w:p w:rsidR="00B42F64" w:rsidRPr="00CD5B2D" w:rsidRDefault="00B42F64" w:rsidP="00B42F64">
      <w:pPr>
        <w:numPr>
          <w:ilvl w:val="0"/>
          <w:numId w:val="3"/>
        </w:numPr>
        <w:rPr>
          <w:rFonts w:ascii="Arial" w:hAnsi="Arial" w:cs="Arial"/>
          <w:sz w:val="22"/>
        </w:rPr>
      </w:pPr>
      <w:r w:rsidRPr="00CD5B2D">
        <w:rPr>
          <w:rFonts w:ascii="Arial" w:hAnsi="Arial" w:cs="Arial"/>
          <w:sz w:val="22"/>
        </w:rPr>
        <w:t>advance equality of opportunity</w:t>
      </w:r>
    </w:p>
    <w:p w:rsidR="00B42F64" w:rsidRPr="00CD5B2D" w:rsidRDefault="00B42F64" w:rsidP="00B42F64">
      <w:pPr>
        <w:numPr>
          <w:ilvl w:val="0"/>
          <w:numId w:val="3"/>
        </w:numPr>
        <w:rPr>
          <w:rFonts w:ascii="Arial" w:hAnsi="Arial" w:cs="Arial"/>
          <w:sz w:val="22"/>
        </w:rPr>
      </w:pPr>
      <w:r w:rsidRPr="00CD5B2D">
        <w:rPr>
          <w:rFonts w:ascii="Arial" w:hAnsi="Arial" w:cs="Arial"/>
          <w:sz w:val="22"/>
        </w:rPr>
        <w:t>foster good relations between people</w:t>
      </w:r>
    </w:p>
    <w:p w:rsidR="004126A8" w:rsidRDefault="00A659CD" w:rsidP="00464FB8">
      <w:pPr>
        <w:rPr>
          <w:rFonts w:ascii="Arial" w:hAnsi="Arial" w:cs="Arial"/>
          <w:sz w:val="22"/>
          <w:highlight w:val="yellow"/>
        </w:rPr>
      </w:pPr>
      <w:r w:rsidRPr="009A00A8">
        <w:rPr>
          <w:rFonts w:ascii="Arial" w:hAnsi="Arial" w:cs="Arial"/>
          <w:sz w:val="22"/>
          <w:highlight w:val="yellow"/>
        </w:rPr>
        <w:t xml:space="preserve"> </w:t>
      </w: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Default="001151E8" w:rsidP="00464FB8">
      <w:pPr>
        <w:rPr>
          <w:rFonts w:ascii="Arial" w:hAnsi="Arial" w:cs="Arial"/>
          <w:sz w:val="22"/>
          <w:highlight w:val="yellow"/>
        </w:rPr>
      </w:pPr>
    </w:p>
    <w:p w:rsidR="001151E8" w:rsidRPr="009A00A8" w:rsidRDefault="001151E8" w:rsidP="00464FB8">
      <w:pPr>
        <w:rPr>
          <w:rFonts w:ascii="Arial" w:hAnsi="Arial" w:cs="Arial"/>
          <w:sz w:val="22"/>
          <w:highlight w:val="yellow"/>
        </w:rPr>
        <w:sectPr w:rsidR="001151E8" w:rsidRPr="009A00A8" w:rsidSect="00A45C67">
          <w:footerReference w:type="default" r:id="rId10"/>
          <w:headerReference w:type="first" r:id="rId11"/>
          <w:footerReference w:type="first" r:id="rId12"/>
          <w:pgSz w:w="11906" w:h="16838" w:code="9"/>
          <w:pgMar w:top="1440" w:right="748" w:bottom="1440" w:left="902" w:header="709" w:footer="709" w:gutter="0"/>
          <w:pgNumType w:start="0"/>
          <w:cols w:space="708"/>
          <w:titlePg/>
          <w:docGrid w:linePitch="360"/>
        </w:sectPr>
      </w:pPr>
    </w:p>
    <w:p w:rsidR="00122A17" w:rsidRPr="009A00A8" w:rsidRDefault="00122A17" w:rsidP="00464FB8">
      <w:pPr>
        <w:rPr>
          <w:rFonts w:ascii="Verdana" w:hAnsi="Verdana"/>
          <w:highlight w:val="yellow"/>
        </w:rPr>
      </w:pPr>
    </w:p>
    <w:p w:rsidR="00F95123" w:rsidRPr="00CD5B2D" w:rsidRDefault="00F95123" w:rsidP="007D7FA7">
      <w:pPr>
        <w:jc w:val="both"/>
        <w:rPr>
          <w:rFonts w:ascii="Arial" w:hAnsi="Arial" w:cs="Arial"/>
          <w:b/>
          <w:sz w:val="22"/>
        </w:rPr>
      </w:pPr>
      <w:r w:rsidRPr="00CD5B2D">
        <w:rPr>
          <w:rFonts w:ascii="Arial" w:hAnsi="Arial" w:cs="Arial"/>
          <w:b/>
          <w:sz w:val="22"/>
        </w:rPr>
        <w:t>Introduction</w:t>
      </w:r>
    </w:p>
    <w:p w:rsidR="00F95123" w:rsidRPr="00CD5B2D" w:rsidRDefault="00F95123" w:rsidP="007D7FA7">
      <w:pPr>
        <w:jc w:val="both"/>
        <w:rPr>
          <w:rFonts w:ascii="Arial" w:hAnsi="Arial" w:cs="Arial"/>
          <w:b/>
          <w:sz w:val="22"/>
        </w:rPr>
      </w:pPr>
    </w:p>
    <w:p w:rsidR="00693031" w:rsidRPr="00CD5B2D" w:rsidRDefault="00F95123" w:rsidP="007D7FA7">
      <w:pPr>
        <w:jc w:val="both"/>
        <w:rPr>
          <w:rFonts w:ascii="Arial" w:hAnsi="Arial" w:cs="Arial"/>
          <w:sz w:val="22"/>
        </w:rPr>
      </w:pPr>
      <w:r w:rsidRPr="00CD5B2D">
        <w:rPr>
          <w:rFonts w:ascii="Arial" w:hAnsi="Arial" w:cs="Arial"/>
          <w:sz w:val="22"/>
        </w:rPr>
        <w:t xml:space="preserve">The Foxhill Estate and Mulberry Park Local Lettings Plan has been produced in line with Bath and North East Somerset Council’s Homesearch Policy.  The Homesearch Policy </w:t>
      </w:r>
      <w:r w:rsidR="00693031" w:rsidRPr="00CD5B2D">
        <w:rPr>
          <w:rFonts w:ascii="Arial" w:hAnsi="Arial" w:cs="Arial"/>
          <w:sz w:val="22"/>
        </w:rPr>
        <w:t xml:space="preserve">covers a variety of equalities issues, including many </w:t>
      </w:r>
      <w:r w:rsidRPr="00CD5B2D">
        <w:rPr>
          <w:rFonts w:ascii="Arial" w:hAnsi="Arial" w:cs="Arial"/>
          <w:sz w:val="22"/>
        </w:rPr>
        <w:t>of the issues identified in this Equalities Impact Assessment</w:t>
      </w:r>
      <w:r w:rsidR="00693031" w:rsidRPr="00CD5B2D">
        <w:rPr>
          <w:rFonts w:ascii="Arial" w:hAnsi="Arial" w:cs="Arial"/>
          <w:sz w:val="22"/>
        </w:rPr>
        <w:t xml:space="preserve"> as well as other issues that are not specifically mentioned. The Homesearch Policy</w:t>
      </w:r>
      <w:r w:rsidR="000F40BB" w:rsidRPr="00CD5B2D">
        <w:rPr>
          <w:rFonts w:ascii="Arial" w:hAnsi="Arial" w:cs="Arial"/>
          <w:sz w:val="22"/>
        </w:rPr>
        <w:t xml:space="preserve"> </w:t>
      </w:r>
      <w:r w:rsidR="00693031" w:rsidRPr="00CD5B2D">
        <w:rPr>
          <w:rFonts w:ascii="Arial" w:hAnsi="Arial" w:cs="Arial"/>
          <w:sz w:val="22"/>
        </w:rPr>
        <w:t xml:space="preserve">can be </w:t>
      </w:r>
      <w:r w:rsidR="000F40BB" w:rsidRPr="00CD5B2D">
        <w:rPr>
          <w:rFonts w:ascii="Arial" w:hAnsi="Arial" w:cs="Arial"/>
          <w:sz w:val="22"/>
        </w:rPr>
        <w:t>viewed</w:t>
      </w:r>
      <w:r w:rsidR="00693031" w:rsidRPr="00CD5B2D">
        <w:rPr>
          <w:rFonts w:ascii="Arial" w:hAnsi="Arial" w:cs="Arial"/>
          <w:sz w:val="22"/>
        </w:rPr>
        <w:t xml:space="preserve"> at:</w:t>
      </w:r>
    </w:p>
    <w:p w:rsidR="00693031" w:rsidRPr="00CD5B2D" w:rsidRDefault="00693031" w:rsidP="007D7FA7">
      <w:pPr>
        <w:jc w:val="both"/>
        <w:rPr>
          <w:rFonts w:ascii="Arial" w:hAnsi="Arial" w:cs="Arial"/>
          <w:sz w:val="22"/>
        </w:rPr>
      </w:pPr>
    </w:p>
    <w:p w:rsidR="00F95123" w:rsidRPr="00CD5B2D" w:rsidRDefault="00EC6E3C" w:rsidP="00693031">
      <w:pPr>
        <w:jc w:val="center"/>
        <w:rPr>
          <w:rFonts w:ascii="Arial" w:hAnsi="Arial" w:cs="Arial"/>
          <w:i/>
          <w:color w:val="4F81BD" w:themeColor="accent1"/>
          <w:sz w:val="22"/>
        </w:rPr>
      </w:pPr>
      <w:hyperlink r:id="rId13" w:history="1">
        <w:r w:rsidR="00B21DD2" w:rsidRPr="00CD5B2D">
          <w:rPr>
            <w:rStyle w:val="Hyperlink"/>
            <w:rFonts w:ascii="Arial" w:hAnsi="Arial" w:cs="Arial"/>
            <w:i/>
            <w:sz w:val="22"/>
          </w:rPr>
          <w:t>http://www.bathnes.gov.uk/sites/default/files/siteimages/Housing/Strategyandperformance/homesearch_allocation_scheme_2016_v2_for_publication.pdf</w:t>
        </w:r>
      </w:hyperlink>
    </w:p>
    <w:p w:rsidR="00B21DD2" w:rsidRPr="00CD5B2D" w:rsidRDefault="00B21DD2" w:rsidP="00693031">
      <w:pPr>
        <w:jc w:val="center"/>
        <w:rPr>
          <w:rFonts w:ascii="Arial" w:hAnsi="Arial" w:cs="Arial"/>
          <w:i/>
          <w:color w:val="4F81BD" w:themeColor="accent1"/>
          <w:sz w:val="22"/>
        </w:rPr>
      </w:pPr>
    </w:p>
    <w:p w:rsidR="000F40BB" w:rsidRPr="00CD5B2D" w:rsidRDefault="000F40BB" w:rsidP="000F40BB">
      <w:pPr>
        <w:jc w:val="both"/>
        <w:rPr>
          <w:rFonts w:ascii="Arial" w:hAnsi="Arial" w:cs="Arial"/>
          <w:color w:val="4F81BD" w:themeColor="accent1"/>
          <w:sz w:val="22"/>
        </w:rPr>
      </w:pPr>
      <w:r w:rsidRPr="00CD5B2D">
        <w:rPr>
          <w:rFonts w:ascii="Arial" w:hAnsi="Arial" w:cs="Arial"/>
          <w:color w:val="4F81BD" w:themeColor="accent1"/>
          <w:sz w:val="22"/>
        </w:rPr>
        <w:t>The Homesearch Policy Equalities Impact Assessment can be viewed at:</w:t>
      </w:r>
    </w:p>
    <w:p w:rsidR="000F40BB" w:rsidRPr="00CD5B2D" w:rsidRDefault="000F40BB" w:rsidP="000F40BB">
      <w:pPr>
        <w:jc w:val="both"/>
        <w:rPr>
          <w:rFonts w:ascii="Arial" w:hAnsi="Arial" w:cs="Arial"/>
          <w:color w:val="4F81BD" w:themeColor="accent1"/>
          <w:sz w:val="22"/>
        </w:rPr>
      </w:pPr>
    </w:p>
    <w:p w:rsidR="00B21DD2" w:rsidRPr="00CD5B2D" w:rsidRDefault="00EC6E3C" w:rsidP="00693031">
      <w:pPr>
        <w:jc w:val="center"/>
        <w:rPr>
          <w:rFonts w:ascii="Arial" w:hAnsi="Arial" w:cs="Arial"/>
          <w:i/>
          <w:sz w:val="22"/>
        </w:rPr>
      </w:pPr>
      <w:hyperlink r:id="rId14" w:history="1">
        <w:r w:rsidR="000F40BB" w:rsidRPr="00CD5B2D">
          <w:rPr>
            <w:rStyle w:val="Hyperlink"/>
            <w:rFonts w:ascii="Arial" w:hAnsi="Arial" w:cs="Arial"/>
            <w:i/>
            <w:sz w:val="22"/>
          </w:rPr>
          <w:t>http://www.bathnes.gov.uk/services/your-council-and-democracy/equality-and-diversity/equality-impact-assessmentsequality-1</w:t>
        </w:r>
      </w:hyperlink>
    </w:p>
    <w:p w:rsidR="000F40BB" w:rsidRPr="00CD5B2D" w:rsidRDefault="000F40BB" w:rsidP="00693031">
      <w:pPr>
        <w:jc w:val="center"/>
        <w:rPr>
          <w:rFonts w:ascii="Arial" w:hAnsi="Arial" w:cs="Arial"/>
          <w:i/>
          <w:sz w:val="22"/>
        </w:rPr>
      </w:pPr>
    </w:p>
    <w:p w:rsidR="00F95123" w:rsidRPr="00CD5B2D" w:rsidRDefault="00F95123" w:rsidP="002A1C34">
      <w:pPr>
        <w:jc w:val="both"/>
        <w:rPr>
          <w:rFonts w:ascii="Arial" w:hAnsi="Arial"/>
          <w:b/>
          <w:sz w:val="22"/>
        </w:rPr>
      </w:pPr>
    </w:p>
    <w:p w:rsidR="007D7FA7" w:rsidRPr="00CD5B2D" w:rsidRDefault="002A0640" w:rsidP="007D7FA7">
      <w:pPr>
        <w:jc w:val="both"/>
        <w:rPr>
          <w:rFonts w:ascii="Arial" w:hAnsi="Arial"/>
          <w:b/>
          <w:sz w:val="22"/>
        </w:rPr>
      </w:pPr>
      <w:r w:rsidRPr="00CD5B2D">
        <w:rPr>
          <w:rFonts w:ascii="Arial" w:hAnsi="Arial"/>
          <w:b/>
          <w:sz w:val="22"/>
        </w:rPr>
        <w:t xml:space="preserve">Context of the </w:t>
      </w:r>
      <w:r w:rsidR="00AD4048" w:rsidRPr="00CD5B2D">
        <w:rPr>
          <w:rFonts w:ascii="Arial" w:hAnsi="Arial"/>
          <w:b/>
          <w:sz w:val="22"/>
        </w:rPr>
        <w:t xml:space="preserve">Foxhill Estate and Mulberry Park </w:t>
      </w:r>
      <w:r w:rsidRPr="00CD5B2D">
        <w:rPr>
          <w:rFonts w:ascii="Arial" w:hAnsi="Arial"/>
          <w:b/>
          <w:sz w:val="22"/>
        </w:rPr>
        <w:t>Local Lettings Plan</w:t>
      </w:r>
    </w:p>
    <w:p w:rsidR="002A0640" w:rsidRPr="00CD5B2D" w:rsidRDefault="002A0640" w:rsidP="007D7FA7">
      <w:pPr>
        <w:jc w:val="both"/>
        <w:rPr>
          <w:rFonts w:ascii="Arial" w:hAnsi="Arial"/>
          <w:b/>
          <w:sz w:val="22"/>
        </w:rPr>
      </w:pPr>
    </w:p>
    <w:p w:rsidR="002A0640" w:rsidRPr="00CD5B2D" w:rsidRDefault="002A0640" w:rsidP="007D7FA7">
      <w:pPr>
        <w:jc w:val="both"/>
        <w:rPr>
          <w:rFonts w:ascii="Arial" w:hAnsi="Arial"/>
          <w:sz w:val="22"/>
        </w:rPr>
      </w:pPr>
      <w:r w:rsidRPr="00CD5B2D">
        <w:rPr>
          <w:rFonts w:ascii="Arial" w:hAnsi="Arial"/>
          <w:sz w:val="22"/>
        </w:rPr>
        <w:t xml:space="preserve">The Foxhill Estate and Mulberry Park Local Lettings Plan has been put in place to respond to the following considerations: </w:t>
      </w:r>
    </w:p>
    <w:p w:rsidR="007D7FA7" w:rsidRPr="00CD5B2D" w:rsidRDefault="007D7FA7" w:rsidP="007D7FA7">
      <w:pPr>
        <w:jc w:val="both"/>
        <w:rPr>
          <w:rFonts w:ascii="Arial" w:hAnsi="Arial"/>
          <w:sz w:val="22"/>
        </w:rPr>
      </w:pPr>
    </w:p>
    <w:p w:rsidR="0061427F" w:rsidRPr="00CD5B2D" w:rsidRDefault="007D7FA7" w:rsidP="0061427F">
      <w:pPr>
        <w:numPr>
          <w:ilvl w:val="0"/>
          <w:numId w:val="1"/>
        </w:numPr>
        <w:jc w:val="both"/>
        <w:rPr>
          <w:rFonts w:ascii="Arial" w:hAnsi="Arial"/>
          <w:sz w:val="22"/>
        </w:rPr>
      </w:pPr>
      <w:r w:rsidRPr="00CD5B2D">
        <w:rPr>
          <w:rFonts w:ascii="Arial" w:hAnsi="Arial"/>
          <w:sz w:val="22"/>
        </w:rPr>
        <w:t>First lettings on a new development, where issues such as child density, vulnerability of applicants, and ensuring a mix of working families with economically ina</w:t>
      </w:r>
      <w:r w:rsidR="002A0640" w:rsidRPr="00CD5B2D">
        <w:rPr>
          <w:rFonts w:ascii="Arial" w:hAnsi="Arial"/>
          <w:sz w:val="22"/>
        </w:rPr>
        <w:t>ctive families may be important.</w:t>
      </w:r>
    </w:p>
    <w:p w:rsidR="0061427F" w:rsidRPr="00CD5B2D" w:rsidRDefault="0061427F" w:rsidP="0061427F">
      <w:pPr>
        <w:ind w:left="720"/>
        <w:jc w:val="both"/>
        <w:rPr>
          <w:rFonts w:ascii="Arial" w:hAnsi="Arial"/>
          <w:sz w:val="22"/>
        </w:rPr>
      </w:pPr>
    </w:p>
    <w:p w:rsidR="00AF659F" w:rsidRPr="00CD5B2D" w:rsidRDefault="00B42F64" w:rsidP="0061427F">
      <w:pPr>
        <w:numPr>
          <w:ilvl w:val="0"/>
          <w:numId w:val="1"/>
        </w:numPr>
        <w:jc w:val="both"/>
        <w:rPr>
          <w:rFonts w:ascii="Arial" w:hAnsi="Arial"/>
          <w:sz w:val="22"/>
        </w:rPr>
      </w:pPr>
      <w:r w:rsidRPr="00CD5B2D">
        <w:rPr>
          <w:rFonts w:ascii="Arial" w:hAnsi="Arial" w:cs="Arial"/>
          <w:sz w:val="22"/>
        </w:rPr>
        <w:t>Lettings, w</w:t>
      </w:r>
      <w:r w:rsidR="007D7FA7" w:rsidRPr="00CD5B2D">
        <w:rPr>
          <w:rFonts w:ascii="Arial" w:hAnsi="Arial" w:cs="Arial"/>
          <w:sz w:val="22"/>
        </w:rPr>
        <w:t>hen</w:t>
      </w:r>
      <w:r w:rsidR="007D7FA7" w:rsidRPr="00CD5B2D">
        <w:rPr>
          <w:rFonts w:ascii="Arial" w:hAnsi="Arial"/>
          <w:sz w:val="22"/>
        </w:rPr>
        <w:t xml:space="preserve"> a small geographic area has become unbalanced and steps are being taken to rectify this. </w:t>
      </w:r>
    </w:p>
    <w:p w:rsidR="00AF659F" w:rsidRPr="002A1C34" w:rsidRDefault="00AF659F" w:rsidP="00AF659F">
      <w:pPr>
        <w:pStyle w:val="ListParagraph"/>
        <w:rPr>
          <w:rFonts w:ascii="Arial" w:hAnsi="Arial"/>
          <w:sz w:val="22"/>
        </w:rPr>
      </w:pPr>
    </w:p>
    <w:p w:rsidR="00AF659F" w:rsidRPr="002A1C34" w:rsidRDefault="007D7FA7" w:rsidP="00AF659F">
      <w:pPr>
        <w:jc w:val="both"/>
        <w:rPr>
          <w:rFonts w:ascii="Arial" w:hAnsi="Arial"/>
          <w:sz w:val="22"/>
        </w:rPr>
      </w:pPr>
      <w:r w:rsidRPr="002A1C34">
        <w:rPr>
          <w:rFonts w:ascii="Arial" w:hAnsi="Arial"/>
          <w:sz w:val="22"/>
        </w:rPr>
        <w:t xml:space="preserve">These local lettings plans need a strong evidence base, and regular review, but can support for example regeneration activity by prioritising working families into an area which has an over-representation of economically inactive families, alongside support to enable local families to move into work. </w:t>
      </w:r>
    </w:p>
    <w:p w:rsidR="00AF659F" w:rsidRPr="002A1C34" w:rsidRDefault="00AF659F" w:rsidP="00AF659F">
      <w:pPr>
        <w:jc w:val="both"/>
        <w:rPr>
          <w:rFonts w:ascii="Arial" w:hAnsi="Arial"/>
          <w:sz w:val="22"/>
        </w:rPr>
      </w:pPr>
    </w:p>
    <w:p w:rsidR="007D7FA7" w:rsidRPr="002A1C34" w:rsidRDefault="007D7FA7" w:rsidP="00AF659F">
      <w:pPr>
        <w:jc w:val="both"/>
        <w:rPr>
          <w:rFonts w:ascii="Arial" w:hAnsi="Arial"/>
          <w:sz w:val="22"/>
        </w:rPr>
      </w:pPr>
      <w:r w:rsidRPr="002A1C34">
        <w:rPr>
          <w:rFonts w:ascii="Arial" w:hAnsi="Arial"/>
          <w:sz w:val="22"/>
        </w:rPr>
        <w:t xml:space="preserve">Regular review of lettings will also identify any restrictive lettings practices being applied by landlords (eg, age restrictions or no families with children) and enable the local authority to challenge these where appropriate. </w:t>
      </w:r>
    </w:p>
    <w:p w:rsidR="00E910A5" w:rsidRPr="002A1C34" w:rsidRDefault="00E910A5" w:rsidP="00AF659F">
      <w:pPr>
        <w:jc w:val="both"/>
        <w:rPr>
          <w:rFonts w:ascii="Arial" w:hAnsi="Arial"/>
          <w:sz w:val="22"/>
          <w:highlight w:val="yellow"/>
        </w:rPr>
      </w:pPr>
    </w:p>
    <w:p w:rsidR="00E910A5" w:rsidRPr="002A1C34" w:rsidRDefault="00E910A5" w:rsidP="00AF659F">
      <w:pPr>
        <w:jc w:val="both"/>
        <w:rPr>
          <w:rFonts w:ascii="Arial" w:hAnsi="Arial"/>
          <w:b/>
          <w:color w:val="FF0000"/>
          <w:sz w:val="22"/>
        </w:rPr>
      </w:pPr>
      <w:r w:rsidRPr="002A1C34">
        <w:rPr>
          <w:rFonts w:ascii="Arial" w:hAnsi="Arial"/>
          <w:sz w:val="22"/>
        </w:rPr>
        <w:t>Calculation of percentage of lets to people in employment will not include those tenants who are unable to work due to age, disability, pregnancy or maternity.</w:t>
      </w:r>
    </w:p>
    <w:p w:rsidR="00122A17" w:rsidRPr="002A1C34" w:rsidRDefault="00122A17" w:rsidP="00464FB8">
      <w:pPr>
        <w:rPr>
          <w:rFonts w:ascii="Verdana" w:hAnsi="Verdana"/>
          <w:sz w:val="22"/>
        </w:rPr>
      </w:pPr>
    </w:p>
    <w:p w:rsidR="007D7FA7" w:rsidRPr="002A1C34" w:rsidRDefault="007D7FA7" w:rsidP="00464FB8">
      <w:pPr>
        <w:rPr>
          <w:rFonts w:ascii="Verdana" w:hAnsi="Verdana"/>
          <w:sz w:val="22"/>
        </w:rPr>
      </w:pPr>
    </w:p>
    <w:p w:rsidR="00AD4048" w:rsidRPr="002A1C34" w:rsidRDefault="00AD4048" w:rsidP="00464FB8">
      <w:pPr>
        <w:rPr>
          <w:rFonts w:ascii="Verdana" w:hAnsi="Verdana"/>
          <w:sz w:val="22"/>
        </w:rPr>
        <w:sectPr w:rsidR="00AD4048" w:rsidRPr="002A1C34" w:rsidSect="004126A8">
          <w:footerReference w:type="first" r:id="rId15"/>
          <w:pgSz w:w="11906" w:h="16838" w:code="9"/>
          <w:pgMar w:top="1440" w:right="748" w:bottom="1440" w:left="902" w:header="709" w:footer="709" w:gutter="0"/>
          <w:pgNumType w:start="2"/>
          <w:cols w:space="708"/>
          <w:titlePg/>
          <w:docGrid w:linePitch="360"/>
        </w:sectPr>
      </w:pPr>
    </w:p>
    <w:p w:rsidR="00122A17" w:rsidRDefault="00122A17" w:rsidP="00464FB8">
      <w:pPr>
        <w:rPr>
          <w:rFonts w:ascii="Verdana" w:hAnsi="Verdana"/>
        </w:rPr>
      </w:pPr>
    </w:p>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807"/>
        <w:gridCol w:w="2802"/>
        <w:gridCol w:w="2813"/>
      </w:tblGrid>
      <w:tr w:rsidR="002047D5" w:rsidRPr="001151E8" w:rsidTr="002A1C34">
        <w:trPr>
          <w:tblHeader/>
        </w:trPr>
        <w:tc>
          <w:tcPr>
            <w:tcW w:w="2355" w:type="dxa"/>
            <w:shd w:val="clear" w:color="auto" w:fill="00B0F0"/>
          </w:tcPr>
          <w:p w:rsidR="002047D5" w:rsidRPr="00331C7A" w:rsidRDefault="002047D5" w:rsidP="00464FB8">
            <w:pPr>
              <w:rPr>
                <w:rFonts w:ascii="Arial" w:hAnsi="Arial"/>
                <w:b/>
                <w:color w:val="FFFFFF" w:themeColor="background1"/>
                <w:sz w:val="20"/>
                <w:szCs w:val="20"/>
              </w:rPr>
            </w:pPr>
            <w:r w:rsidRPr="00331C7A">
              <w:rPr>
                <w:rFonts w:ascii="Arial" w:hAnsi="Arial"/>
                <w:b/>
                <w:color w:val="FFFFFF" w:themeColor="background1"/>
                <w:sz w:val="20"/>
                <w:szCs w:val="20"/>
              </w:rPr>
              <w:t>Equalities Profile</w:t>
            </w:r>
          </w:p>
        </w:tc>
        <w:tc>
          <w:tcPr>
            <w:tcW w:w="2807" w:type="dxa"/>
            <w:shd w:val="clear" w:color="auto" w:fill="00B0F0"/>
          </w:tcPr>
          <w:p w:rsidR="002047D5" w:rsidRPr="00331C7A" w:rsidRDefault="002047D5" w:rsidP="00464FB8">
            <w:pPr>
              <w:rPr>
                <w:rFonts w:ascii="Arial" w:hAnsi="Arial"/>
                <w:b/>
                <w:color w:val="FFFFFF" w:themeColor="background1"/>
                <w:sz w:val="20"/>
                <w:szCs w:val="20"/>
              </w:rPr>
            </w:pPr>
            <w:r w:rsidRPr="00331C7A">
              <w:rPr>
                <w:rFonts w:ascii="Arial" w:hAnsi="Arial"/>
                <w:b/>
                <w:color w:val="FFFFFF" w:themeColor="background1"/>
                <w:sz w:val="20"/>
                <w:szCs w:val="20"/>
              </w:rPr>
              <w:t xml:space="preserve">How the LLP meets any particular needs or helps to promote equality in some way.  </w:t>
            </w:r>
          </w:p>
        </w:tc>
        <w:tc>
          <w:tcPr>
            <w:tcW w:w="2802" w:type="dxa"/>
            <w:shd w:val="clear" w:color="auto" w:fill="00B0F0"/>
          </w:tcPr>
          <w:p w:rsidR="002047D5" w:rsidRPr="00331C7A" w:rsidRDefault="002047D5" w:rsidP="00464FB8">
            <w:pPr>
              <w:rPr>
                <w:rFonts w:ascii="Arial" w:hAnsi="Arial"/>
                <w:b/>
                <w:color w:val="FFFFFF" w:themeColor="background1"/>
                <w:sz w:val="20"/>
                <w:szCs w:val="20"/>
              </w:rPr>
            </w:pPr>
            <w:r w:rsidRPr="00331C7A">
              <w:rPr>
                <w:rFonts w:ascii="Arial" w:hAnsi="Arial"/>
                <w:b/>
                <w:color w:val="FFFFFF" w:themeColor="background1"/>
                <w:sz w:val="20"/>
                <w:szCs w:val="20"/>
              </w:rPr>
              <w:t xml:space="preserve">How the LLP could have a negative or adverse impact </w:t>
            </w:r>
          </w:p>
        </w:tc>
        <w:tc>
          <w:tcPr>
            <w:tcW w:w="2813" w:type="dxa"/>
            <w:shd w:val="clear" w:color="auto" w:fill="00B0F0"/>
          </w:tcPr>
          <w:p w:rsidR="002047D5" w:rsidRPr="00331C7A" w:rsidRDefault="00BC1A3B" w:rsidP="00464FB8">
            <w:pPr>
              <w:rPr>
                <w:rFonts w:ascii="Arial" w:hAnsi="Arial"/>
                <w:b/>
                <w:color w:val="FFFFFF" w:themeColor="background1"/>
                <w:sz w:val="20"/>
                <w:szCs w:val="20"/>
              </w:rPr>
            </w:pPr>
            <w:r w:rsidRPr="00331C7A">
              <w:rPr>
                <w:rFonts w:ascii="Arial" w:hAnsi="Arial"/>
                <w:b/>
                <w:color w:val="FFFFFF" w:themeColor="background1"/>
                <w:sz w:val="20"/>
                <w:szCs w:val="20"/>
              </w:rPr>
              <w:t>Comments</w:t>
            </w:r>
          </w:p>
        </w:tc>
      </w:tr>
      <w:tr w:rsidR="007A627B" w:rsidRPr="001151E8" w:rsidTr="001151E8">
        <w:tc>
          <w:tcPr>
            <w:tcW w:w="2355" w:type="dxa"/>
          </w:tcPr>
          <w:p w:rsidR="007A627B" w:rsidRPr="00331C7A" w:rsidRDefault="007A627B" w:rsidP="00F57A04">
            <w:pPr>
              <w:rPr>
                <w:rFonts w:ascii="Arial" w:hAnsi="Arial" w:cs="Arial"/>
                <w:sz w:val="20"/>
                <w:szCs w:val="20"/>
              </w:rPr>
            </w:pPr>
            <w:r w:rsidRPr="00331C7A">
              <w:rPr>
                <w:rFonts w:ascii="Arial" w:hAnsi="Arial" w:cs="Arial"/>
                <w:b/>
                <w:sz w:val="20"/>
                <w:szCs w:val="20"/>
              </w:rPr>
              <w:t xml:space="preserve">Age  </w:t>
            </w:r>
          </w:p>
          <w:p w:rsidR="007A627B" w:rsidRPr="00331C7A" w:rsidRDefault="007A627B" w:rsidP="00F57A04">
            <w:pPr>
              <w:rPr>
                <w:rFonts w:ascii="Arial" w:hAnsi="Arial" w:cs="Arial"/>
                <w:sz w:val="20"/>
                <w:szCs w:val="20"/>
              </w:rPr>
            </w:pPr>
          </w:p>
        </w:tc>
        <w:tc>
          <w:tcPr>
            <w:tcW w:w="2807" w:type="dxa"/>
            <w:shd w:val="clear" w:color="auto" w:fill="auto"/>
          </w:tcPr>
          <w:p w:rsidR="007A627B" w:rsidRPr="00331C7A" w:rsidRDefault="007A627B" w:rsidP="00F57A04">
            <w:pPr>
              <w:rPr>
                <w:rFonts w:ascii="Arial" w:hAnsi="Arial" w:cs="Arial"/>
                <w:sz w:val="20"/>
                <w:szCs w:val="20"/>
              </w:rPr>
            </w:pPr>
            <w:r w:rsidRPr="00331C7A">
              <w:rPr>
                <w:rFonts w:ascii="Arial" w:hAnsi="Arial" w:cs="Arial"/>
                <w:sz w:val="20"/>
                <w:szCs w:val="20"/>
              </w:rPr>
              <w:t>Priority is because of housing need regardless of age. See Appendix 1 Table</w:t>
            </w:r>
            <w:r w:rsidR="00D55E62" w:rsidRPr="00331C7A">
              <w:rPr>
                <w:rFonts w:ascii="Arial" w:hAnsi="Arial" w:cs="Arial"/>
                <w:sz w:val="20"/>
                <w:szCs w:val="20"/>
              </w:rPr>
              <w:t xml:space="preserve"> A1.</w:t>
            </w:r>
            <w:r w:rsidRPr="00331C7A">
              <w:rPr>
                <w:rFonts w:ascii="Arial" w:hAnsi="Arial" w:cs="Arial"/>
                <w:sz w:val="20"/>
                <w:szCs w:val="20"/>
              </w:rPr>
              <w:t>2.</w:t>
            </w:r>
          </w:p>
          <w:p w:rsidR="007A627B" w:rsidRPr="00331C7A" w:rsidRDefault="007A627B" w:rsidP="00F57A04">
            <w:pPr>
              <w:rPr>
                <w:rFonts w:ascii="Arial" w:hAnsi="Arial" w:cs="Arial"/>
                <w:sz w:val="20"/>
                <w:szCs w:val="20"/>
              </w:rPr>
            </w:pPr>
          </w:p>
        </w:tc>
        <w:tc>
          <w:tcPr>
            <w:tcW w:w="2802" w:type="dxa"/>
            <w:shd w:val="clear" w:color="auto" w:fill="auto"/>
          </w:tcPr>
          <w:p w:rsidR="007A627B" w:rsidRPr="00331C7A" w:rsidRDefault="007A627B" w:rsidP="00F57A04">
            <w:pPr>
              <w:rPr>
                <w:rFonts w:ascii="Arial" w:hAnsi="Arial" w:cs="Arial"/>
                <w:sz w:val="20"/>
                <w:szCs w:val="20"/>
              </w:rPr>
            </w:pPr>
            <w:r w:rsidRPr="00331C7A">
              <w:rPr>
                <w:rFonts w:ascii="Arial" w:hAnsi="Arial" w:cs="Arial"/>
                <w:sz w:val="20"/>
                <w:szCs w:val="20"/>
              </w:rPr>
              <w:t>None.</w:t>
            </w:r>
          </w:p>
        </w:tc>
        <w:tc>
          <w:tcPr>
            <w:tcW w:w="2813" w:type="dxa"/>
          </w:tcPr>
          <w:p w:rsidR="007A627B" w:rsidRPr="00331C7A" w:rsidRDefault="007A627B" w:rsidP="003E1C16">
            <w:pPr>
              <w:rPr>
                <w:rFonts w:ascii="Arial" w:hAnsi="Arial" w:cs="Arial"/>
                <w:color w:val="000000"/>
                <w:sz w:val="20"/>
                <w:szCs w:val="20"/>
                <w:lang w:val="en-US"/>
              </w:rPr>
            </w:pPr>
            <w:r w:rsidRPr="00331C7A">
              <w:rPr>
                <w:rFonts w:ascii="Arial" w:hAnsi="Arial" w:cs="Arial"/>
                <w:color w:val="000000"/>
                <w:sz w:val="20"/>
                <w:szCs w:val="20"/>
                <w:lang w:val="en-US"/>
              </w:rPr>
              <w:t xml:space="preserve">Monitor future lettings to ensure that there is no under or over representation of particular age groups, </w:t>
            </w:r>
            <w:r w:rsidR="003E1C16" w:rsidRPr="00331C7A">
              <w:rPr>
                <w:rFonts w:ascii="Arial" w:hAnsi="Arial" w:cs="Arial"/>
                <w:color w:val="000000"/>
                <w:sz w:val="20"/>
                <w:szCs w:val="20"/>
                <w:lang w:val="en-US"/>
              </w:rPr>
              <w:t xml:space="preserve">e.g </w:t>
            </w:r>
            <w:r w:rsidRPr="00331C7A">
              <w:rPr>
                <w:rFonts w:ascii="Arial" w:hAnsi="Arial" w:cs="Arial"/>
                <w:color w:val="000000"/>
                <w:sz w:val="20"/>
                <w:szCs w:val="20"/>
                <w:lang w:val="en-US"/>
              </w:rPr>
              <w:t>older or younger people.</w:t>
            </w:r>
          </w:p>
        </w:tc>
      </w:tr>
      <w:tr w:rsidR="007A627B" w:rsidRPr="001151E8" w:rsidTr="001151E8">
        <w:tc>
          <w:tcPr>
            <w:tcW w:w="2355" w:type="dxa"/>
          </w:tcPr>
          <w:p w:rsidR="007A627B" w:rsidRPr="00331C7A" w:rsidRDefault="007A627B" w:rsidP="00F57A04">
            <w:pPr>
              <w:rPr>
                <w:rFonts w:ascii="Arial" w:hAnsi="Arial" w:cs="Arial"/>
                <w:sz w:val="20"/>
                <w:szCs w:val="20"/>
              </w:rPr>
            </w:pPr>
            <w:r w:rsidRPr="00331C7A">
              <w:rPr>
                <w:rFonts w:ascii="Arial" w:hAnsi="Arial" w:cs="Arial"/>
                <w:b/>
                <w:sz w:val="20"/>
                <w:szCs w:val="20"/>
              </w:rPr>
              <w:t>Disability</w:t>
            </w:r>
            <w:r w:rsidRPr="00331C7A">
              <w:rPr>
                <w:rFonts w:ascii="Arial" w:hAnsi="Arial" w:cs="Arial"/>
                <w:sz w:val="20"/>
                <w:szCs w:val="20"/>
              </w:rPr>
              <w:t xml:space="preserve"> - physical, sensory and mental impairments/mental health</w:t>
            </w:r>
          </w:p>
        </w:tc>
        <w:tc>
          <w:tcPr>
            <w:tcW w:w="2807" w:type="dxa"/>
            <w:shd w:val="clear" w:color="auto" w:fill="auto"/>
          </w:tcPr>
          <w:p w:rsidR="007A627B" w:rsidRPr="00331C7A" w:rsidRDefault="007A627B" w:rsidP="00F57A04">
            <w:pPr>
              <w:rPr>
                <w:rFonts w:ascii="Arial" w:hAnsi="Arial" w:cs="Arial"/>
                <w:sz w:val="20"/>
                <w:szCs w:val="20"/>
              </w:rPr>
            </w:pPr>
            <w:r w:rsidRPr="00331C7A">
              <w:rPr>
                <w:rFonts w:ascii="Arial" w:hAnsi="Arial" w:cs="Arial"/>
                <w:sz w:val="20"/>
                <w:szCs w:val="20"/>
              </w:rPr>
              <w:t>People who need adapted properties will be prioritised above existing tenants who do not have adapted property need.</w:t>
            </w:r>
          </w:p>
          <w:p w:rsidR="007A627B" w:rsidRPr="00331C7A" w:rsidRDefault="007A627B" w:rsidP="00F57A04">
            <w:pPr>
              <w:rPr>
                <w:rFonts w:ascii="Arial" w:hAnsi="Arial" w:cs="Arial"/>
                <w:sz w:val="20"/>
                <w:szCs w:val="20"/>
              </w:rPr>
            </w:pPr>
          </w:p>
          <w:p w:rsidR="007A627B" w:rsidRPr="00331C7A" w:rsidRDefault="007A627B" w:rsidP="00F57A04">
            <w:pPr>
              <w:rPr>
                <w:rFonts w:ascii="Arial" w:hAnsi="Arial" w:cs="Arial"/>
                <w:sz w:val="20"/>
                <w:szCs w:val="20"/>
              </w:rPr>
            </w:pPr>
          </w:p>
        </w:tc>
        <w:tc>
          <w:tcPr>
            <w:tcW w:w="2802" w:type="dxa"/>
            <w:shd w:val="clear" w:color="auto" w:fill="auto"/>
          </w:tcPr>
          <w:p w:rsidR="007A627B" w:rsidRPr="00331C7A" w:rsidRDefault="007A627B" w:rsidP="00F57A04">
            <w:pPr>
              <w:rPr>
                <w:rFonts w:ascii="Arial" w:hAnsi="Arial" w:cs="Arial"/>
                <w:sz w:val="20"/>
                <w:szCs w:val="20"/>
              </w:rPr>
            </w:pPr>
            <w:r w:rsidRPr="00331C7A">
              <w:rPr>
                <w:rFonts w:ascii="Arial" w:hAnsi="Arial" w:cs="Arial"/>
                <w:sz w:val="20"/>
                <w:szCs w:val="20"/>
              </w:rPr>
              <w:t>Residents with specific needs will take priority over other people when adapted or specialist properties are allocated.</w:t>
            </w:r>
          </w:p>
          <w:p w:rsidR="007A627B" w:rsidRPr="00331C7A" w:rsidRDefault="007A627B" w:rsidP="00F57A04">
            <w:pPr>
              <w:rPr>
                <w:rFonts w:ascii="Arial" w:hAnsi="Arial" w:cs="Arial"/>
                <w:sz w:val="20"/>
                <w:szCs w:val="20"/>
              </w:rPr>
            </w:pPr>
          </w:p>
          <w:p w:rsidR="007A627B" w:rsidRPr="00331C7A" w:rsidRDefault="007A627B" w:rsidP="00F57A04">
            <w:pPr>
              <w:rPr>
                <w:rFonts w:ascii="Arial" w:hAnsi="Arial" w:cs="Arial"/>
                <w:sz w:val="20"/>
                <w:szCs w:val="20"/>
              </w:rPr>
            </w:pPr>
            <w:r w:rsidRPr="00331C7A">
              <w:rPr>
                <w:rFonts w:ascii="Arial" w:hAnsi="Arial" w:cs="Arial"/>
                <w:sz w:val="20"/>
                <w:szCs w:val="20"/>
              </w:rPr>
              <w:t>People with high support needs may be excluded only if it is reasonable.</w:t>
            </w:r>
          </w:p>
        </w:tc>
        <w:tc>
          <w:tcPr>
            <w:tcW w:w="2813" w:type="dxa"/>
          </w:tcPr>
          <w:p w:rsidR="007A627B" w:rsidRPr="00331C7A" w:rsidRDefault="007A627B" w:rsidP="00F57A04">
            <w:pPr>
              <w:rPr>
                <w:rFonts w:ascii="Arial" w:hAnsi="Arial" w:cs="Arial"/>
                <w:sz w:val="20"/>
                <w:szCs w:val="20"/>
              </w:rPr>
            </w:pPr>
            <w:r w:rsidRPr="00331C7A">
              <w:rPr>
                <w:rFonts w:ascii="Arial" w:hAnsi="Arial" w:cs="Arial"/>
                <w:sz w:val="20"/>
                <w:szCs w:val="20"/>
              </w:rPr>
              <w:t>Impact unknown due to insufficient data.</w:t>
            </w:r>
          </w:p>
          <w:p w:rsidR="007A627B" w:rsidRPr="00331C7A" w:rsidRDefault="007A627B" w:rsidP="00F57A04">
            <w:pPr>
              <w:rPr>
                <w:rFonts w:ascii="Arial" w:hAnsi="Arial" w:cs="Arial"/>
                <w:sz w:val="20"/>
                <w:szCs w:val="20"/>
              </w:rPr>
            </w:pPr>
          </w:p>
          <w:p w:rsidR="007A627B" w:rsidRPr="00331C7A" w:rsidRDefault="007A627B" w:rsidP="00F57A04">
            <w:pPr>
              <w:rPr>
                <w:rFonts w:ascii="Arial" w:hAnsi="Arial" w:cs="Arial"/>
                <w:sz w:val="20"/>
                <w:szCs w:val="20"/>
              </w:rPr>
            </w:pPr>
            <w:r w:rsidRPr="00331C7A">
              <w:rPr>
                <w:rFonts w:ascii="Arial" w:hAnsi="Arial" w:cs="Arial"/>
                <w:sz w:val="20"/>
                <w:szCs w:val="20"/>
              </w:rPr>
              <w:t>Information can be made available in suitable accessible formats for people with visual or other reading impairments.</w:t>
            </w:r>
          </w:p>
          <w:p w:rsidR="005365F1" w:rsidRPr="00331C7A" w:rsidRDefault="005365F1" w:rsidP="00F57A04">
            <w:pPr>
              <w:rPr>
                <w:rFonts w:ascii="Arial" w:hAnsi="Arial" w:cs="Arial"/>
                <w:sz w:val="20"/>
                <w:szCs w:val="20"/>
              </w:rPr>
            </w:pPr>
          </w:p>
          <w:p w:rsidR="005365F1" w:rsidRPr="00331C7A" w:rsidRDefault="005365F1" w:rsidP="00F57A04">
            <w:pPr>
              <w:rPr>
                <w:rFonts w:ascii="Arial" w:hAnsi="Arial" w:cs="Arial"/>
                <w:sz w:val="20"/>
                <w:szCs w:val="20"/>
              </w:rPr>
            </w:pPr>
            <w:r w:rsidRPr="00331C7A">
              <w:rPr>
                <w:rFonts w:ascii="Arial" w:hAnsi="Arial" w:cs="Arial"/>
                <w:sz w:val="20"/>
                <w:szCs w:val="20"/>
              </w:rPr>
              <w:t>The Homesearch website provides a variety of accessible options.</w:t>
            </w:r>
          </w:p>
        </w:tc>
      </w:tr>
      <w:tr w:rsidR="007A627B" w:rsidRPr="001151E8" w:rsidTr="001151E8">
        <w:tc>
          <w:tcPr>
            <w:tcW w:w="2355" w:type="dxa"/>
          </w:tcPr>
          <w:p w:rsidR="007A627B" w:rsidRPr="00331C7A" w:rsidRDefault="007A627B" w:rsidP="00F57A04">
            <w:pPr>
              <w:rPr>
                <w:rFonts w:ascii="Arial" w:hAnsi="Arial" w:cs="Arial"/>
                <w:b/>
                <w:sz w:val="20"/>
                <w:szCs w:val="20"/>
              </w:rPr>
            </w:pPr>
            <w:r w:rsidRPr="00331C7A">
              <w:rPr>
                <w:rFonts w:ascii="Arial" w:hAnsi="Arial" w:cs="Arial"/>
                <w:b/>
                <w:sz w:val="20"/>
                <w:szCs w:val="20"/>
              </w:rPr>
              <w:t>Economic Inclusion</w:t>
            </w:r>
          </w:p>
        </w:tc>
        <w:tc>
          <w:tcPr>
            <w:tcW w:w="2807" w:type="dxa"/>
            <w:shd w:val="clear" w:color="auto" w:fill="auto"/>
          </w:tcPr>
          <w:p w:rsidR="007A627B" w:rsidRPr="00331C7A" w:rsidRDefault="007A627B" w:rsidP="00F57A04">
            <w:pPr>
              <w:rPr>
                <w:rFonts w:ascii="Arial" w:hAnsi="Arial" w:cs="Arial"/>
                <w:sz w:val="20"/>
                <w:szCs w:val="20"/>
              </w:rPr>
            </w:pPr>
            <w:r w:rsidRPr="00331C7A">
              <w:rPr>
                <w:rFonts w:ascii="Arial" w:hAnsi="Arial" w:cs="Arial"/>
                <w:sz w:val="20"/>
                <w:szCs w:val="20"/>
              </w:rPr>
              <w:t>The LLP is promoting a closer balance of people employed/unable to work, that reflects the wider BANES community.</w:t>
            </w:r>
          </w:p>
        </w:tc>
        <w:tc>
          <w:tcPr>
            <w:tcW w:w="2802" w:type="dxa"/>
            <w:shd w:val="clear" w:color="auto" w:fill="auto"/>
          </w:tcPr>
          <w:p w:rsidR="007A627B" w:rsidRPr="00331C7A" w:rsidRDefault="007A627B" w:rsidP="00F57A04">
            <w:pPr>
              <w:rPr>
                <w:rFonts w:ascii="Arial" w:hAnsi="Arial" w:cs="Arial"/>
                <w:sz w:val="20"/>
                <w:szCs w:val="20"/>
              </w:rPr>
            </w:pPr>
            <w:r w:rsidRPr="00331C7A">
              <w:rPr>
                <w:rFonts w:ascii="Arial" w:hAnsi="Arial" w:cs="Arial"/>
                <w:sz w:val="20"/>
                <w:szCs w:val="20"/>
              </w:rPr>
              <w:t>Some applicants may be overlooked for properties.</w:t>
            </w:r>
          </w:p>
        </w:tc>
        <w:tc>
          <w:tcPr>
            <w:tcW w:w="2813" w:type="dxa"/>
          </w:tcPr>
          <w:p w:rsidR="007A627B" w:rsidRPr="00331C7A" w:rsidRDefault="007A627B" w:rsidP="00F57A04">
            <w:pPr>
              <w:rPr>
                <w:rFonts w:ascii="Arial" w:hAnsi="Arial" w:cs="Arial"/>
                <w:color w:val="000000"/>
                <w:sz w:val="20"/>
                <w:szCs w:val="20"/>
                <w:lang w:val="en-US"/>
              </w:rPr>
            </w:pPr>
            <w:r w:rsidRPr="00331C7A">
              <w:rPr>
                <w:rFonts w:ascii="Arial" w:hAnsi="Arial" w:cs="Arial"/>
                <w:color w:val="000000"/>
                <w:sz w:val="20"/>
                <w:szCs w:val="20"/>
                <w:lang w:val="en-US"/>
              </w:rPr>
              <w:t>BANES and Curo will be monitoring this on a 6 monthly basis to review progress against the LLP.</w:t>
            </w:r>
          </w:p>
          <w:p w:rsidR="00331C7A" w:rsidRPr="00331C7A" w:rsidRDefault="00331C7A" w:rsidP="00F57A04">
            <w:pPr>
              <w:rPr>
                <w:rFonts w:ascii="Arial" w:hAnsi="Arial" w:cs="Arial"/>
                <w:color w:val="000000"/>
                <w:sz w:val="20"/>
                <w:szCs w:val="20"/>
                <w:lang w:val="en-US"/>
              </w:rPr>
            </w:pPr>
          </w:p>
          <w:p w:rsidR="00331C7A" w:rsidRPr="00331C7A" w:rsidRDefault="00331C7A" w:rsidP="00331C7A">
            <w:pPr>
              <w:rPr>
                <w:rFonts w:ascii="Arial" w:hAnsi="Arial" w:cs="Arial"/>
                <w:color w:val="000000"/>
                <w:sz w:val="20"/>
                <w:szCs w:val="20"/>
                <w:lang w:val="en-US"/>
              </w:rPr>
            </w:pPr>
            <w:r w:rsidRPr="00331C7A">
              <w:rPr>
                <w:rFonts w:ascii="Arial" w:hAnsi="Arial" w:cs="Arial"/>
                <w:color w:val="000000"/>
                <w:sz w:val="20"/>
                <w:szCs w:val="20"/>
              </w:rPr>
              <w:t>50% of allocations will have no restrictions at all – so unemployed people will still be offered housing without any restrictions.</w:t>
            </w:r>
          </w:p>
        </w:tc>
      </w:tr>
      <w:tr w:rsidR="007A627B" w:rsidRPr="001151E8" w:rsidTr="002A1C34">
        <w:tc>
          <w:tcPr>
            <w:tcW w:w="2355" w:type="dxa"/>
          </w:tcPr>
          <w:p w:rsidR="007A627B" w:rsidRPr="00331C7A" w:rsidRDefault="007A627B" w:rsidP="00464FB8">
            <w:pPr>
              <w:rPr>
                <w:rFonts w:ascii="Arial" w:hAnsi="Arial"/>
                <w:b/>
                <w:sz w:val="20"/>
                <w:szCs w:val="20"/>
              </w:rPr>
            </w:pPr>
            <w:r w:rsidRPr="00331C7A">
              <w:rPr>
                <w:rFonts w:ascii="Arial" w:hAnsi="Arial"/>
                <w:b/>
                <w:sz w:val="20"/>
                <w:szCs w:val="20"/>
              </w:rPr>
              <w:t>Gender</w:t>
            </w:r>
          </w:p>
        </w:tc>
        <w:tc>
          <w:tcPr>
            <w:tcW w:w="2807" w:type="dxa"/>
            <w:shd w:val="clear" w:color="auto" w:fill="auto"/>
          </w:tcPr>
          <w:p w:rsidR="007A627B" w:rsidRPr="00331C7A" w:rsidRDefault="007A627B" w:rsidP="00464FB8">
            <w:pPr>
              <w:rPr>
                <w:rFonts w:ascii="Arial" w:hAnsi="Arial"/>
                <w:sz w:val="20"/>
                <w:szCs w:val="20"/>
              </w:rPr>
            </w:pPr>
            <w:r w:rsidRPr="00331C7A">
              <w:rPr>
                <w:rFonts w:ascii="Arial" w:hAnsi="Arial"/>
                <w:sz w:val="20"/>
                <w:szCs w:val="20"/>
              </w:rPr>
              <w:t>Allocations will be made based on housing need and all genders will be treated equally.</w:t>
            </w:r>
          </w:p>
          <w:p w:rsidR="007A627B" w:rsidRPr="00331C7A" w:rsidRDefault="007A627B" w:rsidP="00464FB8">
            <w:pPr>
              <w:rPr>
                <w:rFonts w:ascii="Arial" w:hAnsi="Arial"/>
                <w:sz w:val="20"/>
                <w:szCs w:val="20"/>
              </w:rPr>
            </w:pPr>
          </w:p>
          <w:p w:rsidR="007A627B" w:rsidRPr="00331C7A" w:rsidRDefault="007A627B" w:rsidP="00464FB8">
            <w:pPr>
              <w:rPr>
                <w:rFonts w:ascii="Arial" w:hAnsi="Arial"/>
                <w:sz w:val="20"/>
                <w:szCs w:val="20"/>
              </w:rPr>
            </w:pPr>
            <w:r w:rsidRPr="00331C7A">
              <w:rPr>
                <w:rFonts w:ascii="Arial" w:hAnsi="Arial"/>
                <w:sz w:val="20"/>
                <w:szCs w:val="20"/>
              </w:rPr>
              <w:t xml:space="preserve">See Appendix 1 Table </w:t>
            </w:r>
            <w:r w:rsidR="00D55E62" w:rsidRPr="00331C7A">
              <w:rPr>
                <w:rFonts w:ascii="Arial" w:hAnsi="Arial"/>
                <w:sz w:val="20"/>
                <w:szCs w:val="20"/>
              </w:rPr>
              <w:t>A1.</w:t>
            </w:r>
            <w:r w:rsidRPr="00331C7A">
              <w:rPr>
                <w:rFonts w:ascii="Arial" w:hAnsi="Arial"/>
                <w:sz w:val="20"/>
                <w:szCs w:val="20"/>
              </w:rPr>
              <w:t>3.</w:t>
            </w:r>
          </w:p>
        </w:tc>
        <w:tc>
          <w:tcPr>
            <w:tcW w:w="2802" w:type="dxa"/>
            <w:shd w:val="clear" w:color="auto" w:fill="auto"/>
          </w:tcPr>
          <w:p w:rsidR="007A627B" w:rsidRPr="00331C7A" w:rsidRDefault="007A627B" w:rsidP="00257AB3">
            <w:pPr>
              <w:rPr>
                <w:rFonts w:ascii="Arial" w:hAnsi="Arial"/>
                <w:sz w:val="20"/>
                <w:szCs w:val="20"/>
              </w:rPr>
            </w:pPr>
            <w:r w:rsidRPr="00331C7A">
              <w:rPr>
                <w:rFonts w:ascii="Arial" w:hAnsi="Arial"/>
                <w:sz w:val="20"/>
                <w:szCs w:val="20"/>
              </w:rPr>
              <w:t>A higher number of properties may be allocated to Female tenants, based on current trends across BANES, where 66% of tenants are female against 34% male. (Appendix 1 Table</w:t>
            </w:r>
            <w:r w:rsidR="00D55E62" w:rsidRPr="00331C7A">
              <w:rPr>
                <w:rFonts w:ascii="Arial" w:hAnsi="Arial"/>
                <w:sz w:val="20"/>
                <w:szCs w:val="20"/>
              </w:rPr>
              <w:t>A1.</w:t>
            </w:r>
            <w:r w:rsidRPr="00331C7A">
              <w:rPr>
                <w:rFonts w:ascii="Arial" w:hAnsi="Arial"/>
                <w:sz w:val="20"/>
                <w:szCs w:val="20"/>
              </w:rPr>
              <w:t xml:space="preserve"> 3)</w:t>
            </w:r>
          </w:p>
        </w:tc>
        <w:tc>
          <w:tcPr>
            <w:tcW w:w="2813" w:type="dxa"/>
          </w:tcPr>
          <w:p w:rsidR="007A627B" w:rsidRPr="00331C7A" w:rsidRDefault="007A627B" w:rsidP="00464FB8">
            <w:pPr>
              <w:rPr>
                <w:rFonts w:ascii="Arial" w:hAnsi="Arial"/>
                <w:sz w:val="20"/>
                <w:szCs w:val="20"/>
              </w:rPr>
            </w:pPr>
            <w:r w:rsidRPr="00331C7A">
              <w:rPr>
                <w:rFonts w:ascii="Arial" w:hAnsi="Arial"/>
                <w:sz w:val="20"/>
                <w:szCs w:val="20"/>
              </w:rPr>
              <w:t xml:space="preserve">Priority for housing is often awarded to households with </w:t>
            </w:r>
            <w:r w:rsidR="002E1860" w:rsidRPr="00331C7A">
              <w:rPr>
                <w:rFonts w:ascii="Arial" w:hAnsi="Arial"/>
                <w:sz w:val="20"/>
                <w:szCs w:val="20"/>
              </w:rPr>
              <w:t>children;</w:t>
            </w:r>
            <w:r w:rsidRPr="00331C7A">
              <w:rPr>
                <w:rFonts w:ascii="Arial" w:hAnsi="Arial"/>
                <w:sz w:val="20"/>
                <w:szCs w:val="20"/>
              </w:rPr>
              <w:t xml:space="preserve"> these are disproportionately headed by females.</w:t>
            </w:r>
          </w:p>
        </w:tc>
      </w:tr>
      <w:tr w:rsidR="007A627B" w:rsidRPr="001151E8" w:rsidTr="002A1C34">
        <w:tc>
          <w:tcPr>
            <w:tcW w:w="2355" w:type="dxa"/>
          </w:tcPr>
          <w:p w:rsidR="007A627B" w:rsidRPr="00331C7A" w:rsidRDefault="007A627B" w:rsidP="00744683">
            <w:pPr>
              <w:rPr>
                <w:rFonts w:ascii="Arial" w:hAnsi="Arial"/>
                <w:b/>
                <w:sz w:val="20"/>
                <w:szCs w:val="20"/>
              </w:rPr>
            </w:pPr>
            <w:r w:rsidRPr="00331C7A">
              <w:rPr>
                <w:rFonts w:ascii="Arial" w:hAnsi="Arial" w:cs="Arial"/>
                <w:b/>
                <w:sz w:val="20"/>
                <w:szCs w:val="20"/>
              </w:rPr>
              <w:t xml:space="preserve">Gender </w:t>
            </w:r>
            <w:r w:rsidR="002E1860" w:rsidRPr="00331C7A">
              <w:rPr>
                <w:rFonts w:ascii="Arial" w:hAnsi="Arial" w:cs="Arial"/>
                <w:b/>
                <w:sz w:val="20"/>
                <w:szCs w:val="20"/>
              </w:rPr>
              <w:t>Reassignment</w:t>
            </w:r>
          </w:p>
        </w:tc>
        <w:tc>
          <w:tcPr>
            <w:tcW w:w="2807" w:type="dxa"/>
            <w:shd w:val="clear" w:color="auto" w:fill="auto"/>
          </w:tcPr>
          <w:p w:rsidR="007A627B" w:rsidRPr="00331C7A" w:rsidRDefault="007A627B" w:rsidP="003E1C16">
            <w:pPr>
              <w:rPr>
                <w:rFonts w:ascii="Arial" w:hAnsi="Arial"/>
                <w:sz w:val="20"/>
                <w:szCs w:val="20"/>
              </w:rPr>
            </w:pPr>
            <w:r w:rsidRPr="00331C7A">
              <w:rPr>
                <w:rFonts w:ascii="Arial" w:hAnsi="Arial" w:cs="Arial"/>
                <w:sz w:val="20"/>
                <w:szCs w:val="20"/>
              </w:rPr>
              <w:t xml:space="preserve">We do not have data on the gender identity of those covered by the LLP and therefore cannot measure the impact, but we do not envisage an impact on this protected characteristic. </w:t>
            </w:r>
          </w:p>
        </w:tc>
        <w:tc>
          <w:tcPr>
            <w:tcW w:w="2802" w:type="dxa"/>
            <w:shd w:val="clear" w:color="auto" w:fill="auto"/>
          </w:tcPr>
          <w:p w:rsidR="007A627B" w:rsidRPr="00331C7A" w:rsidRDefault="007A627B" w:rsidP="00553328">
            <w:pPr>
              <w:rPr>
                <w:rFonts w:ascii="Arial" w:hAnsi="Arial" w:cs="Arial"/>
                <w:sz w:val="20"/>
                <w:szCs w:val="20"/>
              </w:rPr>
            </w:pPr>
            <w:r w:rsidRPr="00331C7A">
              <w:rPr>
                <w:rFonts w:ascii="Arial" w:hAnsi="Arial" w:cs="Arial"/>
                <w:sz w:val="20"/>
                <w:szCs w:val="20"/>
              </w:rPr>
              <w:t>A person who is transgender could become unable to work due to transition as a result of psychological considerations or medical complications.</w:t>
            </w:r>
          </w:p>
          <w:p w:rsidR="00331C7A" w:rsidRPr="00331C7A" w:rsidRDefault="00331C7A" w:rsidP="00553328">
            <w:pPr>
              <w:rPr>
                <w:rFonts w:ascii="Arial" w:hAnsi="Arial" w:cs="Arial"/>
                <w:sz w:val="20"/>
                <w:szCs w:val="20"/>
              </w:rPr>
            </w:pPr>
          </w:p>
          <w:p w:rsidR="004126A8" w:rsidRPr="00331C7A" w:rsidRDefault="00331C7A" w:rsidP="00331C7A">
            <w:pPr>
              <w:rPr>
                <w:rFonts w:ascii="Arial" w:hAnsi="Arial"/>
                <w:sz w:val="20"/>
                <w:szCs w:val="20"/>
              </w:rPr>
            </w:pPr>
            <w:r w:rsidRPr="00331C7A">
              <w:rPr>
                <w:rFonts w:ascii="Arial" w:hAnsi="Arial" w:cs="Arial"/>
                <w:sz w:val="20"/>
                <w:szCs w:val="20"/>
              </w:rPr>
              <w:t xml:space="preserve">Trans people may not be working because they have experienced discriminatory attitudes when trying to find a job.  </w:t>
            </w:r>
          </w:p>
        </w:tc>
        <w:tc>
          <w:tcPr>
            <w:tcW w:w="2813" w:type="dxa"/>
          </w:tcPr>
          <w:p w:rsidR="007A627B" w:rsidRPr="00331C7A" w:rsidRDefault="007A627B" w:rsidP="003E1C16">
            <w:pPr>
              <w:rPr>
                <w:rFonts w:ascii="Arial" w:hAnsi="Arial" w:cs="Arial"/>
                <w:sz w:val="20"/>
                <w:szCs w:val="20"/>
              </w:rPr>
            </w:pPr>
            <w:r w:rsidRPr="00331C7A">
              <w:rPr>
                <w:rFonts w:ascii="Arial" w:hAnsi="Arial" w:cs="Arial"/>
                <w:sz w:val="20"/>
                <w:szCs w:val="20"/>
              </w:rPr>
              <w:t>Within Homesearch, any discrimination, bullying or harassment based upon gender identity should be combatted.</w:t>
            </w:r>
          </w:p>
          <w:p w:rsidR="001151E8" w:rsidRPr="00331C7A" w:rsidRDefault="001151E8" w:rsidP="003E1C16">
            <w:pPr>
              <w:rPr>
                <w:rFonts w:ascii="Arial" w:hAnsi="Arial" w:cs="Arial"/>
                <w:sz w:val="20"/>
                <w:szCs w:val="20"/>
              </w:rPr>
            </w:pPr>
          </w:p>
          <w:p w:rsidR="001151E8" w:rsidRPr="00331C7A" w:rsidRDefault="001151E8" w:rsidP="003E1C16">
            <w:pPr>
              <w:rPr>
                <w:rFonts w:ascii="Arial" w:hAnsi="Arial" w:cs="Arial"/>
                <w:sz w:val="20"/>
                <w:szCs w:val="20"/>
              </w:rPr>
            </w:pPr>
          </w:p>
          <w:p w:rsidR="001151E8" w:rsidRPr="00331C7A" w:rsidRDefault="001151E8" w:rsidP="003E1C16">
            <w:pPr>
              <w:rPr>
                <w:rFonts w:ascii="Arial" w:hAnsi="Arial" w:cs="Arial"/>
                <w:sz w:val="20"/>
                <w:szCs w:val="20"/>
              </w:rPr>
            </w:pPr>
          </w:p>
          <w:p w:rsidR="001151E8" w:rsidRPr="00331C7A" w:rsidRDefault="001151E8" w:rsidP="003E1C16">
            <w:pPr>
              <w:rPr>
                <w:rFonts w:ascii="Arial" w:hAnsi="Arial"/>
                <w:sz w:val="20"/>
                <w:szCs w:val="20"/>
              </w:rPr>
            </w:pPr>
          </w:p>
        </w:tc>
      </w:tr>
      <w:tr w:rsidR="007A627B" w:rsidRPr="001151E8" w:rsidTr="002A1C34">
        <w:tc>
          <w:tcPr>
            <w:tcW w:w="2355" w:type="dxa"/>
          </w:tcPr>
          <w:p w:rsidR="007A627B" w:rsidRPr="00331C7A" w:rsidRDefault="007A627B" w:rsidP="00F57A04">
            <w:pPr>
              <w:rPr>
                <w:rFonts w:ascii="Arial" w:hAnsi="Arial"/>
                <w:sz w:val="20"/>
                <w:szCs w:val="20"/>
              </w:rPr>
            </w:pPr>
            <w:r w:rsidRPr="00331C7A">
              <w:rPr>
                <w:rFonts w:ascii="Arial" w:hAnsi="Arial"/>
                <w:b/>
                <w:sz w:val="20"/>
                <w:szCs w:val="20"/>
              </w:rPr>
              <w:t xml:space="preserve">Marriage and civil partnership </w:t>
            </w:r>
          </w:p>
        </w:tc>
        <w:tc>
          <w:tcPr>
            <w:tcW w:w="2807" w:type="dxa"/>
            <w:shd w:val="clear" w:color="auto" w:fill="auto"/>
          </w:tcPr>
          <w:p w:rsidR="007A627B" w:rsidRPr="00331C7A" w:rsidRDefault="007A627B" w:rsidP="00F57A04">
            <w:pPr>
              <w:rPr>
                <w:rFonts w:ascii="Arial" w:hAnsi="Arial"/>
                <w:sz w:val="20"/>
                <w:szCs w:val="20"/>
              </w:rPr>
            </w:pPr>
            <w:r w:rsidRPr="00331C7A">
              <w:rPr>
                <w:rFonts w:ascii="Arial" w:hAnsi="Arial"/>
                <w:sz w:val="20"/>
                <w:szCs w:val="20"/>
              </w:rPr>
              <w:t>Couples in civil partnerships will be treated the same as married couples and cohabitees in relationships.</w:t>
            </w:r>
          </w:p>
        </w:tc>
        <w:tc>
          <w:tcPr>
            <w:tcW w:w="2802" w:type="dxa"/>
            <w:shd w:val="clear" w:color="auto" w:fill="auto"/>
          </w:tcPr>
          <w:p w:rsidR="007A627B" w:rsidRPr="00331C7A" w:rsidRDefault="007A627B" w:rsidP="00F57A04">
            <w:pPr>
              <w:rPr>
                <w:rFonts w:ascii="Arial" w:hAnsi="Arial"/>
                <w:sz w:val="20"/>
                <w:szCs w:val="20"/>
              </w:rPr>
            </w:pPr>
            <w:r w:rsidRPr="00331C7A">
              <w:rPr>
                <w:rFonts w:ascii="Arial" w:hAnsi="Arial"/>
                <w:sz w:val="20"/>
                <w:szCs w:val="20"/>
              </w:rPr>
              <w:t>None</w:t>
            </w:r>
          </w:p>
        </w:tc>
        <w:tc>
          <w:tcPr>
            <w:tcW w:w="2813" w:type="dxa"/>
          </w:tcPr>
          <w:p w:rsidR="007A627B" w:rsidRDefault="007A627B" w:rsidP="00F57A04">
            <w:pPr>
              <w:rPr>
                <w:rFonts w:ascii="Arial" w:hAnsi="Arial"/>
                <w:sz w:val="20"/>
                <w:szCs w:val="20"/>
              </w:rPr>
            </w:pPr>
            <w:r w:rsidRPr="00331C7A">
              <w:rPr>
                <w:rFonts w:ascii="Arial" w:hAnsi="Arial"/>
                <w:sz w:val="20"/>
                <w:szCs w:val="20"/>
              </w:rPr>
              <w:t>Impact unknown due to insufficient data.</w:t>
            </w:r>
          </w:p>
          <w:p w:rsidR="00EF36A0" w:rsidRDefault="00EF36A0" w:rsidP="00F57A04">
            <w:pPr>
              <w:rPr>
                <w:rFonts w:ascii="Arial" w:hAnsi="Arial"/>
                <w:sz w:val="20"/>
                <w:szCs w:val="20"/>
              </w:rPr>
            </w:pPr>
          </w:p>
          <w:p w:rsidR="00EF36A0" w:rsidRDefault="00EF36A0" w:rsidP="00F57A04">
            <w:pPr>
              <w:rPr>
                <w:rFonts w:ascii="Arial" w:hAnsi="Arial"/>
                <w:sz w:val="20"/>
                <w:szCs w:val="20"/>
              </w:rPr>
            </w:pPr>
          </w:p>
          <w:p w:rsidR="00EF36A0" w:rsidRPr="00331C7A" w:rsidRDefault="00EF36A0" w:rsidP="00F57A04">
            <w:pPr>
              <w:rPr>
                <w:rFonts w:ascii="Arial" w:hAnsi="Arial"/>
                <w:sz w:val="20"/>
                <w:szCs w:val="20"/>
              </w:rPr>
            </w:pPr>
          </w:p>
        </w:tc>
      </w:tr>
      <w:tr w:rsidR="007A627B" w:rsidRPr="001151E8" w:rsidTr="001151E8">
        <w:tc>
          <w:tcPr>
            <w:tcW w:w="2355" w:type="dxa"/>
          </w:tcPr>
          <w:p w:rsidR="007A627B" w:rsidRPr="00331C7A" w:rsidRDefault="007A627B" w:rsidP="00F57A04">
            <w:pPr>
              <w:rPr>
                <w:rFonts w:ascii="Arial" w:hAnsi="Arial" w:cs="Arial"/>
                <w:b/>
                <w:sz w:val="20"/>
                <w:szCs w:val="20"/>
              </w:rPr>
            </w:pPr>
            <w:r w:rsidRPr="00331C7A">
              <w:rPr>
                <w:rFonts w:ascii="Arial" w:hAnsi="Arial" w:cs="Arial"/>
                <w:b/>
                <w:sz w:val="20"/>
                <w:szCs w:val="20"/>
              </w:rPr>
              <w:t xml:space="preserve">Pregnancy and maternity </w:t>
            </w:r>
          </w:p>
          <w:p w:rsidR="007A627B" w:rsidRPr="00331C7A" w:rsidRDefault="007A627B" w:rsidP="00F57A04">
            <w:pPr>
              <w:rPr>
                <w:rFonts w:ascii="Arial" w:hAnsi="Arial" w:cs="Arial"/>
                <w:b/>
                <w:sz w:val="20"/>
                <w:szCs w:val="20"/>
              </w:rPr>
            </w:pPr>
          </w:p>
        </w:tc>
        <w:tc>
          <w:tcPr>
            <w:tcW w:w="2807" w:type="dxa"/>
            <w:shd w:val="clear" w:color="auto" w:fill="auto"/>
          </w:tcPr>
          <w:p w:rsidR="007A627B" w:rsidRPr="00331C7A" w:rsidRDefault="007A627B" w:rsidP="00F57A04">
            <w:pPr>
              <w:rPr>
                <w:rFonts w:ascii="Arial" w:hAnsi="Arial" w:cs="Arial"/>
                <w:sz w:val="20"/>
                <w:szCs w:val="20"/>
              </w:rPr>
            </w:pPr>
            <w:r w:rsidRPr="00331C7A">
              <w:rPr>
                <w:rFonts w:ascii="Arial" w:hAnsi="Arial" w:cs="Arial"/>
                <w:sz w:val="20"/>
                <w:szCs w:val="20"/>
              </w:rPr>
              <w:t xml:space="preserve">The LLP will consider predicted housing need. </w:t>
            </w:r>
          </w:p>
        </w:tc>
        <w:tc>
          <w:tcPr>
            <w:tcW w:w="2802" w:type="dxa"/>
            <w:shd w:val="clear" w:color="auto" w:fill="auto"/>
          </w:tcPr>
          <w:p w:rsidR="007A627B" w:rsidRPr="00331C7A" w:rsidRDefault="007A627B" w:rsidP="00F57A04">
            <w:pPr>
              <w:rPr>
                <w:rFonts w:ascii="Arial" w:hAnsi="Arial" w:cs="Arial"/>
                <w:sz w:val="20"/>
                <w:szCs w:val="20"/>
              </w:rPr>
            </w:pPr>
            <w:r w:rsidRPr="00331C7A">
              <w:rPr>
                <w:rFonts w:ascii="Arial" w:hAnsi="Arial" w:cs="Arial"/>
                <w:sz w:val="20"/>
                <w:szCs w:val="20"/>
              </w:rPr>
              <w:t>Issues around affordability will be discussed pre tenancy.</w:t>
            </w:r>
          </w:p>
        </w:tc>
        <w:tc>
          <w:tcPr>
            <w:tcW w:w="2813" w:type="dxa"/>
          </w:tcPr>
          <w:p w:rsidR="007A627B" w:rsidRPr="00331C7A" w:rsidRDefault="007A627B" w:rsidP="00F57A04">
            <w:pPr>
              <w:rPr>
                <w:rFonts w:ascii="Arial" w:hAnsi="Arial" w:cs="Arial"/>
                <w:sz w:val="20"/>
                <w:szCs w:val="20"/>
              </w:rPr>
            </w:pPr>
            <w:r w:rsidRPr="00331C7A">
              <w:rPr>
                <w:rFonts w:ascii="Arial" w:hAnsi="Arial" w:cs="Arial"/>
                <w:sz w:val="20"/>
                <w:szCs w:val="20"/>
              </w:rPr>
              <w:t>Impact unknown due to insufficient data.</w:t>
            </w:r>
          </w:p>
        </w:tc>
      </w:tr>
      <w:tr w:rsidR="007A627B" w:rsidRPr="001151E8" w:rsidTr="001151E8">
        <w:tc>
          <w:tcPr>
            <w:tcW w:w="2355" w:type="dxa"/>
          </w:tcPr>
          <w:p w:rsidR="007A627B" w:rsidRPr="00331C7A" w:rsidRDefault="007A627B" w:rsidP="00F57A04">
            <w:pPr>
              <w:rPr>
                <w:rFonts w:ascii="Arial" w:hAnsi="Arial" w:cs="Arial"/>
                <w:sz w:val="20"/>
                <w:szCs w:val="20"/>
              </w:rPr>
            </w:pPr>
            <w:r w:rsidRPr="00331C7A">
              <w:rPr>
                <w:rFonts w:ascii="Arial" w:hAnsi="Arial" w:cs="Arial"/>
                <w:b/>
                <w:sz w:val="20"/>
                <w:szCs w:val="20"/>
              </w:rPr>
              <w:t>Race and ethnicity</w:t>
            </w:r>
            <w:r w:rsidRPr="00331C7A">
              <w:rPr>
                <w:rFonts w:ascii="Arial" w:hAnsi="Arial" w:cs="Arial"/>
                <w:sz w:val="20"/>
                <w:szCs w:val="20"/>
              </w:rPr>
              <w:t xml:space="preserve">- BAME Groups </w:t>
            </w:r>
          </w:p>
          <w:p w:rsidR="007A627B" w:rsidRPr="00331C7A" w:rsidRDefault="007A627B" w:rsidP="00F57A04">
            <w:pPr>
              <w:rPr>
                <w:rFonts w:ascii="Arial" w:hAnsi="Arial" w:cs="Arial"/>
                <w:sz w:val="20"/>
                <w:szCs w:val="20"/>
              </w:rPr>
            </w:pPr>
          </w:p>
        </w:tc>
        <w:tc>
          <w:tcPr>
            <w:tcW w:w="2807" w:type="dxa"/>
            <w:shd w:val="clear" w:color="auto" w:fill="auto"/>
          </w:tcPr>
          <w:p w:rsidR="007A627B" w:rsidRPr="00331C7A" w:rsidRDefault="007A627B" w:rsidP="00F57A04">
            <w:pPr>
              <w:rPr>
                <w:rFonts w:ascii="Arial" w:hAnsi="Arial" w:cs="Arial"/>
                <w:sz w:val="20"/>
                <w:szCs w:val="20"/>
              </w:rPr>
            </w:pPr>
            <w:r w:rsidRPr="00331C7A">
              <w:rPr>
                <w:rFonts w:ascii="Arial" w:hAnsi="Arial" w:cs="Arial"/>
                <w:sz w:val="20"/>
                <w:szCs w:val="20"/>
              </w:rPr>
              <w:t>Priority is given depending on housing need, regardless of race/ethnicity.</w:t>
            </w:r>
          </w:p>
          <w:p w:rsidR="007A627B" w:rsidRPr="00331C7A" w:rsidRDefault="007A627B" w:rsidP="00F57A04">
            <w:pPr>
              <w:rPr>
                <w:rFonts w:ascii="Arial" w:hAnsi="Arial" w:cs="Arial"/>
                <w:sz w:val="20"/>
                <w:szCs w:val="20"/>
              </w:rPr>
            </w:pPr>
          </w:p>
          <w:p w:rsidR="007A627B" w:rsidRPr="00331C7A" w:rsidRDefault="007A627B" w:rsidP="00300E00">
            <w:pPr>
              <w:rPr>
                <w:rFonts w:ascii="Arial" w:hAnsi="Arial" w:cs="Arial"/>
                <w:sz w:val="20"/>
                <w:szCs w:val="20"/>
              </w:rPr>
            </w:pPr>
            <w:r w:rsidRPr="00331C7A">
              <w:rPr>
                <w:rFonts w:ascii="Arial" w:hAnsi="Arial" w:cs="Arial"/>
                <w:sz w:val="20"/>
                <w:szCs w:val="20"/>
              </w:rPr>
              <w:t>See Appendix 1 Table</w:t>
            </w:r>
            <w:r w:rsidR="00987F9D" w:rsidRPr="00331C7A">
              <w:rPr>
                <w:rFonts w:ascii="Arial" w:hAnsi="Arial" w:cs="Arial"/>
                <w:sz w:val="20"/>
                <w:szCs w:val="20"/>
              </w:rPr>
              <w:t xml:space="preserve"> A1.</w:t>
            </w:r>
            <w:r w:rsidR="00300E00">
              <w:rPr>
                <w:rFonts w:ascii="Arial" w:hAnsi="Arial" w:cs="Arial"/>
                <w:sz w:val="20"/>
                <w:szCs w:val="20"/>
              </w:rPr>
              <w:t>1</w:t>
            </w:r>
            <w:r w:rsidRPr="00331C7A">
              <w:rPr>
                <w:rFonts w:ascii="Arial" w:hAnsi="Arial" w:cs="Arial"/>
                <w:sz w:val="20"/>
                <w:szCs w:val="20"/>
              </w:rPr>
              <w:t>.</w:t>
            </w:r>
          </w:p>
        </w:tc>
        <w:tc>
          <w:tcPr>
            <w:tcW w:w="2802" w:type="dxa"/>
            <w:shd w:val="clear" w:color="auto" w:fill="auto"/>
          </w:tcPr>
          <w:p w:rsidR="007A627B" w:rsidRPr="00331C7A" w:rsidRDefault="007A627B" w:rsidP="00F57A04">
            <w:pPr>
              <w:rPr>
                <w:rFonts w:ascii="Arial" w:hAnsi="Arial" w:cs="Arial"/>
                <w:sz w:val="20"/>
                <w:szCs w:val="20"/>
              </w:rPr>
            </w:pPr>
            <w:r w:rsidRPr="00331C7A">
              <w:rPr>
                <w:rFonts w:ascii="Arial" w:hAnsi="Arial" w:cs="Arial"/>
                <w:sz w:val="20"/>
                <w:szCs w:val="20"/>
              </w:rPr>
              <w:t>None</w:t>
            </w:r>
          </w:p>
          <w:p w:rsidR="007A627B" w:rsidRPr="00331C7A" w:rsidRDefault="007A627B" w:rsidP="00F57A04">
            <w:pPr>
              <w:rPr>
                <w:rFonts w:ascii="Arial" w:hAnsi="Arial" w:cs="Arial"/>
                <w:sz w:val="20"/>
                <w:szCs w:val="20"/>
              </w:rPr>
            </w:pPr>
          </w:p>
        </w:tc>
        <w:tc>
          <w:tcPr>
            <w:tcW w:w="2813" w:type="dxa"/>
          </w:tcPr>
          <w:p w:rsidR="007A627B" w:rsidRPr="00331C7A" w:rsidRDefault="005365F1" w:rsidP="00F57A04">
            <w:pPr>
              <w:rPr>
                <w:rFonts w:ascii="Arial" w:hAnsi="Arial" w:cs="Arial"/>
                <w:color w:val="000000"/>
                <w:sz w:val="20"/>
                <w:szCs w:val="20"/>
                <w:lang w:val="en-US"/>
              </w:rPr>
            </w:pPr>
            <w:r w:rsidRPr="00331C7A">
              <w:rPr>
                <w:rFonts w:ascii="Arial" w:hAnsi="Arial" w:cs="Arial"/>
                <w:color w:val="000000"/>
                <w:sz w:val="20"/>
                <w:szCs w:val="20"/>
                <w:lang w:val="en-US"/>
              </w:rPr>
              <w:t>Homesearch m</w:t>
            </w:r>
            <w:r w:rsidR="007A627B" w:rsidRPr="00331C7A">
              <w:rPr>
                <w:rFonts w:ascii="Arial" w:hAnsi="Arial" w:cs="Arial"/>
                <w:color w:val="000000"/>
                <w:sz w:val="20"/>
                <w:szCs w:val="20"/>
                <w:lang w:val="en-US"/>
              </w:rPr>
              <w:t>onitor</w:t>
            </w:r>
            <w:r w:rsidRPr="00331C7A">
              <w:rPr>
                <w:rFonts w:ascii="Arial" w:hAnsi="Arial" w:cs="Arial"/>
                <w:color w:val="000000"/>
                <w:sz w:val="20"/>
                <w:szCs w:val="20"/>
                <w:lang w:val="en-US"/>
              </w:rPr>
              <w:t>s</w:t>
            </w:r>
            <w:r w:rsidR="007A627B" w:rsidRPr="00331C7A">
              <w:rPr>
                <w:rFonts w:ascii="Arial" w:hAnsi="Arial" w:cs="Arial"/>
                <w:color w:val="000000"/>
                <w:sz w:val="20"/>
                <w:szCs w:val="20"/>
                <w:lang w:val="en-US"/>
              </w:rPr>
              <w:t xml:space="preserve"> lettings to ensure that there is no under or over representation of different ethnic groups.</w:t>
            </w:r>
          </w:p>
          <w:p w:rsidR="000F40BB" w:rsidRPr="00331C7A" w:rsidRDefault="000F40BB" w:rsidP="00F57A04">
            <w:pPr>
              <w:rPr>
                <w:rFonts w:ascii="Arial" w:hAnsi="Arial" w:cs="Arial"/>
                <w:color w:val="000000"/>
                <w:sz w:val="20"/>
                <w:szCs w:val="20"/>
                <w:lang w:val="en-US"/>
              </w:rPr>
            </w:pPr>
          </w:p>
          <w:p w:rsidR="007A627B" w:rsidRPr="00331C7A" w:rsidRDefault="007A627B" w:rsidP="00F57A04">
            <w:pPr>
              <w:rPr>
                <w:rFonts w:ascii="Arial" w:hAnsi="Arial" w:cs="Arial"/>
                <w:color w:val="000000"/>
                <w:sz w:val="20"/>
                <w:szCs w:val="20"/>
                <w:lang w:val="en-US"/>
              </w:rPr>
            </w:pPr>
            <w:r w:rsidRPr="00331C7A">
              <w:rPr>
                <w:rFonts w:ascii="Arial" w:hAnsi="Arial" w:cs="Arial"/>
                <w:color w:val="000000"/>
                <w:sz w:val="20"/>
                <w:szCs w:val="20"/>
                <w:lang w:val="en-US"/>
              </w:rPr>
              <w:t>Provide information in suitable accessible formats.</w:t>
            </w:r>
            <w:r w:rsidR="005365F1" w:rsidRPr="00331C7A">
              <w:rPr>
                <w:rFonts w:ascii="Arial" w:hAnsi="Arial" w:cs="Arial"/>
                <w:color w:val="000000"/>
                <w:sz w:val="20"/>
                <w:szCs w:val="20"/>
                <w:lang w:val="en-US"/>
              </w:rPr>
              <w:t xml:space="preserve"> </w:t>
            </w:r>
            <w:r w:rsidR="005365F1" w:rsidRPr="00331C7A">
              <w:rPr>
                <w:rFonts w:ascii="Arial" w:hAnsi="Arial" w:cs="Arial"/>
                <w:sz w:val="20"/>
                <w:szCs w:val="20"/>
              </w:rPr>
              <w:t>The Homesearch website provides a variety of accessible options.</w:t>
            </w:r>
          </w:p>
          <w:p w:rsidR="007A627B" w:rsidRPr="00331C7A" w:rsidRDefault="007A627B" w:rsidP="00F57A04">
            <w:pPr>
              <w:rPr>
                <w:rFonts w:ascii="Arial" w:hAnsi="Arial" w:cs="Arial"/>
                <w:color w:val="000000"/>
                <w:sz w:val="20"/>
                <w:szCs w:val="20"/>
                <w:lang w:val="en-US"/>
              </w:rPr>
            </w:pPr>
          </w:p>
          <w:p w:rsidR="007A627B" w:rsidRPr="00331C7A" w:rsidRDefault="007A627B" w:rsidP="003E1C16">
            <w:pPr>
              <w:rPr>
                <w:rFonts w:ascii="Arial" w:hAnsi="Arial" w:cs="Arial"/>
                <w:sz w:val="20"/>
                <w:szCs w:val="20"/>
              </w:rPr>
            </w:pPr>
            <w:r w:rsidRPr="00331C7A">
              <w:rPr>
                <w:rFonts w:ascii="Arial" w:hAnsi="Arial" w:cs="Arial"/>
                <w:sz w:val="20"/>
                <w:szCs w:val="20"/>
              </w:rPr>
              <w:t>Within Homesearch, any discrimination, bullying or harassment based upon race or ethnicity should be combatted.</w:t>
            </w:r>
          </w:p>
        </w:tc>
      </w:tr>
      <w:tr w:rsidR="007A627B" w:rsidRPr="001151E8" w:rsidTr="002A1C34">
        <w:tc>
          <w:tcPr>
            <w:tcW w:w="2355" w:type="dxa"/>
          </w:tcPr>
          <w:p w:rsidR="007A627B" w:rsidRPr="00331C7A" w:rsidRDefault="007A627B" w:rsidP="00F57A04">
            <w:pPr>
              <w:rPr>
                <w:rFonts w:ascii="Arial" w:hAnsi="Arial"/>
                <w:b/>
                <w:sz w:val="20"/>
                <w:szCs w:val="20"/>
              </w:rPr>
            </w:pPr>
            <w:r w:rsidRPr="00331C7A">
              <w:rPr>
                <w:rFonts w:ascii="Arial" w:hAnsi="Arial"/>
                <w:b/>
                <w:sz w:val="20"/>
                <w:szCs w:val="20"/>
              </w:rPr>
              <w:t xml:space="preserve">Religion/belief </w:t>
            </w:r>
          </w:p>
          <w:p w:rsidR="007A627B" w:rsidRPr="00331C7A" w:rsidRDefault="007A627B" w:rsidP="00F57A04">
            <w:pPr>
              <w:rPr>
                <w:rFonts w:ascii="Arial" w:hAnsi="Arial"/>
                <w:sz w:val="20"/>
                <w:szCs w:val="20"/>
              </w:rPr>
            </w:pPr>
          </w:p>
        </w:tc>
        <w:tc>
          <w:tcPr>
            <w:tcW w:w="2807" w:type="dxa"/>
            <w:shd w:val="clear" w:color="auto" w:fill="auto"/>
          </w:tcPr>
          <w:p w:rsidR="007A627B" w:rsidRPr="00331C7A" w:rsidRDefault="007A627B" w:rsidP="00F57A04">
            <w:pPr>
              <w:rPr>
                <w:rFonts w:ascii="Arial" w:hAnsi="Arial"/>
                <w:sz w:val="20"/>
                <w:szCs w:val="20"/>
              </w:rPr>
            </w:pPr>
            <w:r w:rsidRPr="00331C7A">
              <w:rPr>
                <w:rFonts w:ascii="Arial" w:hAnsi="Arial"/>
                <w:sz w:val="20"/>
                <w:szCs w:val="20"/>
              </w:rPr>
              <w:t>Priority is given based on housing need, regardless of religion/belief.</w:t>
            </w:r>
          </w:p>
        </w:tc>
        <w:tc>
          <w:tcPr>
            <w:tcW w:w="2802" w:type="dxa"/>
            <w:shd w:val="clear" w:color="auto" w:fill="auto"/>
          </w:tcPr>
          <w:p w:rsidR="007A627B" w:rsidRPr="00331C7A" w:rsidRDefault="007A627B" w:rsidP="00F57A04">
            <w:pPr>
              <w:rPr>
                <w:rFonts w:ascii="Arial" w:hAnsi="Arial"/>
                <w:sz w:val="20"/>
                <w:szCs w:val="20"/>
              </w:rPr>
            </w:pPr>
            <w:r w:rsidRPr="00331C7A">
              <w:rPr>
                <w:rFonts w:ascii="Arial" w:hAnsi="Arial"/>
                <w:sz w:val="20"/>
                <w:szCs w:val="20"/>
              </w:rPr>
              <w:t>None</w:t>
            </w:r>
          </w:p>
        </w:tc>
        <w:tc>
          <w:tcPr>
            <w:tcW w:w="2813" w:type="dxa"/>
          </w:tcPr>
          <w:p w:rsidR="007A627B" w:rsidRPr="00331C7A" w:rsidRDefault="007A627B" w:rsidP="00F57A04">
            <w:pPr>
              <w:rPr>
                <w:rFonts w:ascii="Arial" w:hAnsi="Arial" w:cs="Arial"/>
                <w:sz w:val="20"/>
                <w:szCs w:val="20"/>
              </w:rPr>
            </w:pPr>
            <w:r w:rsidRPr="00331C7A">
              <w:rPr>
                <w:rFonts w:ascii="Arial" w:hAnsi="Arial"/>
                <w:sz w:val="20"/>
                <w:szCs w:val="20"/>
              </w:rPr>
              <w:t>Homesearch monitors stated religion/belief. Priority is given depending on housing need, regardless of religion or belief.</w:t>
            </w:r>
          </w:p>
          <w:p w:rsidR="007A627B" w:rsidRPr="00331C7A" w:rsidRDefault="007A627B" w:rsidP="00F57A04">
            <w:pPr>
              <w:rPr>
                <w:rFonts w:ascii="Arial" w:hAnsi="Arial" w:cs="Arial"/>
                <w:sz w:val="20"/>
                <w:szCs w:val="20"/>
              </w:rPr>
            </w:pPr>
          </w:p>
          <w:p w:rsidR="007A627B" w:rsidRPr="00331C7A" w:rsidRDefault="007A627B" w:rsidP="003E1C16">
            <w:pPr>
              <w:rPr>
                <w:rFonts w:ascii="Arial" w:hAnsi="Arial"/>
                <w:sz w:val="20"/>
                <w:szCs w:val="20"/>
              </w:rPr>
            </w:pPr>
            <w:r w:rsidRPr="00331C7A">
              <w:rPr>
                <w:rFonts w:ascii="Arial" w:hAnsi="Arial" w:cs="Arial"/>
                <w:sz w:val="20"/>
                <w:szCs w:val="20"/>
              </w:rPr>
              <w:t>Within Homesearch, any discrimination, bullying or harassment based upon religion or belief should be combatted.</w:t>
            </w:r>
          </w:p>
        </w:tc>
      </w:tr>
      <w:tr w:rsidR="007A627B" w:rsidRPr="001151E8" w:rsidTr="001151E8">
        <w:trPr>
          <w:trHeight w:val="798"/>
        </w:trPr>
        <w:tc>
          <w:tcPr>
            <w:tcW w:w="2355" w:type="dxa"/>
          </w:tcPr>
          <w:p w:rsidR="007A627B" w:rsidRPr="00331C7A" w:rsidRDefault="007A627B" w:rsidP="00464FB8">
            <w:pPr>
              <w:rPr>
                <w:rFonts w:ascii="Arial" w:hAnsi="Arial" w:cs="Arial"/>
                <w:b/>
                <w:sz w:val="20"/>
                <w:szCs w:val="20"/>
              </w:rPr>
            </w:pPr>
            <w:r w:rsidRPr="00331C7A">
              <w:rPr>
                <w:rFonts w:ascii="Arial" w:hAnsi="Arial" w:cs="Arial"/>
                <w:b/>
                <w:sz w:val="20"/>
                <w:szCs w:val="20"/>
              </w:rPr>
              <w:t xml:space="preserve">Sexual orientation - </w:t>
            </w:r>
            <w:r w:rsidRPr="00331C7A">
              <w:rPr>
                <w:rFonts w:ascii="Arial" w:hAnsi="Arial" w:cs="Arial"/>
                <w:sz w:val="20"/>
                <w:szCs w:val="20"/>
              </w:rPr>
              <w:t>lesbian, gay, bisexual, heterosexual people</w:t>
            </w:r>
            <w:r w:rsidRPr="00331C7A">
              <w:rPr>
                <w:rFonts w:ascii="Arial" w:hAnsi="Arial" w:cs="Arial"/>
                <w:b/>
                <w:sz w:val="20"/>
                <w:szCs w:val="20"/>
              </w:rPr>
              <w:t xml:space="preserve"> </w:t>
            </w:r>
          </w:p>
        </w:tc>
        <w:tc>
          <w:tcPr>
            <w:tcW w:w="2807" w:type="dxa"/>
            <w:shd w:val="clear" w:color="auto" w:fill="auto"/>
          </w:tcPr>
          <w:p w:rsidR="007A627B" w:rsidRPr="00331C7A" w:rsidRDefault="007A627B" w:rsidP="00464FB8">
            <w:pPr>
              <w:rPr>
                <w:rFonts w:ascii="Arial" w:hAnsi="Arial" w:cs="Arial"/>
                <w:sz w:val="20"/>
                <w:szCs w:val="20"/>
              </w:rPr>
            </w:pPr>
            <w:r w:rsidRPr="00331C7A">
              <w:rPr>
                <w:rFonts w:ascii="Arial" w:hAnsi="Arial" w:cs="Arial"/>
                <w:sz w:val="20"/>
                <w:szCs w:val="20"/>
              </w:rPr>
              <w:t>Priority is given depending on housing need, regardless of sexual orientation.</w:t>
            </w:r>
          </w:p>
        </w:tc>
        <w:tc>
          <w:tcPr>
            <w:tcW w:w="2802" w:type="dxa"/>
            <w:shd w:val="clear" w:color="auto" w:fill="auto"/>
          </w:tcPr>
          <w:p w:rsidR="007A627B" w:rsidRPr="00331C7A" w:rsidRDefault="007A627B" w:rsidP="00464FB8">
            <w:pPr>
              <w:rPr>
                <w:rFonts w:ascii="Arial" w:hAnsi="Arial" w:cs="Arial"/>
                <w:sz w:val="20"/>
                <w:szCs w:val="20"/>
              </w:rPr>
            </w:pPr>
            <w:r w:rsidRPr="00331C7A">
              <w:rPr>
                <w:rFonts w:ascii="Arial" w:hAnsi="Arial" w:cs="Arial"/>
                <w:sz w:val="20"/>
                <w:szCs w:val="20"/>
              </w:rPr>
              <w:t>None</w:t>
            </w:r>
          </w:p>
        </w:tc>
        <w:tc>
          <w:tcPr>
            <w:tcW w:w="2813" w:type="dxa"/>
          </w:tcPr>
          <w:p w:rsidR="007A627B" w:rsidRPr="00331C7A" w:rsidRDefault="007A627B" w:rsidP="00464FB8">
            <w:pPr>
              <w:rPr>
                <w:rFonts w:ascii="Arial" w:hAnsi="Arial" w:cs="Arial"/>
                <w:sz w:val="20"/>
                <w:szCs w:val="20"/>
              </w:rPr>
            </w:pPr>
            <w:r w:rsidRPr="00331C7A">
              <w:rPr>
                <w:rFonts w:ascii="Arial" w:hAnsi="Arial" w:cs="Arial"/>
                <w:sz w:val="20"/>
                <w:szCs w:val="20"/>
              </w:rPr>
              <w:t>Homesearch monitors this information to identify and address positive or negative trends.</w:t>
            </w:r>
          </w:p>
          <w:p w:rsidR="007A627B" w:rsidRPr="00331C7A" w:rsidRDefault="007A627B" w:rsidP="00464FB8">
            <w:pPr>
              <w:rPr>
                <w:rFonts w:ascii="Arial" w:hAnsi="Arial" w:cs="Arial"/>
                <w:sz w:val="20"/>
                <w:szCs w:val="20"/>
              </w:rPr>
            </w:pPr>
          </w:p>
          <w:p w:rsidR="007A627B" w:rsidRPr="00331C7A" w:rsidRDefault="007A627B" w:rsidP="003E1C16">
            <w:pPr>
              <w:rPr>
                <w:rFonts w:ascii="Arial" w:hAnsi="Arial" w:cs="Arial"/>
                <w:sz w:val="20"/>
                <w:szCs w:val="20"/>
              </w:rPr>
            </w:pPr>
            <w:r w:rsidRPr="00331C7A">
              <w:rPr>
                <w:rFonts w:ascii="Arial" w:hAnsi="Arial" w:cs="Arial"/>
                <w:sz w:val="20"/>
                <w:szCs w:val="20"/>
              </w:rPr>
              <w:t>Within Homesearch, any discrimination, bullying or harassment based upon sexual orientation should be combatted.</w:t>
            </w:r>
          </w:p>
        </w:tc>
      </w:tr>
      <w:tr w:rsidR="00EF36A0" w:rsidRPr="001151E8" w:rsidTr="001151E8">
        <w:trPr>
          <w:trHeight w:val="798"/>
        </w:trPr>
        <w:tc>
          <w:tcPr>
            <w:tcW w:w="2355" w:type="dxa"/>
          </w:tcPr>
          <w:p w:rsidR="00EF36A0" w:rsidRPr="00331C7A" w:rsidRDefault="00EF36A0" w:rsidP="00B55ACE">
            <w:pPr>
              <w:rPr>
                <w:rFonts w:ascii="Arial" w:hAnsi="Arial" w:cs="Arial"/>
                <w:b/>
                <w:sz w:val="20"/>
                <w:szCs w:val="20"/>
              </w:rPr>
            </w:pPr>
            <w:r w:rsidRPr="00331C7A">
              <w:rPr>
                <w:rFonts w:ascii="Arial" w:hAnsi="Arial" w:cs="Arial"/>
                <w:b/>
                <w:sz w:val="20"/>
                <w:szCs w:val="20"/>
              </w:rPr>
              <w:t>All</w:t>
            </w:r>
          </w:p>
        </w:tc>
        <w:tc>
          <w:tcPr>
            <w:tcW w:w="2807" w:type="dxa"/>
            <w:shd w:val="clear" w:color="auto" w:fill="auto"/>
          </w:tcPr>
          <w:p w:rsidR="00EF36A0" w:rsidRPr="00331C7A" w:rsidRDefault="00EF36A0" w:rsidP="00B55ACE">
            <w:pPr>
              <w:rPr>
                <w:rFonts w:ascii="Arial" w:hAnsi="Arial" w:cs="Arial"/>
                <w:sz w:val="20"/>
                <w:szCs w:val="20"/>
              </w:rPr>
            </w:pPr>
            <w:r w:rsidRPr="00331C7A">
              <w:rPr>
                <w:rFonts w:ascii="Arial" w:hAnsi="Arial" w:cs="Arial"/>
                <w:sz w:val="20"/>
                <w:szCs w:val="20"/>
              </w:rPr>
              <w:t>Creating a community where:</w:t>
            </w:r>
          </w:p>
          <w:p w:rsidR="00EF36A0" w:rsidRPr="00331C7A" w:rsidRDefault="00EF36A0" w:rsidP="00B55ACE">
            <w:pPr>
              <w:pStyle w:val="ListParagraph"/>
              <w:numPr>
                <w:ilvl w:val="0"/>
                <w:numId w:val="5"/>
              </w:numPr>
              <w:ind w:left="196" w:hanging="162"/>
              <w:rPr>
                <w:rFonts w:ascii="Arial" w:hAnsi="Arial" w:cs="Arial"/>
                <w:sz w:val="20"/>
                <w:szCs w:val="20"/>
              </w:rPr>
            </w:pPr>
            <w:r w:rsidRPr="00331C7A">
              <w:rPr>
                <w:rFonts w:ascii="Arial" w:hAnsi="Arial" w:cs="Arial"/>
                <w:sz w:val="20"/>
                <w:szCs w:val="20"/>
              </w:rPr>
              <w:t xml:space="preserve">people feel safe, take responsibility and make a contribution </w:t>
            </w:r>
            <w:r w:rsidRPr="00331C7A">
              <w:rPr>
                <w:rFonts w:ascii="Arial" w:hAnsi="Arial" w:cs="Arial"/>
                <w:sz w:val="20"/>
                <w:szCs w:val="20"/>
              </w:rPr>
              <w:softHyphen/>
              <w:t xml:space="preserve"> </w:t>
            </w:r>
          </w:p>
          <w:p w:rsidR="00EF36A0" w:rsidRPr="00331C7A" w:rsidRDefault="00EF36A0" w:rsidP="00B55ACE">
            <w:pPr>
              <w:pStyle w:val="ListParagraph"/>
              <w:numPr>
                <w:ilvl w:val="0"/>
                <w:numId w:val="5"/>
              </w:numPr>
              <w:ind w:left="196" w:hanging="162"/>
              <w:rPr>
                <w:rFonts w:ascii="Arial" w:hAnsi="Arial" w:cs="Arial"/>
                <w:sz w:val="20"/>
                <w:szCs w:val="20"/>
              </w:rPr>
            </w:pPr>
            <w:r w:rsidRPr="00331C7A">
              <w:rPr>
                <w:rFonts w:ascii="Arial" w:hAnsi="Arial" w:cs="Arial"/>
                <w:sz w:val="20"/>
                <w:szCs w:val="20"/>
              </w:rPr>
              <w:t xml:space="preserve">the disadvantaged are supported </w:t>
            </w:r>
            <w:r w:rsidRPr="00331C7A">
              <w:rPr>
                <w:rFonts w:ascii="Arial" w:hAnsi="Arial" w:cs="Arial"/>
                <w:sz w:val="20"/>
                <w:szCs w:val="20"/>
              </w:rPr>
              <w:softHyphen/>
              <w:t xml:space="preserve"> </w:t>
            </w:r>
          </w:p>
          <w:p w:rsidR="00EF36A0" w:rsidRPr="00331C7A" w:rsidRDefault="00EF36A0" w:rsidP="00B55ACE">
            <w:pPr>
              <w:pStyle w:val="ListParagraph"/>
              <w:numPr>
                <w:ilvl w:val="0"/>
                <w:numId w:val="5"/>
              </w:numPr>
              <w:ind w:left="196" w:hanging="162"/>
              <w:rPr>
                <w:rFonts w:ascii="Arial" w:hAnsi="Arial" w:cs="Arial"/>
                <w:sz w:val="20"/>
                <w:szCs w:val="20"/>
              </w:rPr>
            </w:pPr>
            <w:r w:rsidRPr="00331C7A">
              <w:rPr>
                <w:rFonts w:ascii="Arial" w:hAnsi="Arial" w:cs="Arial"/>
                <w:sz w:val="20"/>
                <w:szCs w:val="20"/>
              </w:rPr>
              <w:t>the vulnerable are protected</w:t>
            </w:r>
          </w:p>
          <w:p w:rsidR="00EF36A0" w:rsidRPr="00331C7A" w:rsidRDefault="00EF36A0" w:rsidP="00B55ACE">
            <w:pPr>
              <w:pStyle w:val="ListParagraph"/>
              <w:numPr>
                <w:ilvl w:val="0"/>
                <w:numId w:val="5"/>
              </w:numPr>
              <w:ind w:left="196" w:hanging="162"/>
              <w:rPr>
                <w:rFonts w:ascii="Arial" w:hAnsi="Arial" w:cs="Arial"/>
                <w:sz w:val="20"/>
                <w:szCs w:val="20"/>
              </w:rPr>
            </w:pPr>
            <w:r w:rsidRPr="00331C7A">
              <w:rPr>
                <w:rFonts w:ascii="Arial" w:hAnsi="Arial" w:cs="Arial"/>
                <w:sz w:val="20"/>
                <w:szCs w:val="20"/>
              </w:rPr>
              <w:t>people feel proud to live</w:t>
            </w:r>
          </w:p>
        </w:tc>
        <w:tc>
          <w:tcPr>
            <w:tcW w:w="2802" w:type="dxa"/>
            <w:shd w:val="clear" w:color="auto" w:fill="auto"/>
          </w:tcPr>
          <w:p w:rsidR="00EF36A0" w:rsidRPr="00331C7A" w:rsidRDefault="00EF36A0" w:rsidP="00B55ACE">
            <w:pPr>
              <w:rPr>
                <w:rFonts w:ascii="Arial" w:hAnsi="Arial" w:cs="Arial"/>
                <w:sz w:val="20"/>
                <w:szCs w:val="20"/>
              </w:rPr>
            </w:pPr>
            <w:r w:rsidRPr="00331C7A">
              <w:rPr>
                <w:rFonts w:ascii="Arial" w:hAnsi="Arial" w:cs="Arial"/>
                <w:sz w:val="20"/>
                <w:szCs w:val="20"/>
              </w:rPr>
              <w:t>Some individuals may be overlooked for accommodation, where the tenancy would have a detrimental effect on the community.</w:t>
            </w:r>
          </w:p>
        </w:tc>
        <w:tc>
          <w:tcPr>
            <w:tcW w:w="2813" w:type="dxa"/>
          </w:tcPr>
          <w:p w:rsidR="00EF36A0" w:rsidRPr="00331C7A" w:rsidRDefault="00EF36A0" w:rsidP="00B55ACE">
            <w:pPr>
              <w:rPr>
                <w:rFonts w:ascii="Arial" w:hAnsi="Arial" w:cs="Arial"/>
                <w:sz w:val="20"/>
                <w:szCs w:val="20"/>
              </w:rPr>
            </w:pPr>
            <w:r w:rsidRPr="00331C7A">
              <w:rPr>
                <w:rFonts w:ascii="Arial" w:hAnsi="Arial" w:cs="Arial"/>
                <w:sz w:val="20"/>
                <w:szCs w:val="20"/>
              </w:rPr>
              <w:t>This policy seeks to balance between the needs of individuals and the needs of the wider community.</w:t>
            </w:r>
          </w:p>
        </w:tc>
      </w:tr>
    </w:tbl>
    <w:p w:rsidR="00B00BF4" w:rsidRDefault="00B00BF4">
      <w:pPr>
        <w:sectPr w:rsidR="00B00BF4" w:rsidSect="00EF36A0">
          <w:headerReference w:type="default" r:id="rId16"/>
          <w:pgSz w:w="11906" w:h="16838" w:code="9"/>
          <w:pgMar w:top="2098" w:right="567" w:bottom="1440" w:left="902" w:header="709" w:footer="449" w:gutter="0"/>
          <w:cols w:space="708"/>
          <w:titlePg/>
          <w:docGrid w:linePitch="360"/>
        </w:sectPr>
      </w:pPr>
    </w:p>
    <w:p w:rsidR="00B00BF4" w:rsidRPr="002A1C34" w:rsidRDefault="00A819EB" w:rsidP="00E53D0E">
      <w:pPr>
        <w:rPr>
          <w:rFonts w:ascii="Arial" w:hAnsi="Arial"/>
          <w:b/>
          <w:sz w:val="22"/>
        </w:rPr>
      </w:pPr>
      <w:r w:rsidRPr="002A1C34">
        <w:rPr>
          <w:rFonts w:ascii="Arial" w:hAnsi="Arial"/>
          <w:b/>
          <w:sz w:val="22"/>
        </w:rPr>
        <w:t>Appendix 1</w:t>
      </w:r>
    </w:p>
    <w:p w:rsidR="00A819EB" w:rsidRPr="00E53D0E" w:rsidRDefault="00A819EB" w:rsidP="00E53D0E">
      <w:pPr>
        <w:rPr>
          <w:b/>
          <w:sz w:val="18"/>
        </w:rPr>
      </w:pPr>
    </w:p>
    <w:p w:rsidR="00A819EB" w:rsidRPr="002A1C34" w:rsidRDefault="00A819EB" w:rsidP="00E53D0E">
      <w:pPr>
        <w:rPr>
          <w:rFonts w:ascii="Arial" w:eastAsia="Calibri" w:hAnsi="Arial"/>
          <w:sz w:val="22"/>
        </w:rPr>
      </w:pPr>
      <w:r w:rsidRPr="002A1C34">
        <w:rPr>
          <w:rFonts w:ascii="Arial" w:eastAsia="Calibri" w:hAnsi="Arial"/>
          <w:sz w:val="22"/>
        </w:rPr>
        <w:t xml:space="preserve">Table </w:t>
      </w:r>
      <w:r w:rsidR="004126A8">
        <w:rPr>
          <w:rFonts w:ascii="Arial" w:eastAsia="Calibri" w:hAnsi="Arial" w:cs="Arial"/>
          <w:sz w:val="22"/>
          <w:szCs w:val="22"/>
        </w:rPr>
        <w:t>A1.</w:t>
      </w:r>
      <w:r w:rsidR="003C00FC" w:rsidRPr="002A1C34">
        <w:rPr>
          <w:rFonts w:ascii="Arial" w:eastAsia="Calibri" w:hAnsi="Arial"/>
          <w:sz w:val="22"/>
        </w:rPr>
        <w:t>1</w:t>
      </w:r>
      <w:r w:rsidRPr="002A1C34">
        <w:rPr>
          <w:rFonts w:ascii="Arial" w:eastAsia="Calibri" w:hAnsi="Arial"/>
          <w:sz w:val="22"/>
        </w:rPr>
        <w:t xml:space="preserve"> – Ethnicity of main applicant housed</w:t>
      </w:r>
      <w:r w:rsidR="00A04E27" w:rsidRPr="002A1C34">
        <w:rPr>
          <w:rFonts w:ascii="Arial" w:eastAsia="Calibri" w:hAnsi="Arial"/>
          <w:sz w:val="22"/>
        </w:rPr>
        <w:t xml:space="preserve"> in Bath and North East Somerset</w:t>
      </w:r>
    </w:p>
    <w:tbl>
      <w:tblPr>
        <w:tblW w:w="12852" w:type="dxa"/>
        <w:tblInd w:w="93" w:type="dxa"/>
        <w:tblLook w:val="04A0" w:firstRow="1" w:lastRow="0" w:firstColumn="1" w:lastColumn="0" w:noHBand="0" w:noVBand="1"/>
      </w:tblPr>
      <w:tblGrid>
        <w:gridCol w:w="3059"/>
        <w:gridCol w:w="581"/>
        <w:gridCol w:w="1353"/>
        <w:gridCol w:w="581"/>
        <w:gridCol w:w="1353"/>
        <w:gridCol w:w="925"/>
        <w:gridCol w:w="1050"/>
        <w:gridCol w:w="978"/>
        <w:gridCol w:w="997"/>
        <w:gridCol w:w="978"/>
        <w:gridCol w:w="997"/>
      </w:tblGrid>
      <w:tr w:rsidR="00E87320" w:rsidRPr="003A6F30" w:rsidTr="00E53D0E">
        <w:trPr>
          <w:trHeight w:val="300"/>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b/>
                <w:color w:val="000000"/>
                <w:sz w:val="20"/>
              </w:rPr>
            </w:pPr>
            <w:r w:rsidRPr="002A1C34">
              <w:rPr>
                <w:rFonts w:ascii="Arial" w:hAnsi="Arial"/>
                <w:b/>
                <w:color w:val="000000"/>
                <w:sz w:val="20"/>
              </w:rPr>
              <w:t>Ethnicity</w:t>
            </w:r>
          </w:p>
        </w:tc>
        <w:tc>
          <w:tcPr>
            <w:tcW w:w="19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87320" w:rsidRPr="002A1C34" w:rsidRDefault="00E87320" w:rsidP="00E53D0E">
            <w:pPr>
              <w:jc w:val="center"/>
              <w:rPr>
                <w:rFonts w:ascii="Arial" w:hAnsi="Arial"/>
                <w:b/>
                <w:color w:val="000000"/>
                <w:sz w:val="20"/>
              </w:rPr>
            </w:pPr>
            <w:r w:rsidRPr="002A1C34">
              <w:rPr>
                <w:rFonts w:ascii="Arial" w:hAnsi="Arial"/>
                <w:b/>
                <w:color w:val="000000"/>
                <w:sz w:val="20"/>
              </w:rPr>
              <w:t>2013/4</w:t>
            </w:r>
          </w:p>
        </w:tc>
        <w:tc>
          <w:tcPr>
            <w:tcW w:w="19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2014/15</w:t>
            </w:r>
          </w:p>
        </w:tc>
        <w:tc>
          <w:tcPr>
            <w:tcW w:w="1975" w:type="dxa"/>
            <w:gridSpan w:val="2"/>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2015/16</w:t>
            </w:r>
          </w:p>
        </w:tc>
        <w:tc>
          <w:tcPr>
            <w:tcW w:w="1975" w:type="dxa"/>
            <w:gridSpan w:val="2"/>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2016/17</w:t>
            </w:r>
          </w:p>
        </w:tc>
        <w:tc>
          <w:tcPr>
            <w:tcW w:w="1975" w:type="dxa"/>
            <w:gridSpan w:val="2"/>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2017/18</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u w:val="single"/>
              </w:rPr>
            </w:pPr>
          </w:p>
        </w:tc>
        <w:tc>
          <w:tcPr>
            <w:tcW w:w="581" w:type="dxa"/>
            <w:tcBorders>
              <w:top w:val="nil"/>
              <w:left w:val="nil"/>
              <w:bottom w:val="single" w:sz="4" w:space="0" w:color="auto"/>
              <w:right w:val="single" w:sz="4" w:space="0" w:color="auto"/>
            </w:tcBorders>
            <w:shd w:val="clear" w:color="auto" w:fill="auto"/>
            <w:noWrap/>
            <w:vAlign w:val="center"/>
            <w:hideMark/>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No</w:t>
            </w:r>
          </w:p>
        </w:tc>
        <w:tc>
          <w:tcPr>
            <w:tcW w:w="1353" w:type="dxa"/>
            <w:tcBorders>
              <w:top w:val="nil"/>
              <w:left w:val="nil"/>
              <w:bottom w:val="single" w:sz="4" w:space="0" w:color="auto"/>
              <w:right w:val="single" w:sz="4" w:space="0" w:color="auto"/>
            </w:tcBorders>
            <w:shd w:val="clear" w:color="auto" w:fill="auto"/>
            <w:noWrap/>
            <w:vAlign w:val="center"/>
            <w:hideMark/>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No</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No</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No</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No</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b/>
                <w:color w:val="000000"/>
                <w:sz w:val="20"/>
                <w:u w:val="single"/>
              </w:rPr>
            </w:pPr>
            <w:r w:rsidRPr="002A1C34">
              <w:rPr>
                <w:rFonts w:ascii="Arial" w:hAnsi="Arial"/>
                <w:b/>
                <w:color w:val="000000"/>
                <w:sz w:val="20"/>
                <w:u w:val="single"/>
              </w:rPr>
              <w:t>%</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tcPr>
          <w:p w:rsidR="00E87320" w:rsidRPr="002A1C34" w:rsidRDefault="00E87320" w:rsidP="00E53D0E">
            <w:pPr>
              <w:rPr>
                <w:rFonts w:ascii="Arial" w:hAnsi="Arial"/>
                <w:color w:val="000000"/>
                <w:sz w:val="20"/>
              </w:rPr>
            </w:pPr>
          </w:p>
        </w:tc>
        <w:tc>
          <w:tcPr>
            <w:tcW w:w="581" w:type="dxa"/>
            <w:tcBorders>
              <w:top w:val="single" w:sz="4" w:space="0" w:color="auto"/>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p>
        </w:tc>
        <w:tc>
          <w:tcPr>
            <w:tcW w:w="581" w:type="dxa"/>
            <w:tcBorders>
              <w:top w:val="single" w:sz="4" w:space="0" w:color="auto"/>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White - British</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518</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83.3%</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685</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84.5%</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651</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84.8%</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562</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82.0%</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560</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81.3%</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White - Irish</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0.3%</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0.5%</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0.7%</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0.6%</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0.4%</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White - Other</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33</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5.1%</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50</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6.2%</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56</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7.3%</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38</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6.0%</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45</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6.6%</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Black - African</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0.6%</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0.4%</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0.5%</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0.3%</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Black - Caribbean</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0.3%</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6</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0.7%</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0.5%</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8</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1.2%</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0.3%</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Black - Other</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0.5%</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0.5%</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0.7%</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0.4%</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Asian - Bangladeshi</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0.3%</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Asian -Indian</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0.3%</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0.3%</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tcPr>
          <w:p w:rsidR="00E87320" w:rsidRPr="002A1C34" w:rsidRDefault="00E87320" w:rsidP="00E53D0E">
            <w:pPr>
              <w:rPr>
                <w:rFonts w:ascii="Arial" w:hAnsi="Arial"/>
                <w:color w:val="000000"/>
                <w:sz w:val="20"/>
              </w:rPr>
            </w:pPr>
            <w:r w:rsidRPr="002A1C34">
              <w:rPr>
                <w:rFonts w:ascii="Arial" w:hAnsi="Arial"/>
                <w:color w:val="000000"/>
                <w:sz w:val="20"/>
              </w:rPr>
              <w:t>Asian - Other</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0.3%</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0.4%</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tcPr>
          <w:p w:rsidR="00E87320" w:rsidRPr="002A1C34" w:rsidRDefault="00E87320" w:rsidP="00E53D0E">
            <w:pPr>
              <w:rPr>
                <w:rFonts w:ascii="Arial" w:hAnsi="Arial"/>
                <w:color w:val="000000"/>
                <w:sz w:val="20"/>
              </w:rPr>
            </w:pPr>
            <w:r w:rsidRPr="002A1C34">
              <w:rPr>
                <w:rFonts w:ascii="Arial" w:hAnsi="Arial"/>
                <w:color w:val="000000"/>
                <w:sz w:val="20"/>
              </w:rPr>
              <w:t>Chinese</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Indian/Bangladeshi/Pakistani</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Dual heritage</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0.0%</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Dual heritage - Asian</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0.4%</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0.4%</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0.7%</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Dual heritage - Black African</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0.6%</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0.3%</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Dual heritage - Black Caribbean</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1.9%</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9</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1.1%</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11</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1.4%</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8</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1.2%</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9</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1.3%</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tcPr>
          <w:p w:rsidR="00E87320" w:rsidRPr="002A1C34" w:rsidRDefault="00E87320" w:rsidP="00E53D0E">
            <w:pPr>
              <w:rPr>
                <w:rFonts w:ascii="Arial" w:hAnsi="Arial"/>
                <w:color w:val="000000"/>
                <w:sz w:val="20"/>
              </w:rPr>
            </w:pPr>
            <w:r w:rsidRPr="002A1C34">
              <w:rPr>
                <w:rFonts w:ascii="Arial" w:hAnsi="Arial"/>
                <w:color w:val="000000"/>
                <w:sz w:val="20"/>
              </w:rPr>
              <w:t>Dual heritage - Other</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0.6%</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0.5%</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0.4%</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0.7%</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Dual heritage - White</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10</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1.6%</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0.6%</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0.4%</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8</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1.2%</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6</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0.9%</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Eastern European</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0.5%</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0.6%</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0.5%</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0.6%</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tcPr>
          <w:p w:rsidR="00E87320" w:rsidRPr="002A1C34" w:rsidRDefault="00E87320" w:rsidP="00E53D0E">
            <w:pPr>
              <w:rPr>
                <w:rFonts w:ascii="Arial" w:hAnsi="Arial"/>
                <w:color w:val="000000"/>
                <w:sz w:val="20"/>
              </w:rPr>
            </w:pPr>
            <w:r w:rsidRPr="002A1C34">
              <w:rPr>
                <w:rFonts w:ascii="Arial" w:hAnsi="Arial"/>
                <w:color w:val="000000"/>
                <w:sz w:val="20"/>
              </w:rPr>
              <w:t>Gypsy/Irish Traveller</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tcPr>
          <w:p w:rsidR="00E87320" w:rsidRPr="002A1C34" w:rsidRDefault="00E87320" w:rsidP="00E53D0E">
            <w:pPr>
              <w:rPr>
                <w:rFonts w:ascii="Arial" w:hAnsi="Arial"/>
                <w:color w:val="000000"/>
                <w:sz w:val="20"/>
              </w:rPr>
            </w:pPr>
            <w:r w:rsidRPr="002A1C34">
              <w:rPr>
                <w:rFonts w:ascii="Arial" w:hAnsi="Arial"/>
                <w:color w:val="000000"/>
                <w:sz w:val="20"/>
              </w:rPr>
              <w:t>South East Asian</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0.2%</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0.4%</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1</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0.1%</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0.3%</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Other/Not stated</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21</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3.3%</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2.8%</w:t>
            </w: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31</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3.9%</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33</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4.8%</w:t>
            </w: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40</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5.9%</w:t>
            </w:r>
          </w:p>
        </w:tc>
      </w:tr>
      <w:tr w:rsidR="00E87320" w:rsidRPr="003A6F30" w:rsidTr="00E53D0E">
        <w:trPr>
          <w:trHeight w:val="300"/>
        </w:trPr>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E87320" w:rsidRPr="002A1C34" w:rsidRDefault="00E87320" w:rsidP="00E53D0E">
            <w:pPr>
              <w:rPr>
                <w:rFonts w:ascii="Arial" w:hAnsi="Arial"/>
                <w:color w:val="000000"/>
                <w:sz w:val="20"/>
              </w:rPr>
            </w:pPr>
            <w:r w:rsidRPr="002A1C34">
              <w:rPr>
                <w:rFonts w:ascii="Arial" w:hAnsi="Arial"/>
                <w:color w:val="000000"/>
                <w:sz w:val="20"/>
              </w:rPr>
              <w:t>Total</w:t>
            </w: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622</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p>
        </w:tc>
        <w:tc>
          <w:tcPr>
            <w:tcW w:w="581"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811</w:t>
            </w:r>
          </w:p>
        </w:tc>
        <w:tc>
          <w:tcPr>
            <w:tcW w:w="135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53D0E">
            <w:pPr>
              <w:jc w:val="center"/>
              <w:rPr>
                <w:rFonts w:ascii="Arial" w:hAnsi="Arial"/>
                <w:color w:val="000000"/>
                <w:sz w:val="20"/>
              </w:rPr>
            </w:pPr>
          </w:p>
        </w:tc>
        <w:tc>
          <w:tcPr>
            <w:tcW w:w="925"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788</w:t>
            </w:r>
          </w:p>
        </w:tc>
        <w:tc>
          <w:tcPr>
            <w:tcW w:w="1050" w:type="dxa"/>
            <w:tcBorders>
              <w:top w:val="nil"/>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685</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p>
        </w:tc>
        <w:tc>
          <w:tcPr>
            <w:tcW w:w="978"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r w:rsidRPr="002A1C34">
              <w:rPr>
                <w:rFonts w:ascii="Arial" w:hAnsi="Arial"/>
                <w:color w:val="000000"/>
                <w:sz w:val="20"/>
              </w:rPr>
              <w:t>690</w:t>
            </w:r>
          </w:p>
        </w:tc>
        <w:tc>
          <w:tcPr>
            <w:tcW w:w="997" w:type="dxa"/>
            <w:tcBorders>
              <w:top w:val="single" w:sz="4" w:space="0" w:color="auto"/>
              <w:left w:val="nil"/>
              <w:bottom w:val="single" w:sz="4" w:space="0" w:color="auto"/>
              <w:right w:val="single" w:sz="4" w:space="0" w:color="auto"/>
            </w:tcBorders>
            <w:vAlign w:val="center"/>
          </w:tcPr>
          <w:p w:rsidR="00E87320" w:rsidRPr="002A1C34" w:rsidRDefault="00E87320" w:rsidP="00E53D0E">
            <w:pPr>
              <w:jc w:val="center"/>
              <w:rPr>
                <w:rFonts w:ascii="Arial" w:hAnsi="Arial"/>
                <w:color w:val="000000"/>
                <w:sz w:val="20"/>
              </w:rPr>
            </w:pPr>
          </w:p>
        </w:tc>
      </w:tr>
    </w:tbl>
    <w:p w:rsidR="00E87320" w:rsidRPr="002A1C34" w:rsidRDefault="00E87320" w:rsidP="00A819EB">
      <w:pPr>
        <w:spacing w:after="200" w:line="276" w:lineRule="auto"/>
        <w:rPr>
          <w:rFonts w:ascii="Arial" w:eastAsia="Calibri" w:hAnsi="Arial"/>
          <w:u w:val="single"/>
        </w:rPr>
      </w:pPr>
    </w:p>
    <w:p w:rsidR="004126A8" w:rsidRDefault="004126A8" w:rsidP="00E53D0E">
      <w:pPr>
        <w:rPr>
          <w:rFonts w:ascii="Arial" w:eastAsia="Calibri" w:hAnsi="Arial" w:cs="Arial"/>
          <w:b/>
          <w:sz w:val="22"/>
          <w:szCs w:val="22"/>
        </w:rPr>
      </w:pPr>
    </w:p>
    <w:p w:rsidR="00A819EB" w:rsidRPr="002A1C34" w:rsidRDefault="00A819EB" w:rsidP="00E53D0E">
      <w:pPr>
        <w:rPr>
          <w:rFonts w:ascii="Arial" w:eastAsia="Calibri" w:hAnsi="Arial"/>
          <w:b/>
          <w:sz w:val="22"/>
        </w:rPr>
      </w:pPr>
      <w:r w:rsidRPr="002A1C34">
        <w:rPr>
          <w:rFonts w:ascii="Arial" w:eastAsia="Calibri" w:hAnsi="Arial"/>
          <w:b/>
          <w:sz w:val="22"/>
        </w:rPr>
        <w:t xml:space="preserve">Table </w:t>
      </w:r>
      <w:r w:rsidR="004126A8">
        <w:rPr>
          <w:rFonts w:ascii="Arial" w:eastAsia="Calibri" w:hAnsi="Arial" w:cs="Arial"/>
          <w:b/>
          <w:sz w:val="22"/>
          <w:szCs w:val="22"/>
        </w:rPr>
        <w:t>A1.</w:t>
      </w:r>
      <w:r w:rsidR="003C00FC" w:rsidRPr="002A1C34">
        <w:rPr>
          <w:rFonts w:ascii="Arial" w:eastAsia="Calibri" w:hAnsi="Arial"/>
          <w:b/>
          <w:sz w:val="22"/>
        </w:rPr>
        <w:t>2</w:t>
      </w:r>
      <w:r w:rsidRPr="002A1C34">
        <w:rPr>
          <w:rFonts w:ascii="Arial" w:eastAsia="Calibri" w:hAnsi="Arial"/>
          <w:b/>
          <w:sz w:val="22"/>
        </w:rPr>
        <w:t xml:space="preserve"> – Age of main applicant housed</w:t>
      </w:r>
    </w:p>
    <w:p w:rsidR="00E53D0E" w:rsidRPr="002A1C34" w:rsidRDefault="00E53D0E" w:rsidP="00E53D0E">
      <w:pPr>
        <w:rPr>
          <w:rFonts w:ascii="Arial" w:eastAsia="Calibri" w:hAnsi="Arial"/>
          <w:b/>
          <w:sz w:val="22"/>
        </w:rPr>
      </w:pPr>
    </w:p>
    <w:tbl>
      <w:tblPr>
        <w:tblW w:w="12783" w:type="dxa"/>
        <w:tblInd w:w="93" w:type="dxa"/>
        <w:tblLook w:val="04A0" w:firstRow="1" w:lastRow="0" w:firstColumn="1" w:lastColumn="0" w:noHBand="0" w:noVBand="1"/>
      </w:tblPr>
      <w:tblGrid>
        <w:gridCol w:w="2220"/>
        <w:gridCol w:w="914"/>
        <w:gridCol w:w="1006"/>
        <w:gridCol w:w="837"/>
        <w:gridCol w:w="1083"/>
        <w:gridCol w:w="1043"/>
        <w:gridCol w:w="1198"/>
        <w:gridCol w:w="1120"/>
        <w:gridCol w:w="1121"/>
        <w:gridCol w:w="1120"/>
        <w:gridCol w:w="1121"/>
      </w:tblGrid>
      <w:tr w:rsidR="00E87320" w:rsidRPr="003A6F30" w:rsidTr="004D146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20" w:rsidRPr="002A1C34" w:rsidRDefault="00E87320" w:rsidP="004D1466">
            <w:pPr>
              <w:rPr>
                <w:rFonts w:ascii="Arial" w:hAnsi="Arial"/>
                <w:b/>
                <w:color w:val="000000"/>
                <w:sz w:val="22"/>
                <w:u w:val="single"/>
              </w:rPr>
            </w:pPr>
            <w:r w:rsidRPr="002A1C34">
              <w:rPr>
                <w:rFonts w:ascii="Arial" w:hAnsi="Arial"/>
                <w:b/>
                <w:color w:val="000000"/>
                <w:sz w:val="22"/>
                <w:u w:val="single"/>
              </w:rPr>
              <w:t>Age</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87320" w:rsidRPr="002A1C34" w:rsidRDefault="00E87320" w:rsidP="004D1466">
            <w:pPr>
              <w:jc w:val="center"/>
              <w:rPr>
                <w:rFonts w:ascii="Arial" w:hAnsi="Arial"/>
                <w:b/>
                <w:color w:val="000000"/>
                <w:sz w:val="22"/>
              </w:rPr>
            </w:pPr>
            <w:r w:rsidRPr="002A1C34">
              <w:rPr>
                <w:rFonts w:ascii="Arial" w:hAnsi="Arial"/>
                <w:b/>
                <w:color w:val="000000"/>
                <w:sz w:val="22"/>
              </w:rPr>
              <w:t>2013/4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2014/15</w:t>
            </w:r>
          </w:p>
        </w:tc>
        <w:tc>
          <w:tcPr>
            <w:tcW w:w="2241" w:type="dxa"/>
            <w:gridSpan w:val="2"/>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2015/16</w:t>
            </w:r>
          </w:p>
        </w:tc>
        <w:tc>
          <w:tcPr>
            <w:tcW w:w="2241" w:type="dxa"/>
            <w:gridSpan w:val="2"/>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2016/17</w:t>
            </w:r>
          </w:p>
        </w:tc>
        <w:tc>
          <w:tcPr>
            <w:tcW w:w="2241" w:type="dxa"/>
            <w:gridSpan w:val="2"/>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2017/18</w:t>
            </w:r>
          </w:p>
        </w:tc>
      </w:tr>
      <w:tr w:rsidR="00E87320" w:rsidRPr="003A6F30" w:rsidTr="004D1466">
        <w:trPr>
          <w:trHeight w:val="300"/>
        </w:trPr>
        <w:tc>
          <w:tcPr>
            <w:tcW w:w="2220" w:type="dxa"/>
            <w:tcBorders>
              <w:top w:val="nil"/>
              <w:left w:val="single" w:sz="4" w:space="0" w:color="auto"/>
              <w:bottom w:val="nil"/>
              <w:right w:val="single" w:sz="4" w:space="0" w:color="auto"/>
            </w:tcBorders>
            <w:shd w:val="clear" w:color="auto" w:fill="auto"/>
            <w:noWrap/>
            <w:vAlign w:val="bottom"/>
            <w:hideMark/>
          </w:tcPr>
          <w:p w:rsidR="00E87320" w:rsidRPr="002A1C34" w:rsidRDefault="00E87320" w:rsidP="004D1466">
            <w:pPr>
              <w:rPr>
                <w:rFonts w:ascii="Arial" w:hAnsi="Arial"/>
                <w:color w:val="000000"/>
                <w:sz w:val="22"/>
                <w:u w:val="single"/>
              </w:rPr>
            </w:pPr>
          </w:p>
        </w:tc>
        <w:tc>
          <w:tcPr>
            <w:tcW w:w="914" w:type="dxa"/>
            <w:tcBorders>
              <w:top w:val="nil"/>
              <w:left w:val="nil"/>
              <w:bottom w:val="nil"/>
              <w:right w:val="single" w:sz="4" w:space="0" w:color="auto"/>
            </w:tcBorders>
            <w:shd w:val="clear" w:color="auto" w:fill="auto"/>
            <w:noWrap/>
            <w:vAlign w:val="bottom"/>
            <w:hideMark/>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No</w:t>
            </w:r>
          </w:p>
        </w:tc>
        <w:tc>
          <w:tcPr>
            <w:tcW w:w="1006" w:type="dxa"/>
            <w:tcBorders>
              <w:top w:val="nil"/>
              <w:left w:val="nil"/>
              <w:bottom w:val="nil"/>
              <w:right w:val="single" w:sz="4" w:space="0" w:color="auto"/>
            </w:tcBorders>
            <w:shd w:val="clear" w:color="auto" w:fill="auto"/>
            <w:noWrap/>
            <w:vAlign w:val="bottom"/>
            <w:hideMark/>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w:t>
            </w:r>
          </w:p>
        </w:tc>
        <w:tc>
          <w:tcPr>
            <w:tcW w:w="837" w:type="dxa"/>
            <w:tcBorders>
              <w:top w:val="nil"/>
              <w:left w:val="nil"/>
              <w:bottom w:val="nil"/>
              <w:right w:val="single" w:sz="4" w:space="0" w:color="auto"/>
            </w:tcBorders>
            <w:shd w:val="clear" w:color="auto" w:fill="auto"/>
            <w:noWrap/>
            <w:vAlign w:val="bottom"/>
            <w:hideMark/>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No</w:t>
            </w:r>
          </w:p>
        </w:tc>
        <w:tc>
          <w:tcPr>
            <w:tcW w:w="1083" w:type="dxa"/>
            <w:tcBorders>
              <w:top w:val="nil"/>
              <w:left w:val="nil"/>
              <w:bottom w:val="nil"/>
              <w:right w:val="single" w:sz="4" w:space="0" w:color="auto"/>
            </w:tcBorders>
            <w:shd w:val="clear" w:color="auto" w:fill="auto"/>
            <w:noWrap/>
            <w:vAlign w:val="bottom"/>
            <w:hideMark/>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w:t>
            </w:r>
          </w:p>
        </w:tc>
        <w:tc>
          <w:tcPr>
            <w:tcW w:w="1043" w:type="dxa"/>
            <w:tcBorders>
              <w:top w:val="nil"/>
              <w:left w:val="nil"/>
              <w:bottom w:val="nil"/>
              <w:right w:val="single" w:sz="4" w:space="0" w:color="auto"/>
            </w:tcBorders>
            <w:vAlign w:val="bottom"/>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No</w:t>
            </w:r>
          </w:p>
        </w:tc>
        <w:tc>
          <w:tcPr>
            <w:tcW w:w="1198" w:type="dxa"/>
            <w:tcBorders>
              <w:top w:val="nil"/>
              <w:left w:val="nil"/>
              <w:bottom w:val="nil"/>
              <w:right w:val="single" w:sz="4" w:space="0" w:color="auto"/>
            </w:tcBorders>
            <w:vAlign w:val="bottom"/>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No</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No</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w:t>
            </w:r>
          </w:p>
        </w:tc>
      </w:tr>
      <w:tr w:rsidR="00E87320" w:rsidRPr="003A6F30" w:rsidTr="004D1466">
        <w:trPr>
          <w:trHeight w:val="300"/>
        </w:trPr>
        <w:tc>
          <w:tcPr>
            <w:tcW w:w="2220" w:type="dxa"/>
            <w:tcBorders>
              <w:top w:val="single" w:sz="4" w:space="0" w:color="auto"/>
              <w:left w:val="single" w:sz="4" w:space="0" w:color="auto"/>
              <w:bottom w:val="nil"/>
              <w:right w:val="single" w:sz="4" w:space="0" w:color="auto"/>
            </w:tcBorders>
            <w:shd w:val="clear" w:color="auto" w:fill="auto"/>
            <w:noWrap/>
            <w:vAlign w:val="bottom"/>
            <w:hideMark/>
          </w:tcPr>
          <w:p w:rsidR="00E87320" w:rsidRPr="002A1C34" w:rsidRDefault="00E87320" w:rsidP="004D1466">
            <w:pPr>
              <w:rPr>
                <w:rFonts w:ascii="Arial" w:hAnsi="Arial"/>
                <w:color w:val="000000"/>
                <w:sz w:val="22"/>
              </w:rPr>
            </w:pPr>
            <w:r w:rsidRPr="002A1C34">
              <w:rPr>
                <w:rFonts w:ascii="Arial" w:hAnsi="Arial"/>
                <w:color w:val="000000"/>
                <w:sz w:val="22"/>
              </w:rPr>
              <w:t>16-24</w:t>
            </w:r>
          </w:p>
        </w:tc>
        <w:tc>
          <w:tcPr>
            <w:tcW w:w="914"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49</w:t>
            </w:r>
          </w:p>
        </w:tc>
        <w:tc>
          <w:tcPr>
            <w:tcW w:w="1006"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7.9%</w:t>
            </w: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91</w:t>
            </w:r>
          </w:p>
        </w:tc>
        <w:tc>
          <w:tcPr>
            <w:tcW w:w="1083"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11.2%</w:t>
            </w:r>
          </w:p>
        </w:tc>
        <w:tc>
          <w:tcPr>
            <w:tcW w:w="1043"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116</w:t>
            </w:r>
          </w:p>
        </w:tc>
        <w:tc>
          <w:tcPr>
            <w:tcW w:w="1198"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14.7%</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100</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14.6%</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101</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14.6%</w:t>
            </w:r>
          </w:p>
        </w:tc>
      </w:tr>
      <w:tr w:rsidR="00E87320" w:rsidRPr="003A6F30" w:rsidTr="004D1466">
        <w:trPr>
          <w:trHeight w:val="300"/>
        </w:trPr>
        <w:tc>
          <w:tcPr>
            <w:tcW w:w="2220" w:type="dxa"/>
            <w:tcBorders>
              <w:top w:val="single" w:sz="4" w:space="0" w:color="auto"/>
              <w:left w:val="single" w:sz="4" w:space="0" w:color="auto"/>
              <w:bottom w:val="nil"/>
              <w:right w:val="single" w:sz="4" w:space="0" w:color="auto"/>
            </w:tcBorders>
            <w:shd w:val="clear" w:color="auto" w:fill="auto"/>
            <w:noWrap/>
            <w:vAlign w:val="bottom"/>
            <w:hideMark/>
          </w:tcPr>
          <w:p w:rsidR="00E87320" w:rsidRPr="002A1C34" w:rsidRDefault="00E87320" w:rsidP="004D1466">
            <w:pPr>
              <w:rPr>
                <w:rFonts w:ascii="Arial" w:hAnsi="Arial"/>
                <w:color w:val="000000"/>
                <w:sz w:val="22"/>
              </w:rPr>
            </w:pPr>
            <w:r w:rsidRPr="002A1C34">
              <w:rPr>
                <w:rFonts w:ascii="Arial" w:hAnsi="Arial"/>
                <w:color w:val="000000"/>
                <w:sz w:val="22"/>
              </w:rPr>
              <w:t>25-44</w:t>
            </w:r>
          </w:p>
        </w:tc>
        <w:tc>
          <w:tcPr>
            <w:tcW w:w="914"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274</w:t>
            </w:r>
          </w:p>
        </w:tc>
        <w:tc>
          <w:tcPr>
            <w:tcW w:w="1006"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44.1%</w:t>
            </w:r>
          </w:p>
        </w:tc>
        <w:tc>
          <w:tcPr>
            <w:tcW w:w="837" w:type="dxa"/>
            <w:tcBorders>
              <w:top w:val="nil"/>
              <w:left w:val="nil"/>
              <w:bottom w:val="single" w:sz="4" w:space="0" w:color="auto"/>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372</w:t>
            </w:r>
          </w:p>
        </w:tc>
        <w:tc>
          <w:tcPr>
            <w:tcW w:w="1083"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45.9%</w:t>
            </w:r>
          </w:p>
        </w:tc>
        <w:tc>
          <w:tcPr>
            <w:tcW w:w="1043"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364</w:t>
            </w:r>
          </w:p>
        </w:tc>
        <w:tc>
          <w:tcPr>
            <w:tcW w:w="1198"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46.2%</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328</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47.9%</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330</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47.8%</w:t>
            </w:r>
          </w:p>
        </w:tc>
      </w:tr>
      <w:tr w:rsidR="00E87320" w:rsidRPr="003A6F30" w:rsidTr="004D1466">
        <w:trPr>
          <w:trHeight w:val="300"/>
        </w:trPr>
        <w:tc>
          <w:tcPr>
            <w:tcW w:w="2220" w:type="dxa"/>
            <w:tcBorders>
              <w:top w:val="single" w:sz="4" w:space="0" w:color="auto"/>
              <w:left w:val="single" w:sz="4" w:space="0" w:color="auto"/>
              <w:bottom w:val="nil"/>
              <w:right w:val="single" w:sz="4" w:space="0" w:color="auto"/>
            </w:tcBorders>
            <w:shd w:val="clear" w:color="auto" w:fill="auto"/>
            <w:noWrap/>
            <w:vAlign w:val="bottom"/>
            <w:hideMark/>
          </w:tcPr>
          <w:p w:rsidR="00E87320" w:rsidRPr="002A1C34" w:rsidRDefault="00E87320" w:rsidP="004D1466">
            <w:pPr>
              <w:rPr>
                <w:rFonts w:ascii="Arial" w:hAnsi="Arial"/>
                <w:color w:val="000000"/>
                <w:sz w:val="22"/>
              </w:rPr>
            </w:pPr>
            <w:r w:rsidRPr="002A1C34">
              <w:rPr>
                <w:rFonts w:ascii="Arial" w:hAnsi="Arial"/>
                <w:color w:val="000000"/>
                <w:sz w:val="22"/>
              </w:rPr>
              <w:t>45-59</w:t>
            </w:r>
          </w:p>
        </w:tc>
        <w:tc>
          <w:tcPr>
            <w:tcW w:w="914"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144</w:t>
            </w:r>
          </w:p>
        </w:tc>
        <w:tc>
          <w:tcPr>
            <w:tcW w:w="1006"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23.2%</w:t>
            </w:r>
          </w:p>
        </w:tc>
        <w:tc>
          <w:tcPr>
            <w:tcW w:w="837" w:type="dxa"/>
            <w:tcBorders>
              <w:top w:val="nil"/>
              <w:left w:val="nil"/>
              <w:bottom w:val="single" w:sz="4" w:space="0" w:color="auto"/>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177</w:t>
            </w:r>
          </w:p>
        </w:tc>
        <w:tc>
          <w:tcPr>
            <w:tcW w:w="1083"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21.8%</w:t>
            </w:r>
          </w:p>
        </w:tc>
        <w:tc>
          <w:tcPr>
            <w:tcW w:w="1043"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174</w:t>
            </w:r>
          </w:p>
        </w:tc>
        <w:tc>
          <w:tcPr>
            <w:tcW w:w="1198"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22.1%</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147</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21.5%</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157</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22.8%</w:t>
            </w:r>
          </w:p>
        </w:tc>
      </w:tr>
      <w:tr w:rsidR="00E87320" w:rsidRPr="003A6F30" w:rsidTr="004D1466">
        <w:trPr>
          <w:trHeight w:val="300"/>
        </w:trPr>
        <w:tc>
          <w:tcPr>
            <w:tcW w:w="2220" w:type="dxa"/>
            <w:tcBorders>
              <w:top w:val="single" w:sz="4" w:space="0" w:color="auto"/>
              <w:left w:val="single" w:sz="4" w:space="0" w:color="auto"/>
              <w:bottom w:val="nil"/>
              <w:right w:val="single" w:sz="4" w:space="0" w:color="auto"/>
            </w:tcBorders>
            <w:shd w:val="clear" w:color="auto" w:fill="auto"/>
            <w:noWrap/>
            <w:vAlign w:val="bottom"/>
            <w:hideMark/>
          </w:tcPr>
          <w:p w:rsidR="00E87320" w:rsidRPr="002A1C34" w:rsidRDefault="00E87320" w:rsidP="004D1466">
            <w:pPr>
              <w:rPr>
                <w:rFonts w:ascii="Arial" w:hAnsi="Arial"/>
                <w:color w:val="000000"/>
                <w:sz w:val="22"/>
              </w:rPr>
            </w:pPr>
            <w:r w:rsidRPr="002A1C34">
              <w:rPr>
                <w:rFonts w:ascii="Arial" w:hAnsi="Arial"/>
                <w:color w:val="000000"/>
                <w:sz w:val="22"/>
              </w:rPr>
              <w:t>60-64</w:t>
            </w:r>
          </w:p>
        </w:tc>
        <w:tc>
          <w:tcPr>
            <w:tcW w:w="914"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41</w:t>
            </w:r>
          </w:p>
        </w:tc>
        <w:tc>
          <w:tcPr>
            <w:tcW w:w="1006"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6.6%</w:t>
            </w:r>
          </w:p>
        </w:tc>
        <w:tc>
          <w:tcPr>
            <w:tcW w:w="837" w:type="dxa"/>
            <w:tcBorders>
              <w:top w:val="nil"/>
              <w:left w:val="nil"/>
              <w:bottom w:val="single" w:sz="4" w:space="0" w:color="auto"/>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54</w:t>
            </w:r>
          </w:p>
        </w:tc>
        <w:tc>
          <w:tcPr>
            <w:tcW w:w="1083"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6.7%</w:t>
            </w:r>
          </w:p>
        </w:tc>
        <w:tc>
          <w:tcPr>
            <w:tcW w:w="1043"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33</w:t>
            </w:r>
          </w:p>
        </w:tc>
        <w:tc>
          <w:tcPr>
            <w:tcW w:w="1198"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4.2%</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33</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4.8%</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38</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5.5%</w:t>
            </w:r>
          </w:p>
        </w:tc>
      </w:tr>
      <w:tr w:rsidR="00E87320" w:rsidRPr="003A6F30" w:rsidTr="004D1466">
        <w:trPr>
          <w:trHeight w:val="300"/>
        </w:trPr>
        <w:tc>
          <w:tcPr>
            <w:tcW w:w="2220" w:type="dxa"/>
            <w:tcBorders>
              <w:top w:val="single" w:sz="4" w:space="0" w:color="auto"/>
              <w:left w:val="single" w:sz="4" w:space="0" w:color="auto"/>
              <w:bottom w:val="nil"/>
              <w:right w:val="single" w:sz="4" w:space="0" w:color="auto"/>
            </w:tcBorders>
            <w:shd w:val="clear" w:color="auto" w:fill="auto"/>
            <w:noWrap/>
            <w:vAlign w:val="bottom"/>
            <w:hideMark/>
          </w:tcPr>
          <w:p w:rsidR="00E87320" w:rsidRPr="002A1C34" w:rsidRDefault="00E87320" w:rsidP="004D1466">
            <w:pPr>
              <w:rPr>
                <w:rFonts w:ascii="Arial" w:hAnsi="Arial"/>
                <w:color w:val="000000"/>
                <w:sz w:val="22"/>
              </w:rPr>
            </w:pPr>
            <w:r w:rsidRPr="002A1C34">
              <w:rPr>
                <w:rFonts w:ascii="Arial" w:hAnsi="Arial"/>
                <w:color w:val="000000"/>
                <w:sz w:val="22"/>
              </w:rPr>
              <w:t>65-74</w:t>
            </w:r>
          </w:p>
        </w:tc>
        <w:tc>
          <w:tcPr>
            <w:tcW w:w="914"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58</w:t>
            </w:r>
          </w:p>
        </w:tc>
        <w:tc>
          <w:tcPr>
            <w:tcW w:w="1006"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9.3%</w:t>
            </w:r>
          </w:p>
        </w:tc>
        <w:tc>
          <w:tcPr>
            <w:tcW w:w="837" w:type="dxa"/>
            <w:tcBorders>
              <w:top w:val="nil"/>
              <w:left w:val="nil"/>
              <w:bottom w:val="single" w:sz="4" w:space="0" w:color="auto"/>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69</w:t>
            </w:r>
          </w:p>
        </w:tc>
        <w:tc>
          <w:tcPr>
            <w:tcW w:w="1083"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8.5%</w:t>
            </w:r>
          </w:p>
        </w:tc>
        <w:tc>
          <w:tcPr>
            <w:tcW w:w="1043"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54</w:t>
            </w:r>
          </w:p>
        </w:tc>
        <w:tc>
          <w:tcPr>
            <w:tcW w:w="1198"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6.9%</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53</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7.7%</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39</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5.7%</w:t>
            </w:r>
          </w:p>
        </w:tc>
      </w:tr>
      <w:tr w:rsidR="00E87320" w:rsidRPr="003A6F30" w:rsidTr="004D1466">
        <w:trPr>
          <w:trHeight w:val="300"/>
        </w:trPr>
        <w:tc>
          <w:tcPr>
            <w:tcW w:w="2220" w:type="dxa"/>
            <w:tcBorders>
              <w:top w:val="single" w:sz="4" w:space="0" w:color="auto"/>
              <w:left w:val="single" w:sz="4" w:space="0" w:color="auto"/>
              <w:bottom w:val="nil"/>
              <w:right w:val="single" w:sz="4" w:space="0" w:color="auto"/>
            </w:tcBorders>
            <w:shd w:val="clear" w:color="auto" w:fill="auto"/>
            <w:noWrap/>
            <w:vAlign w:val="bottom"/>
            <w:hideMark/>
          </w:tcPr>
          <w:p w:rsidR="00E87320" w:rsidRPr="002A1C34" w:rsidRDefault="00E87320" w:rsidP="004D1466">
            <w:pPr>
              <w:rPr>
                <w:rFonts w:ascii="Arial" w:hAnsi="Arial"/>
                <w:color w:val="000000"/>
                <w:sz w:val="22"/>
              </w:rPr>
            </w:pPr>
            <w:r w:rsidRPr="002A1C34">
              <w:rPr>
                <w:rFonts w:ascii="Arial" w:hAnsi="Arial"/>
                <w:color w:val="000000"/>
                <w:sz w:val="22"/>
              </w:rPr>
              <w:t>75+</w:t>
            </w:r>
          </w:p>
        </w:tc>
        <w:tc>
          <w:tcPr>
            <w:tcW w:w="914"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56</w:t>
            </w:r>
          </w:p>
        </w:tc>
        <w:tc>
          <w:tcPr>
            <w:tcW w:w="1006"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9.0%</w:t>
            </w:r>
          </w:p>
        </w:tc>
        <w:tc>
          <w:tcPr>
            <w:tcW w:w="837" w:type="dxa"/>
            <w:tcBorders>
              <w:top w:val="nil"/>
              <w:left w:val="nil"/>
              <w:bottom w:val="single" w:sz="4" w:space="0" w:color="auto"/>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48</w:t>
            </w:r>
          </w:p>
        </w:tc>
        <w:tc>
          <w:tcPr>
            <w:tcW w:w="1083" w:type="dxa"/>
            <w:tcBorders>
              <w:top w:val="single" w:sz="4" w:space="0" w:color="auto"/>
              <w:left w:val="nil"/>
              <w:bottom w:val="nil"/>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5.9%</w:t>
            </w:r>
          </w:p>
        </w:tc>
        <w:tc>
          <w:tcPr>
            <w:tcW w:w="1043"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47</w:t>
            </w:r>
          </w:p>
        </w:tc>
        <w:tc>
          <w:tcPr>
            <w:tcW w:w="1198" w:type="dxa"/>
            <w:tcBorders>
              <w:top w:val="single" w:sz="4" w:space="0" w:color="auto"/>
              <w:left w:val="nil"/>
              <w:bottom w:val="nil"/>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6.0%</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24</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3.5%</w:t>
            </w: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25</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3.6%</w:t>
            </w:r>
          </w:p>
        </w:tc>
      </w:tr>
      <w:tr w:rsidR="00E87320" w:rsidRPr="003A6F30" w:rsidTr="004D146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20" w:rsidRPr="002A1C34" w:rsidRDefault="00E87320" w:rsidP="004D1466">
            <w:pPr>
              <w:rPr>
                <w:rFonts w:ascii="Arial" w:hAnsi="Arial"/>
                <w:color w:val="000000"/>
                <w:sz w:val="22"/>
              </w:rPr>
            </w:pPr>
            <w:r w:rsidRPr="002A1C34">
              <w:rPr>
                <w:rFonts w:ascii="Arial" w:hAnsi="Arial"/>
                <w:color w:val="000000"/>
                <w:sz w:val="22"/>
              </w:rPr>
              <w:t>Total</w:t>
            </w:r>
          </w:p>
        </w:tc>
        <w:tc>
          <w:tcPr>
            <w:tcW w:w="914" w:type="dxa"/>
            <w:tcBorders>
              <w:top w:val="single" w:sz="4" w:space="0" w:color="auto"/>
              <w:left w:val="nil"/>
              <w:bottom w:val="single" w:sz="4" w:space="0" w:color="auto"/>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622</w:t>
            </w:r>
          </w:p>
        </w:tc>
        <w:tc>
          <w:tcPr>
            <w:tcW w:w="1006" w:type="dxa"/>
            <w:tcBorders>
              <w:top w:val="single" w:sz="4" w:space="0" w:color="auto"/>
              <w:left w:val="nil"/>
              <w:bottom w:val="single" w:sz="4" w:space="0" w:color="auto"/>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p>
        </w:tc>
        <w:tc>
          <w:tcPr>
            <w:tcW w:w="837" w:type="dxa"/>
            <w:tcBorders>
              <w:top w:val="nil"/>
              <w:left w:val="nil"/>
              <w:bottom w:val="single" w:sz="4" w:space="0" w:color="auto"/>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r w:rsidRPr="002A1C34">
              <w:rPr>
                <w:rFonts w:ascii="Arial" w:hAnsi="Arial"/>
                <w:color w:val="000000"/>
                <w:sz w:val="22"/>
              </w:rPr>
              <w:t>811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E87320" w:rsidRPr="002A1C34" w:rsidRDefault="00E87320" w:rsidP="004D1466">
            <w:pPr>
              <w:jc w:val="center"/>
              <w:rPr>
                <w:rFonts w:ascii="Arial" w:hAnsi="Arial"/>
                <w:color w:val="000000"/>
                <w:sz w:val="22"/>
              </w:rPr>
            </w:pPr>
          </w:p>
        </w:tc>
        <w:tc>
          <w:tcPr>
            <w:tcW w:w="1043"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788</w:t>
            </w:r>
          </w:p>
        </w:tc>
        <w:tc>
          <w:tcPr>
            <w:tcW w:w="1198"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685</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p>
        </w:tc>
        <w:tc>
          <w:tcPr>
            <w:tcW w:w="1120"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r w:rsidRPr="002A1C34">
              <w:rPr>
                <w:rFonts w:ascii="Arial" w:hAnsi="Arial"/>
                <w:color w:val="000000"/>
                <w:sz w:val="22"/>
              </w:rPr>
              <w:t>690</w:t>
            </w:r>
          </w:p>
        </w:tc>
        <w:tc>
          <w:tcPr>
            <w:tcW w:w="1121" w:type="dxa"/>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color w:val="000000"/>
                <w:sz w:val="22"/>
              </w:rPr>
            </w:pPr>
          </w:p>
        </w:tc>
      </w:tr>
    </w:tbl>
    <w:p w:rsidR="00E53D0E" w:rsidRPr="002A1C34" w:rsidRDefault="00E53D0E" w:rsidP="00A819EB">
      <w:pPr>
        <w:spacing w:after="200" w:line="276" w:lineRule="auto"/>
        <w:rPr>
          <w:rFonts w:ascii="Arial" w:eastAsia="Calibri" w:hAnsi="Arial"/>
          <w:sz w:val="22"/>
          <w:u w:val="single"/>
        </w:rPr>
      </w:pPr>
    </w:p>
    <w:p w:rsidR="00A819EB" w:rsidRPr="002A1C34" w:rsidRDefault="00A819EB" w:rsidP="00E53D0E">
      <w:pPr>
        <w:rPr>
          <w:rFonts w:ascii="Arial" w:eastAsia="Calibri" w:hAnsi="Arial"/>
          <w:b/>
          <w:sz w:val="22"/>
        </w:rPr>
      </w:pPr>
      <w:r w:rsidRPr="002A1C34">
        <w:rPr>
          <w:rFonts w:ascii="Arial" w:eastAsia="Calibri" w:hAnsi="Arial"/>
          <w:b/>
          <w:sz w:val="22"/>
        </w:rPr>
        <w:t xml:space="preserve">Table </w:t>
      </w:r>
      <w:r w:rsidR="004126A8">
        <w:rPr>
          <w:rFonts w:ascii="Arial" w:eastAsia="Calibri" w:hAnsi="Arial" w:cs="Arial"/>
          <w:b/>
          <w:sz w:val="22"/>
          <w:szCs w:val="22"/>
        </w:rPr>
        <w:t>A1.</w:t>
      </w:r>
      <w:r w:rsidR="003C00FC" w:rsidRPr="002A1C34">
        <w:rPr>
          <w:rFonts w:ascii="Arial" w:eastAsia="Calibri" w:hAnsi="Arial"/>
          <w:b/>
          <w:sz w:val="22"/>
        </w:rPr>
        <w:t>3</w:t>
      </w:r>
      <w:r w:rsidRPr="002A1C34">
        <w:rPr>
          <w:rFonts w:ascii="Arial" w:eastAsia="Calibri" w:hAnsi="Arial"/>
          <w:b/>
          <w:sz w:val="22"/>
        </w:rPr>
        <w:t xml:space="preserve"> – Gender of main applicant housed</w:t>
      </w:r>
    </w:p>
    <w:p w:rsidR="00E53D0E" w:rsidRPr="002A1C34" w:rsidRDefault="00E53D0E" w:rsidP="00E53D0E">
      <w:pPr>
        <w:rPr>
          <w:rFonts w:ascii="Arial" w:eastAsia="Calibri" w:hAnsi="Arial"/>
          <w:b/>
          <w:sz w:val="22"/>
        </w:rPr>
      </w:pPr>
    </w:p>
    <w:tbl>
      <w:tblPr>
        <w:tblW w:w="12773" w:type="dxa"/>
        <w:tblInd w:w="93" w:type="dxa"/>
        <w:tblLook w:val="04A0" w:firstRow="1" w:lastRow="0" w:firstColumn="1" w:lastColumn="0" w:noHBand="0" w:noVBand="1"/>
      </w:tblPr>
      <w:tblGrid>
        <w:gridCol w:w="2220"/>
        <w:gridCol w:w="1056"/>
        <w:gridCol w:w="864"/>
        <w:gridCol w:w="837"/>
        <w:gridCol w:w="1083"/>
        <w:gridCol w:w="1043"/>
        <w:gridCol w:w="1134"/>
        <w:gridCol w:w="992"/>
        <w:gridCol w:w="1276"/>
        <w:gridCol w:w="1134"/>
        <w:gridCol w:w="1134"/>
      </w:tblGrid>
      <w:tr w:rsidR="00E87320" w:rsidRPr="00693031" w:rsidTr="004D146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20" w:rsidRPr="002A1C34" w:rsidRDefault="00E87320" w:rsidP="004D1466">
            <w:pPr>
              <w:rPr>
                <w:rFonts w:ascii="Arial" w:hAnsi="Arial"/>
                <w:b/>
                <w:color w:val="000000"/>
                <w:sz w:val="22"/>
                <w:u w:val="single"/>
              </w:rPr>
            </w:pPr>
            <w:r w:rsidRPr="002A1C34">
              <w:rPr>
                <w:rFonts w:ascii="Arial" w:hAnsi="Arial"/>
                <w:b/>
                <w:color w:val="000000"/>
                <w:sz w:val="22"/>
                <w:u w:val="single"/>
              </w:rPr>
              <w:t>Gender</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87320" w:rsidRPr="002A1C34" w:rsidRDefault="00E87320" w:rsidP="004D1466">
            <w:pPr>
              <w:jc w:val="center"/>
              <w:rPr>
                <w:rFonts w:ascii="Arial" w:hAnsi="Arial"/>
                <w:b/>
                <w:color w:val="000000"/>
                <w:sz w:val="22"/>
              </w:rPr>
            </w:pPr>
            <w:r w:rsidRPr="002A1C34">
              <w:rPr>
                <w:rFonts w:ascii="Arial" w:hAnsi="Arial"/>
                <w:b/>
                <w:color w:val="000000"/>
                <w:sz w:val="22"/>
              </w:rPr>
              <w:t>2013/4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2014/15</w:t>
            </w:r>
          </w:p>
        </w:tc>
        <w:tc>
          <w:tcPr>
            <w:tcW w:w="2177" w:type="dxa"/>
            <w:gridSpan w:val="2"/>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2015/16</w:t>
            </w:r>
          </w:p>
        </w:tc>
        <w:tc>
          <w:tcPr>
            <w:tcW w:w="2268" w:type="dxa"/>
            <w:gridSpan w:val="2"/>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2016/17</w:t>
            </w:r>
          </w:p>
        </w:tc>
        <w:tc>
          <w:tcPr>
            <w:tcW w:w="2268" w:type="dxa"/>
            <w:gridSpan w:val="2"/>
            <w:tcBorders>
              <w:top w:val="single" w:sz="4" w:space="0" w:color="auto"/>
              <w:left w:val="nil"/>
              <w:bottom w:val="single" w:sz="4" w:space="0" w:color="auto"/>
              <w:right w:val="single" w:sz="4" w:space="0" w:color="auto"/>
            </w:tcBorders>
          </w:tcPr>
          <w:p w:rsidR="00E87320" w:rsidRPr="002A1C34" w:rsidRDefault="00E87320" w:rsidP="004D1466">
            <w:pPr>
              <w:jc w:val="center"/>
              <w:rPr>
                <w:rFonts w:ascii="Arial" w:hAnsi="Arial"/>
                <w:b/>
                <w:color w:val="000000"/>
                <w:sz w:val="22"/>
                <w:u w:val="single"/>
              </w:rPr>
            </w:pPr>
            <w:r w:rsidRPr="002A1C34">
              <w:rPr>
                <w:rFonts w:ascii="Arial" w:hAnsi="Arial"/>
                <w:b/>
                <w:color w:val="000000"/>
                <w:sz w:val="22"/>
                <w:u w:val="single"/>
              </w:rPr>
              <w:t>2017/18</w:t>
            </w:r>
          </w:p>
        </w:tc>
      </w:tr>
      <w:tr w:rsidR="00E87320" w:rsidRPr="00693031" w:rsidTr="00E87320">
        <w:trPr>
          <w:trHeight w:val="300"/>
        </w:trPr>
        <w:tc>
          <w:tcPr>
            <w:tcW w:w="2220" w:type="dxa"/>
            <w:tcBorders>
              <w:top w:val="nil"/>
              <w:left w:val="single" w:sz="4" w:space="0" w:color="auto"/>
              <w:bottom w:val="nil"/>
              <w:right w:val="single" w:sz="4" w:space="0" w:color="auto"/>
            </w:tcBorders>
            <w:shd w:val="clear" w:color="auto" w:fill="auto"/>
            <w:noWrap/>
            <w:vAlign w:val="bottom"/>
            <w:hideMark/>
          </w:tcPr>
          <w:p w:rsidR="00E87320" w:rsidRPr="002A1C34" w:rsidRDefault="00E87320" w:rsidP="004D1466">
            <w:pPr>
              <w:rPr>
                <w:rFonts w:ascii="Arial" w:hAnsi="Arial"/>
                <w:color w:val="000000"/>
                <w:sz w:val="22"/>
                <w:u w:val="single"/>
              </w:rPr>
            </w:pPr>
          </w:p>
        </w:tc>
        <w:tc>
          <w:tcPr>
            <w:tcW w:w="1056" w:type="dxa"/>
            <w:tcBorders>
              <w:top w:val="nil"/>
              <w:left w:val="nil"/>
              <w:bottom w:val="nil"/>
              <w:right w:val="single" w:sz="4" w:space="0" w:color="auto"/>
            </w:tcBorders>
            <w:shd w:val="clear" w:color="auto" w:fill="auto"/>
            <w:noWrap/>
            <w:vAlign w:val="center"/>
            <w:hideMark/>
          </w:tcPr>
          <w:p w:rsidR="00E87320" w:rsidRPr="002A1C34" w:rsidRDefault="00E87320" w:rsidP="00E87320">
            <w:pPr>
              <w:jc w:val="center"/>
              <w:rPr>
                <w:rFonts w:ascii="Arial" w:hAnsi="Arial"/>
                <w:b/>
                <w:color w:val="000000"/>
                <w:sz w:val="22"/>
                <w:u w:val="single"/>
              </w:rPr>
            </w:pPr>
            <w:r w:rsidRPr="002A1C34">
              <w:rPr>
                <w:rFonts w:ascii="Arial" w:hAnsi="Arial"/>
                <w:b/>
                <w:color w:val="000000"/>
                <w:sz w:val="22"/>
                <w:u w:val="single"/>
              </w:rPr>
              <w:t>No</w:t>
            </w:r>
          </w:p>
        </w:tc>
        <w:tc>
          <w:tcPr>
            <w:tcW w:w="864" w:type="dxa"/>
            <w:tcBorders>
              <w:top w:val="nil"/>
              <w:left w:val="nil"/>
              <w:bottom w:val="nil"/>
              <w:right w:val="single" w:sz="4" w:space="0" w:color="auto"/>
            </w:tcBorders>
            <w:shd w:val="clear" w:color="auto" w:fill="auto"/>
            <w:noWrap/>
            <w:vAlign w:val="center"/>
            <w:hideMark/>
          </w:tcPr>
          <w:p w:rsidR="00E87320" w:rsidRPr="002A1C34" w:rsidRDefault="00E87320" w:rsidP="00E87320">
            <w:pPr>
              <w:jc w:val="center"/>
              <w:rPr>
                <w:rFonts w:ascii="Arial" w:hAnsi="Arial"/>
                <w:b/>
                <w:color w:val="000000"/>
                <w:sz w:val="22"/>
                <w:u w:val="single"/>
              </w:rPr>
            </w:pPr>
            <w:r w:rsidRPr="002A1C34">
              <w:rPr>
                <w:rFonts w:ascii="Arial" w:hAnsi="Arial"/>
                <w:b/>
                <w:color w:val="000000"/>
                <w:sz w:val="22"/>
                <w:u w:val="single"/>
              </w:rPr>
              <w:t>%</w:t>
            </w:r>
          </w:p>
        </w:tc>
        <w:tc>
          <w:tcPr>
            <w:tcW w:w="837" w:type="dxa"/>
            <w:tcBorders>
              <w:top w:val="nil"/>
              <w:left w:val="nil"/>
              <w:bottom w:val="nil"/>
              <w:right w:val="single" w:sz="4" w:space="0" w:color="auto"/>
            </w:tcBorders>
            <w:shd w:val="clear" w:color="auto" w:fill="auto"/>
            <w:noWrap/>
            <w:vAlign w:val="center"/>
            <w:hideMark/>
          </w:tcPr>
          <w:p w:rsidR="00E87320" w:rsidRPr="002A1C34" w:rsidRDefault="00E87320" w:rsidP="00E87320">
            <w:pPr>
              <w:jc w:val="center"/>
              <w:rPr>
                <w:rFonts w:ascii="Arial" w:hAnsi="Arial"/>
                <w:b/>
                <w:color w:val="000000"/>
                <w:sz w:val="22"/>
                <w:u w:val="single"/>
              </w:rPr>
            </w:pPr>
            <w:r w:rsidRPr="002A1C34">
              <w:rPr>
                <w:rFonts w:ascii="Arial" w:hAnsi="Arial"/>
                <w:b/>
                <w:color w:val="000000"/>
                <w:sz w:val="22"/>
                <w:u w:val="single"/>
              </w:rPr>
              <w:t>No</w:t>
            </w:r>
          </w:p>
        </w:tc>
        <w:tc>
          <w:tcPr>
            <w:tcW w:w="1083" w:type="dxa"/>
            <w:tcBorders>
              <w:top w:val="nil"/>
              <w:left w:val="nil"/>
              <w:bottom w:val="nil"/>
              <w:right w:val="single" w:sz="4" w:space="0" w:color="auto"/>
            </w:tcBorders>
            <w:shd w:val="clear" w:color="auto" w:fill="auto"/>
            <w:noWrap/>
            <w:vAlign w:val="center"/>
            <w:hideMark/>
          </w:tcPr>
          <w:p w:rsidR="00E87320" w:rsidRPr="002A1C34" w:rsidRDefault="00E87320" w:rsidP="00E87320">
            <w:pPr>
              <w:jc w:val="center"/>
              <w:rPr>
                <w:rFonts w:ascii="Arial" w:hAnsi="Arial"/>
                <w:b/>
                <w:color w:val="000000"/>
                <w:sz w:val="22"/>
              </w:rPr>
            </w:pPr>
            <w:r w:rsidRPr="002A1C34">
              <w:rPr>
                <w:rFonts w:ascii="Arial" w:hAnsi="Arial"/>
                <w:b/>
                <w:color w:val="000000"/>
                <w:sz w:val="22"/>
              </w:rPr>
              <w:t>%</w:t>
            </w:r>
          </w:p>
        </w:tc>
        <w:tc>
          <w:tcPr>
            <w:tcW w:w="1043" w:type="dxa"/>
            <w:tcBorders>
              <w:top w:val="nil"/>
              <w:left w:val="nil"/>
              <w:bottom w:val="nil"/>
              <w:right w:val="single" w:sz="4" w:space="0" w:color="auto"/>
            </w:tcBorders>
            <w:vAlign w:val="center"/>
          </w:tcPr>
          <w:p w:rsidR="00E87320" w:rsidRPr="002A1C34" w:rsidRDefault="00E87320" w:rsidP="00E87320">
            <w:pPr>
              <w:jc w:val="center"/>
              <w:rPr>
                <w:rFonts w:ascii="Arial" w:hAnsi="Arial"/>
                <w:b/>
                <w:color w:val="000000"/>
                <w:sz w:val="22"/>
                <w:u w:val="single"/>
              </w:rPr>
            </w:pPr>
            <w:r w:rsidRPr="002A1C34">
              <w:rPr>
                <w:rFonts w:ascii="Arial" w:hAnsi="Arial"/>
                <w:b/>
                <w:color w:val="000000"/>
                <w:sz w:val="22"/>
                <w:u w:val="single"/>
              </w:rPr>
              <w:t>No</w:t>
            </w:r>
          </w:p>
        </w:tc>
        <w:tc>
          <w:tcPr>
            <w:tcW w:w="1134" w:type="dxa"/>
            <w:tcBorders>
              <w:top w:val="nil"/>
              <w:left w:val="nil"/>
              <w:bottom w:val="nil"/>
              <w:right w:val="single" w:sz="4" w:space="0" w:color="auto"/>
            </w:tcBorders>
            <w:vAlign w:val="center"/>
          </w:tcPr>
          <w:p w:rsidR="00E87320" w:rsidRPr="002A1C34" w:rsidRDefault="00E87320" w:rsidP="00E87320">
            <w:pPr>
              <w:jc w:val="center"/>
              <w:rPr>
                <w:rFonts w:ascii="Arial" w:hAnsi="Arial"/>
                <w:b/>
                <w:color w:val="000000"/>
                <w:sz w:val="22"/>
                <w:u w:val="single"/>
              </w:rPr>
            </w:pPr>
            <w:r w:rsidRPr="002A1C34">
              <w:rPr>
                <w:rFonts w:ascii="Arial" w:hAnsi="Arial"/>
                <w:b/>
                <w:color w:val="000000"/>
                <w:sz w:val="22"/>
                <w:u w:val="single"/>
              </w:rPr>
              <w:t>%</w:t>
            </w:r>
          </w:p>
        </w:tc>
        <w:tc>
          <w:tcPr>
            <w:tcW w:w="992"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b/>
                <w:color w:val="000000"/>
                <w:sz w:val="22"/>
                <w:u w:val="single"/>
              </w:rPr>
            </w:pPr>
            <w:r w:rsidRPr="002A1C34">
              <w:rPr>
                <w:rFonts w:ascii="Arial" w:hAnsi="Arial"/>
                <w:b/>
                <w:color w:val="000000"/>
                <w:sz w:val="22"/>
                <w:u w:val="single"/>
              </w:rPr>
              <w:t>No</w:t>
            </w:r>
          </w:p>
        </w:tc>
        <w:tc>
          <w:tcPr>
            <w:tcW w:w="1276"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b/>
                <w:color w:val="000000"/>
                <w:sz w:val="22"/>
                <w:u w:val="single"/>
              </w:rPr>
            </w:pPr>
            <w:r w:rsidRPr="002A1C34">
              <w:rPr>
                <w:rFonts w:ascii="Arial" w:hAnsi="Arial"/>
                <w:b/>
                <w:color w:val="000000"/>
                <w:sz w:val="22"/>
                <w:u w:val="single"/>
              </w:rPr>
              <w:t>%</w:t>
            </w:r>
          </w:p>
        </w:tc>
        <w:tc>
          <w:tcPr>
            <w:tcW w:w="1134"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b/>
                <w:color w:val="000000"/>
                <w:sz w:val="22"/>
                <w:u w:val="single"/>
              </w:rPr>
            </w:pPr>
            <w:r w:rsidRPr="002A1C34">
              <w:rPr>
                <w:rFonts w:ascii="Arial" w:hAnsi="Arial"/>
                <w:b/>
                <w:color w:val="000000"/>
                <w:sz w:val="22"/>
                <w:u w:val="single"/>
              </w:rPr>
              <w:t>No</w:t>
            </w:r>
          </w:p>
        </w:tc>
        <w:tc>
          <w:tcPr>
            <w:tcW w:w="1134"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b/>
                <w:color w:val="000000"/>
                <w:sz w:val="22"/>
                <w:u w:val="single"/>
              </w:rPr>
            </w:pPr>
            <w:r w:rsidRPr="002A1C34">
              <w:rPr>
                <w:rFonts w:ascii="Arial" w:hAnsi="Arial"/>
                <w:b/>
                <w:color w:val="000000"/>
                <w:sz w:val="22"/>
                <w:u w:val="single"/>
              </w:rPr>
              <w:t>%</w:t>
            </w:r>
          </w:p>
        </w:tc>
      </w:tr>
      <w:tr w:rsidR="00E87320" w:rsidRPr="00693031" w:rsidTr="00E87320">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20" w:rsidRPr="002A1C34" w:rsidRDefault="00E87320" w:rsidP="004D1466">
            <w:pPr>
              <w:rPr>
                <w:rFonts w:ascii="Arial" w:hAnsi="Arial"/>
                <w:color w:val="000000"/>
                <w:sz w:val="22"/>
              </w:rPr>
            </w:pPr>
            <w:r w:rsidRPr="002A1C34">
              <w:rPr>
                <w:rFonts w:ascii="Arial" w:hAnsi="Arial"/>
                <w:color w:val="000000"/>
                <w:sz w:val="22"/>
              </w:rPr>
              <w:t>Female</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402</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64.6%</w:t>
            </w:r>
          </w:p>
        </w:tc>
        <w:tc>
          <w:tcPr>
            <w:tcW w:w="837" w:type="dxa"/>
            <w:tcBorders>
              <w:top w:val="single" w:sz="4" w:space="0" w:color="auto"/>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515</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63.7%</w:t>
            </w:r>
          </w:p>
        </w:tc>
        <w:tc>
          <w:tcPr>
            <w:tcW w:w="1043"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526</w:t>
            </w:r>
          </w:p>
        </w:tc>
        <w:tc>
          <w:tcPr>
            <w:tcW w:w="1134"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66.8%</w:t>
            </w:r>
          </w:p>
        </w:tc>
        <w:tc>
          <w:tcPr>
            <w:tcW w:w="992"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446</w:t>
            </w:r>
          </w:p>
        </w:tc>
        <w:tc>
          <w:tcPr>
            <w:tcW w:w="1276"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65.1%</w:t>
            </w:r>
          </w:p>
        </w:tc>
        <w:tc>
          <w:tcPr>
            <w:tcW w:w="1134"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454</w:t>
            </w:r>
          </w:p>
        </w:tc>
        <w:tc>
          <w:tcPr>
            <w:tcW w:w="1134"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65.8%</w:t>
            </w:r>
          </w:p>
        </w:tc>
      </w:tr>
      <w:tr w:rsidR="00E87320" w:rsidRPr="00693031" w:rsidTr="00E8732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E87320" w:rsidRPr="002A1C34" w:rsidRDefault="00E87320" w:rsidP="004D1466">
            <w:pPr>
              <w:rPr>
                <w:rFonts w:ascii="Arial" w:hAnsi="Arial"/>
                <w:color w:val="000000"/>
                <w:sz w:val="22"/>
              </w:rPr>
            </w:pPr>
            <w:r w:rsidRPr="002A1C34">
              <w:rPr>
                <w:rFonts w:ascii="Arial" w:hAnsi="Arial"/>
                <w:color w:val="000000"/>
                <w:sz w:val="22"/>
              </w:rPr>
              <w:t>Male</w:t>
            </w:r>
          </w:p>
        </w:tc>
        <w:tc>
          <w:tcPr>
            <w:tcW w:w="1056" w:type="dxa"/>
            <w:tcBorders>
              <w:top w:val="nil"/>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220</w:t>
            </w:r>
          </w:p>
        </w:tc>
        <w:tc>
          <w:tcPr>
            <w:tcW w:w="864" w:type="dxa"/>
            <w:tcBorders>
              <w:top w:val="nil"/>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35.4%</w:t>
            </w:r>
          </w:p>
        </w:tc>
        <w:tc>
          <w:tcPr>
            <w:tcW w:w="837" w:type="dxa"/>
            <w:tcBorders>
              <w:top w:val="nil"/>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295</w:t>
            </w:r>
          </w:p>
        </w:tc>
        <w:tc>
          <w:tcPr>
            <w:tcW w:w="108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36.3%</w:t>
            </w:r>
          </w:p>
        </w:tc>
        <w:tc>
          <w:tcPr>
            <w:tcW w:w="1043" w:type="dxa"/>
            <w:tcBorders>
              <w:top w:val="nil"/>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262</w:t>
            </w:r>
          </w:p>
        </w:tc>
        <w:tc>
          <w:tcPr>
            <w:tcW w:w="1134" w:type="dxa"/>
            <w:tcBorders>
              <w:top w:val="nil"/>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33.2%</w:t>
            </w:r>
          </w:p>
        </w:tc>
        <w:tc>
          <w:tcPr>
            <w:tcW w:w="992"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239</w:t>
            </w:r>
          </w:p>
        </w:tc>
        <w:tc>
          <w:tcPr>
            <w:tcW w:w="1276"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34.9%</w:t>
            </w:r>
          </w:p>
        </w:tc>
        <w:tc>
          <w:tcPr>
            <w:tcW w:w="1134"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236</w:t>
            </w:r>
          </w:p>
        </w:tc>
        <w:tc>
          <w:tcPr>
            <w:tcW w:w="1134"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34.2%</w:t>
            </w:r>
          </w:p>
        </w:tc>
      </w:tr>
      <w:tr w:rsidR="00E87320" w:rsidRPr="00693031" w:rsidTr="00E8732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E87320" w:rsidRPr="002A1C34" w:rsidRDefault="00E87320" w:rsidP="004D1466">
            <w:pPr>
              <w:rPr>
                <w:rFonts w:ascii="Arial" w:hAnsi="Arial"/>
                <w:color w:val="000000"/>
                <w:sz w:val="22"/>
              </w:rPr>
            </w:pPr>
            <w:r w:rsidRPr="002A1C34">
              <w:rPr>
                <w:rFonts w:ascii="Arial" w:hAnsi="Arial"/>
                <w:color w:val="000000"/>
                <w:sz w:val="22"/>
              </w:rPr>
              <w:t>Grand total</w:t>
            </w:r>
          </w:p>
        </w:tc>
        <w:tc>
          <w:tcPr>
            <w:tcW w:w="1056" w:type="dxa"/>
            <w:tcBorders>
              <w:top w:val="nil"/>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622</w:t>
            </w:r>
          </w:p>
        </w:tc>
        <w:tc>
          <w:tcPr>
            <w:tcW w:w="864" w:type="dxa"/>
            <w:tcBorders>
              <w:top w:val="nil"/>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p>
        </w:tc>
        <w:tc>
          <w:tcPr>
            <w:tcW w:w="837" w:type="dxa"/>
            <w:tcBorders>
              <w:top w:val="nil"/>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811</w:t>
            </w:r>
          </w:p>
        </w:tc>
        <w:tc>
          <w:tcPr>
            <w:tcW w:w="1083" w:type="dxa"/>
            <w:tcBorders>
              <w:top w:val="nil"/>
              <w:left w:val="nil"/>
              <w:bottom w:val="single" w:sz="4" w:space="0" w:color="auto"/>
              <w:right w:val="single" w:sz="4" w:space="0" w:color="auto"/>
            </w:tcBorders>
            <w:shd w:val="clear" w:color="auto" w:fill="auto"/>
            <w:noWrap/>
            <w:vAlign w:val="center"/>
          </w:tcPr>
          <w:p w:rsidR="00E87320" w:rsidRPr="002A1C34" w:rsidRDefault="00E87320" w:rsidP="00E87320">
            <w:pPr>
              <w:jc w:val="center"/>
              <w:rPr>
                <w:rFonts w:ascii="Arial" w:hAnsi="Arial"/>
                <w:b/>
                <w:color w:val="000000"/>
                <w:sz w:val="22"/>
              </w:rPr>
            </w:pPr>
          </w:p>
        </w:tc>
        <w:tc>
          <w:tcPr>
            <w:tcW w:w="1043" w:type="dxa"/>
            <w:tcBorders>
              <w:top w:val="nil"/>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788</w:t>
            </w:r>
          </w:p>
        </w:tc>
        <w:tc>
          <w:tcPr>
            <w:tcW w:w="1134" w:type="dxa"/>
            <w:tcBorders>
              <w:top w:val="nil"/>
              <w:left w:val="nil"/>
              <w:bottom w:val="single" w:sz="4" w:space="0" w:color="auto"/>
              <w:right w:val="single" w:sz="4" w:space="0" w:color="auto"/>
            </w:tcBorders>
            <w:vAlign w:val="center"/>
          </w:tcPr>
          <w:p w:rsidR="00E87320" w:rsidRPr="002A1C34" w:rsidRDefault="00E87320" w:rsidP="00E87320">
            <w:pPr>
              <w:jc w:val="center"/>
              <w:rPr>
                <w:rFonts w:ascii="Arial" w:hAnsi="Arial"/>
                <w:b/>
                <w:color w:val="000000"/>
                <w:sz w:val="22"/>
              </w:rPr>
            </w:pPr>
          </w:p>
        </w:tc>
        <w:tc>
          <w:tcPr>
            <w:tcW w:w="992"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685</w:t>
            </w:r>
          </w:p>
        </w:tc>
        <w:tc>
          <w:tcPr>
            <w:tcW w:w="1276"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b/>
                <w:color w:val="000000"/>
                <w:sz w:val="22"/>
              </w:rPr>
            </w:pPr>
          </w:p>
        </w:tc>
        <w:tc>
          <w:tcPr>
            <w:tcW w:w="1134"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color w:val="000000"/>
                <w:sz w:val="22"/>
              </w:rPr>
            </w:pPr>
            <w:r w:rsidRPr="002A1C34">
              <w:rPr>
                <w:rFonts w:ascii="Arial" w:hAnsi="Arial"/>
                <w:color w:val="000000"/>
                <w:sz w:val="22"/>
              </w:rPr>
              <w:t>690</w:t>
            </w:r>
          </w:p>
        </w:tc>
        <w:tc>
          <w:tcPr>
            <w:tcW w:w="1134" w:type="dxa"/>
            <w:tcBorders>
              <w:top w:val="single" w:sz="4" w:space="0" w:color="auto"/>
              <w:left w:val="nil"/>
              <w:bottom w:val="single" w:sz="4" w:space="0" w:color="auto"/>
              <w:right w:val="single" w:sz="4" w:space="0" w:color="auto"/>
            </w:tcBorders>
            <w:vAlign w:val="center"/>
          </w:tcPr>
          <w:p w:rsidR="00E87320" w:rsidRPr="002A1C34" w:rsidRDefault="00E87320" w:rsidP="00E87320">
            <w:pPr>
              <w:jc w:val="center"/>
              <w:rPr>
                <w:rFonts w:ascii="Arial" w:hAnsi="Arial"/>
                <w:b/>
                <w:color w:val="000000"/>
                <w:sz w:val="22"/>
              </w:rPr>
            </w:pPr>
          </w:p>
        </w:tc>
      </w:tr>
    </w:tbl>
    <w:p w:rsidR="00A819EB" w:rsidRPr="002A1C34" w:rsidRDefault="00A819EB" w:rsidP="00B00BF4">
      <w:pPr>
        <w:rPr>
          <w:rFonts w:ascii="Arial" w:hAnsi="Arial"/>
          <w:b/>
          <w:sz w:val="22"/>
        </w:rPr>
      </w:pPr>
    </w:p>
    <w:p w:rsidR="00BC6EFA" w:rsidRPr="002A1C34" w:rsidRDefault="00BC6EFA">
      <w:pPr>
        <w:rPr>
          <w:rFonts w:ascii="Arial" w:hAnsi="Arial"/>
          <w:b/>
          <w:sz w:val="22"/>
        </w:rPr>
        <w:sectPr w:rsidR="00BC6EFA" w:rsidRPr="002A1C34" w:rsidSect="008051C0">
          <w:pgSz w:w="16838" w:h="11906" w:orient="landscape" w:code="9"/>
          <w:pgMar w:top="902" w:right="1440" w:bottom="748" w:left="1440" w:header="709" w:footer="250" w:gutter="0"/>
          <w:cols w:space="708"/>
          <w:titlePg/>
          <w:docGrid w:linePitch="360"/>
        </w:sectPr>
      </w:pPr>
    </w:p>
    <w:p w:rsidR="00CD0E5A" w:rsidRDefault="00BC6EFA">
      <w:pPr>
        <w:rPr>
          <w:rFonts w:asciiTheme="minorHAnsi" w:hAnsiTheme="minorHAnsi" w:cs="Arial"/>
          <w:b/>
        </w:rPr>
      </w:pPr>
      <w:r w:rsidRPr="00BC6EFA">
        <w:rPr>
          <w:rFonts w:asciiTheme="minorHAnsi" w:hAnsiTheme="minorHAnsi" w:cs="Arial"/>
          <w:b/>
        </w:rPr>
        <w:t>Appendix 2</w:t>
      </w:r>
    </w:p>
    <w:p w:rsidR="00BC6EFA" w:rsidRDefault="00BC6EFA">
      <w:pPr>
        <w:rPr>
          <w:rFonts w:asciiTheme="minorHAnsi" w:hAnsiTheme="minorHAnsi" w:cs="Arial"/>
          <w:b/>
        </w:rPr>
      </w:pPr>
    </w:p>
    <w:p w:rsidR="00BC6EFA" w:rsidRDefault="00BC6EFA">
      <w:pPr>
        <w:rPr>
          <w:rFonts w:asciiTheme="minorHAnsi" w:hAnsiTheme="minorHAnsi" w:cs="Arial"/>
          <w:b/>
        </w:rPr>
      </w:pPr>
      <w:r>
        <w:rPr>
          <w:rFonts w:asciiTheme="minorHAnsi" w:hAnsiTheme="minorHAnsi" w:cs="Arial"/>
          <w:b/>
        </w:rPr>
        <w:t>Indices of Deprivation</w:t>
      </w:r>
    </w:p>
    <w:p w:rsidR="00BC6EFA" w:rsidRDefault="00BC6EFA">
      <w:pPr>
        <w:rPr>
          <w:rFonts w:asciiTheme="minorHAnsi" w:hAnsiTheme="minorHAnsi" w:cs="Arial"/>
          <w:b/>
        </w:rPr>
      </w:pPr>
    </w:p>
    <w:p w:rsidR="00461501" w:rsidRDefault="00461501">
      <w:pPr>
        <w:rPr>
          <w:rFonts w:asciiTheme="minorHAnsi" w:hAnsiTheme="minorHAnsi" w:cs="Arial"/>
        </w:rPr>
      </w:pPr>
      <w:r w:rsidRPr="00461501">
        <w:rPr>
          <w:rFonts w:asciiTheme="minorHAnsi" w:hAnsiTheme="minorHAnsi" w:cs="Arial"/>
        </w:rPr>
        <w:t xml:space="preserve">The Indices of Deprivation 2015 provide a set of relative measures of deprivation for small areas (Lower-layer Super Output Areas) across England, based on seven different domains of deprivation: </w:t>
      </w:r>
    </w:p>
    <w:p w:rsidR="00461501" w:rsidRDefault="00461501">
      <w:pPr>
        <w:rPr>
          <w:rFonts w:asciiTheme="minorHAnsi" w:hAnsiTheme="minorHAnsi" w:cs="Arial"/>
        </w:rPr>
      </w:pPr>
    </w:p>
    <w:p w:rsidR="00461501" w:rsidRDefault="00215897" w:rsidP="00461501">
      <w:pPr>
        <w:ind w:left="284" w:hanging="284"/>
        <w:rPr>
          <w:rFonts w:asciiTheme="minorHAnsi" w:hAnsiTheme="minorHAnsi" w:cs="Arial"/>
        </w:rPr>
      </w:pPr>
      <w:r w:rsidRPr="00E64F09">
        <w:rPr>
          <w:rFonts w:asciiTheme="minorHAnsi" w:hAnsiTheme="minorHAnsi"/>
          <w:noProof/>
        </w:rPr>
        <w:drawing>
          <wp:anchor distT="0" distB="0" distL="114300" distR="114300" simplePos="0" relativeHeight="251659264" behindDoc="1" locked="0" layoutInCell="1" allowOverlap="1" wp14:anchorId="6C7E35C2" wp14:editId="40E1528E">
            <wp:simplePos x="0" y="0"/>
            <wp:positionH relativeFrom="column">
              <wp:posOffset>4029075</wp:posOffset>
            </wp:positionH>
            <wp:positionV relativeFrom="paragraph">
              <wp:posOffset>6985</wp:posOffset>
            </wp:positionV>
            <wp:extent cx="2299970" cy="4780280"/>
            <wp:effectExtent l="57150" t="57150" r="119380" b="115570"/>
            <wp:wrapTight wrapText="bothSides">
              <wp:wrapPolygon edited="0">
                <wp:start x="-179" y="-258"/>
                <wp:lineTo x="-537" y="-172"/>
                <wp:lineTo x="-537" y="21692"/>
                <wp:lineTo x="-179" y="22036"/>
                <wp:lineTo x="22184" y="22036"/>
                <wp:lineTo x="22542" y="21864"/>
                <wp:lineTo x="22542" y="1205"/>
                <wp:lineTo x="22006" y="-86"/>
                <wp:lineTo x="22006" y="-258"/>
                <wp:lineTo x="-179" y="-25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t="10400" r="77050" b="4800"/>
                    <a:stretch/>
                  </pic:blipFill>
                  <pic:spPr bwMode="auto">
                    <a:xfrm>
                      <a:off x="0" y="0"/>
                      <a:ext cx="2299970" cy="4780280"/>
                    </a:xfrm>
                    <a:prstGeom prst="rect">
                      <a:avLst/>
                    </a:prstGeom>
                    <a:ln w="3175" cap="sq">
                      <a:solidFill>
                        <a:schemeClr val="tx1">
                          <a:lumMod val="65000"/>
                          <a:lumOff val="35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501" w:rsidRPr="00461501">
        <w:rPr>
          <w:rFonts w:asciiTheme="minorHAnsi" w:hAnsiTheme="minorHAnsi" w:cs="Arial"/>
        </w:rPr>
        <w:sym w:font="Symbol" w:char="F0B7"/>
      </w:r>
      <w:r w:rsidR="00461501" w:rsidRPr="00461501">
        <w:rPr>
          <w:rFonts w:asciiTheme="minorHAnsi" w:hAnsiTheme="minorHAnsi" w:cs="Arial"/>
        </w:rPr>
        <w:t xml:space="preserve"> </w:t>
      </w:r>
      <w:r w:rsidR="00461501">
        <w:rPr>
          <w:rFonts w:asciiTheme="minorHAnsi" w:hAnsiTheme="minorHAnsi" w:cs="Arial"/>
        </w:rPr>
        <w:tab/>
      </w:r>
      <w:r w:rsidR="00461501" w:rsidRPr="00461501">
        <w:rPr>
          <w:rFonts w:asciiTheme="minorHAnsi" w:hAnsiTheme="minorHAnsi" w:cs="Arial"/>
        </w:rPr>
        <w:t xml:space="preserve">Income Deprivation </w:t>
      </w:r>
    </w:p>
    <w:p w:rsidR="00461501" w:rsidRDefault="00461501" w:rsidP="00461501">
      <w:pPr>
        <w:ind w:left="284" w:hanging="284"/>
        <w:rPr>
          <w:rFonts w:asciiTheme="minorHAnsi" w:hAnsiTheme="minorHAnsi" w:cs="Arial"/>
        </w:rPr>
      </w:pPr>
      <w:r w:rsidRPr="00461501">
        <w:rPr>
          <w:rFonts w:asciiTheme="minorHAnsi" w:hAnsiTheme="minorHAnsi" w:cs="Arial"/>
        </w:rPr>
        <w:sym w:font="Symbol" w:char="F0B7"/>
      </w:r>
      <w:r w:rsidRPr="00461501">
        <w:rPr>
          <w:rFonts w:asciiTheme="minorHAnsi" w:hAnsiTheme="minorHAnsi" w:cs="Arial"/>
        </w:rPr>
        <w:t xml:space="preserve"> </w:t>
      </w:r>
      <w:r>
        <w:rPr>
          <w:rFonts w:asciiTheme="minorHAnsi" w:hAnsiTheme="minorHAnsi" w:cs="Arial"/>
        </w:rPr>
        <w:tab/>
      </w:r>
      <w:r w:rsidRPr="00461501">
        <w:rPr>
          <w:rFonts w:asciiTheme="minorHAnsi" w:hAnsiTheme="minorHAnsi" w:cs="Arial"/>
        </w:rPr>
        <w:t xml:space="preserve">Employment Deprivation </w:t>
      </w:r>
    </w:p>
    <w:p w:rsidR="00461501" w:rsidRDefault="00461501" w:rsidP="00461501">
      <w:pPr>
        <w:ind w:left="284" w:hanging="284"/>
        <w:rPr>
          <w:rFonts w:asciiTheme="minorHAnsi" w:hAnsiTheme="minorHAnsi" w:cs="Arial"/>
        </w:rPr>
      </w:pPr>
      <w:r w:rsidRPr="00461501">
        <w:rPr>
          <w:rFonts w:asciiTheme="minorHAnsi" w:hAnsiTheme="minorHAnsi" w:cs="Arial"/>
        </w:rPr>
        <w:sym w:font="Symbol" w:char="F0B7"/>
      </w:r>
      <w:r w:rsidRPr="00461501">
        <w:rPr>
          <w:rFonts w:asciiTheme="minorHAnsi" w:hAnsiTheme="minorHAnsi" w:cs="Arial"/>
        </w:rPr>
        <w:t xml:space="preserve"> </w:t>
      </w:r>
      <w:r>
        <w:rPr>
          <w:rFonts w:asciiTheme="minorHAnsi" w:hAnsiTheme="minorHAnsi" w:cs="Arial"/>
        </w:rPr>
        <w:tab/>
      </w:r>
      <w:r w:rsidRPr="00461501">
        <w:rPr>
          <w:rFonts w:asciiTheme="minorHAnsi" w:hAnsiTheme="minorHAnsi" w:cs="Arial"/>
        </w:rPr>
        <w:t xml:space="preserve">Education, Skills and Training Deprivation </w:t>
      </w:r>
    </w:p>
    <w:p w:rsidR="00461501" w:rsidRDefault="00461501" w:rsidP="00461501">
      <w:pPr>
        <w:ind w:left="284" w:hanging="284"/>
        <w:rPr>
          <w:rFonts w:asciiTheme="minorHAnsi" w:hAnsiTheme="minorHAnsi" w:cs="Arial"/>
        </w:rPr>
      </w:pPr>
      <w:r w:rsidRPr="00461501">
        <w:rPr>
          <w:rFonts w:asciiTheme="minorHAnsi" w:hAnsiTheme="minorHAnsi" w:cs="Arial"/>
        </w:rPr>
        <w:sym w:font="Symbol" w:char="F0B7"/>
      </w:r>
      <w:r w:rsidRPr="00461501">
        <w:rPr>
          <w:rFonts w:asciiTheme="minorHAnsi" w:hAnsiTheme="minorHAnsi" w:cs="Arial"/>
        </w:rPr>
        <w:t xml:space="preserve"> </w:t>
      </w:r>
      <w:r>
        <w:rPr>
          <w:rFonts w:asciiTheme="minorHAnsi" w:hAnsiTheme="minorHAnsi" w:cs="Arial"/>
        </w:rPr>
        <w:tab/>
      </w:r>
      <w:r w:rsidRPr="00461501">
        <w:rPr>
          <w:rFonts w:asciiTheme="minorHAnsi" w:hAnsiTheme="minorHAnsi" w:cs="Arial"/>
        </w:rPr>
        <w:t xml:space="preserve">Health Deprivation and Disability </w:t>
      </w:r>
    </w:p>
    <w:p w:rsidR="00461501" w:rsidRDefault="00461501" w:rsidP="00461501">
      <w:pPr>
        <w:ind w:left="284" w:hanging="284"/>
        <w:rPr>
          <w:rFonts w:asciiTheme="minorHAnsi" w:hAnsiTheme="minorHAnsi" w:cs="Arial"/>
        </w:rPr>
      </w:pPr>
      <w:r w:rsidRPr="00461501">
        <w:rPr>
          <w:rFonts w:asciiTheme="minorHAnsi" w:hAnsiTheme="minorHAnsi" w:cs="Arial"/>
        </w:rPr>
        <w:sym w:font="Symbol" w:char="F0B7"/>
      </w:r>
      <w:r w:rsidRPr="00461501">
        <w:rPr>
          <w:rFonts w:asciiTheme="minorHAnsi" w:hAnsiTheme="minorHAnsi" w:cs="Arial"/>
        </w:rPr>
        <w:t xml:space="preserve"> </w:t>
      </w:r>
      <w:r>
        <w:rPr>
          <w:rFonts w:asciiTheme="minorHAnsi" w:hAnsiTheme="minorHAnsi" w:cs="Arial"/>
        </w:rPr>
        <w:tab/>
      </w:r>
      <w:r w:rsidRPr="00461501">
        <w:rPr>
          <w:rFonts w:asciiTheme="minorHAnsi" w:hAnsiTheme="minorHAnsi" w:cs="Arial"/>
        </w:rPr>
        <w:t xml:space="preserve">Crime </w:t>
      </w:r>
    </w:p>
    <w:p w:rsidR="00461501" w:rsidRDefault="00461501" w:rsidP="00461501">
      <w:pPr>
        <w:ind w:left="284" w:hanging="284"/>
        <w:rPr>
          <w:rFonts w:asciiTheme="minorHAnsi" w:hAnsiTheme="minorHAnsi" w:cs="Arial"/>
        </w:rPr>
      </w:pPr>
      <w:r w:rsidRPr="00461501">
        <w:rPr>
          <w:rFonts w:asciiTheme="minorHAnsi" w:hAnsiTheme="minorHAnsi" w:cs="Arial"/>
        </w:rPr>
        <w:sym w:font="Symbol" w:char="F0B7"/>
      </w:r>
      <w:r w:rsidRPr="00461501">
        <w:rPr>
          <w:rFonts w:asciiTheme="minorHAnsi" w:hAnsiTheme="minorHAnsi" w:cs="Arial"/>
        </w:rPr>
        <w:t xml:space="preserve"> </w:t>
      </w:r>
      <w:r>
        <w:rPr>
          <w:rFonts w:asciiTheme="minorHAnsi" w:hAnsiTheme="minorHAnsi" w:cs="Arial"/>
        </w:rPr>
        <w:tab/>
      </w:r>
      <w:r w:rsidRPr="00461501">
        <w:rPr>
          <w:rFonts w:asciiTheme="minorHAnsi" w:hAnsiTheme="minorHAnsi" w:cs="Arial"/>
        </w:rPr>
        <w:t xml:space="preserve">Barriers to Housing and Services </w:t>
      </w:r>
    </w:p>
    <w:p w:rsidR="00461501" w:rsidRDefault="00461501" w:rsidP="00461501">
      <w:pPr>
        <w:ind w:left="284" w:hanging="284"/>
        <w:rPr>
          <w:rFonts w:asciiTheme="minorHAnsi" w:hAnsiTheme="minorHAnsi" w:cs="Arial"/>
        </w:rPr>
      </w:pPr>
      <w:r w:rsidRPr="00461501">
        <w:rPr>
          <w:rFonts w:asciiTheme="minorHAnsi" w:hAnsiTheme="minorHAnsi" w:cs="Arial"/>
        </w:rPr>
        <w:sym w:font="Symbol" w:char="F0B7"/>
      </w:r>
      <w:r w:rsidRPr="00461501">
        <w:rPr>
          <w:rFonts w:asciiTheme="minorHAnsi" w:hAnsiTheme="minorHAnsi" w:cs="Arial"/>
        </w:rPr>
        <w:t xml:space="preserve"> </w:t>
      </w:r>
      <w:r>
        <w:rPr>
          <w:rFonts w:asciiTheme="minorHAnsi" w:hAnsiTheme="minorHAnsi" w:cs="Arial"/>
        </w:rPr>
        <w:tab/>
      </w:r>
      <w:r w:rsidRPr="00461501">
        <w:rPr>
          <w:rFonts w:asciiTheme="minorHAnsi" w:hAnsiTheme="minorHAnsi" w:cs="Arial"/>
        </w:rPr>
        <w:t>Living Environment Deprivation</w:t>
      </w:r>
    </w:p>
    <w:p w:rsidR="00215897" w:rsidRDefault="00215897">
      <w:pPr>
        <w:rPr>
          <w:rFonts w:asciiTheme="minorHAnsi" w:hAnsiTheme="minorHAnsi" w:cs="Arial"/>
        </w:rPr>
      </w:pPr>
    </w:p>
    <w:p w:rsidR="00BC6EFA" w:rsidRDefault="00E64F09" w:rsidP="00E64F09">
      <w:pPr>
        <w:jc w:val="both"/>
        <w:rPr>
          <w:rFonts w:asciiTheme="minorHAnsi" w:hAnsiTheme="minorHAnsi" w:cs="Arial"/>
          <w:color w:val="333333"/>
          <w:szCs w:val="21"/>
        </w:rPr>
      </w:pPr>
      <w:r w:rsidRPr="00E64F09">
        <w:rPr>
          <w:rFonts w:asciiTheme="minorHAnsi" w:hAnsiTheme="minorHAnsi"/>
          <w:noProof/>
        </w:rPr>
        <w:t>The area covered by the Local Lettings Plan</w:t>
      </w:r>
      <w:r>
        <w:rPr>
          <w:rFonts w:asciiTheme="minorHAnsi" w:hAnsiTheme="minorHAnsi"/>
          <w:noProof/>
        </w:rPr>
        <w:t xml:space="preserve"> forms part of a Lower Super Output </w:t>
      </w:r>
      <w:r w:rsidRPr="00E64F09">
        <w:rPr>
          <w:rFonts w:asciiTheme="minorHAnsi" w:hAnsiTheme="minorHAnsi" w:cs="Arial"/>
        </w:rPr>
        <w:t>(i.e. neighbourhood), which is ranked </w:t>
      </w:r>
      <w:r w:rsidRPr="00E64F09">
        <w:rPr>
          <w:rStyle w:val="text-highlight"/>
          <w:rFonts w:asciiTheme="minorHAnsi" w:hAnsiTheme="minorHAnsi" w:cs="Arial"/>
          <w:b/>
          <w:bCs/>
        </w:rPr>
        <w:t>3,569</w:t>
      </w:r>
      <w:r w:rsidRPr="00E64F09">
        <w:rPr>
          <w:rFonts w:asciiTheme="minorHAnsi" w:hAnsiTheme="minorHAnsi" w:cs="Arial"/>
        </w:rPr>
        <w:t> out of 32,844 LSOAs in England; where 1 is the most deprived LSOA.</w:t>
      </w:r>
      <w:r w:rsidRPr="00E64F09">
        <w:rPr>
          <w:rFonts w:ascii="Arial" w:hAnsi="Arial" w:cs="Arial"/>
          <w:sz w:val="21"/>
          <w:szCs w:val="21"/>
        </w:rPr>
        <w:t xml:space="preserve"> </w:t>
      </w:r>
      <w:r w:rsidRPr="00E64F09">
        <w:rPr>
          <w:rFonts w:asciiTheme="minorHAnsi" w:hAnsiTheme="minorHAnsi" w:cs="Arial"/>
          <w:color w:val="333333"/>
          <w:szCs w:val="21"/>
        </w:rPr>
        <w:t>This is amongst the 20% most deprived neighbourhoods in the country.</w:t>
      </w:r>
    </w:p>
    <w:p w:rsidR="0097358E" w:rsidRDefault="0097358E" w:rsidP="00E64F09">
      <w:pPr>
        <w:jc w:val="both"/>
        <w:rPr>
          <w:rFonts w:asciiTheme="minorHAnsi" w:hAnsiTheme="minorHAnsi" w:cs="Arial"/>
          <w:color w:val="333333"/>
          <w:szCs w:val="21"/>
        </w:rPr>
      </w:pPr>
    </w:p>
    <w:p w:rsidR="0097358E" w:rsidRDefault="00215897" w:rsidP="00E64F09">
      <w:pPr>
        <w:jc w:val="both"/>
        <w:rPr>
          <w:rFonts w:asciiTheme="minorHAnsi" w:hAnsiTheme="minorHAnsi" w:cs="Arial"/>
          <w:b/>
          <w:color w:val="333333"/>
          <w:szCs w:val="21"/>
        </w:rPr>
      </w:pPr>
      <w:r>
        <w:rPr>
          <w:rFonts w:asciiTheme="minorHAnsi" w:hAnsiTheme="minorHAnsi" w:cs="Arial"/>
          <w:b/>
          <w:color w:val="333333"/>
          <w:szCs w:val="21"/>
        </w:rPr>
        <w:t xml:space="preserve">Table </w:t>
      </w:r>
      <w:r w:rsidR="004126A8">
        <w:rPr>
          <w:rFonts w:asciiTheme="minorHAnsi" w:hAnsiTheme="minorHAnsi" w:cs="Arial"/>
          <w:b/>
          <w:color w:val="333333"/>
          <w:szCs w:val="21"/>
        </w:rPr>
        <w:t>A2.</w:t>
      </w:r>
      <w:r w:rsidR="003A6F30">
        <w:rPr>
          <w:rFonts w:asciiTheme="minorHAnsi" w:hAnsiTheme="minorHAnsi" w:cs="Arial"/>
          <w:b/>
          <w:color w:val="333333"/>
          <w:szCs w:val="21"/>
        </w:rPr>
        <w:t>1</w:t>
      </w:r>
      <w:r>
        <w:rPr>
          <w:rFonts w:asciiTheme="minorHAnsi" w:hAnsiTheme="minorHAnsi" w:cs="Arial"/>
          <w:b/>
          <w:color w:val="333333"/>
          <w:szCs w:val="21"/>
        </w:rPr>
        <w:t xml:space="preserve"> – Economic Activity </w:t>
      </w:r>
      <w:r w:rsidR="003844CB">
        <w:rPr>
          <w:rFonts w:asciiTheme="minorHAnsi" w:hAnsiTheme="minorHAnsi" w:cs="Arial"/>
          <w:b/>
          <w:color w:val="333333"/>
          <w:szCs w:val="21"/>
        </w:rPr>
        <w:t>(Unemployment)</w:t>
      </w:r>
    </w:p>
    <w:p w:rsidR="00215897" w:rsidRDefault="00215897" w:rsidP="00E64F09">
      <w:pPr>
        <w:jc w:val="both"/>
        <w:rPr>
          <w:rFonts w:asciiTheme="minorHAnsi" w:hAnsiTheme="minorHAnsi" w:cs="Arial"/>
          <w:b/>
          <w:color w:val="333333"/>
          <w:szCs w:val="21"/>
        </w:rPr>
      </w:pPr>
    </w:p>
    <w:p w:rsidR="00ED30EA" w:rsidRPr="00ED30EA" w:rsidRDefault="00ED30EA" w:rsidP="00E64F09">
      <w:pPr>
        <w:jc w:val="both"/>
        <w:rPr>
          <w:rFonts w:asciiTheme="minorHAnsi" w:hAnsiTheme="minorHAnsi" w:cs="Arial"/>
          <w:color w:val="333333"/>
          <w:szCs w:val="21"/>
        </w:rPr>
      </w:pPr>
      <w:r>
        <w:rPr>
          <w:rFonts w:asciiTheme="minorHAnsi" w:hAnsiTheme="minorHAnsi" w:cs="Arial"/>
          <w:color w:val="333333"/>
          <w:szCs w:val="21"/>
        </w:rPr>
        <w:t>The following data shows the level of unemployment</w:t>
      </w:r>
      <w:r w:rsidR="00B865D2">
        <w:rPr>
          <w:rFonts w:asciiTheme="minorHAnsi" w:hAnsiTheme="minorHAnsi" w:cs="Arial"/>
          <w:color w:val="333333"/>
          <w:szCs w:val="21"/>
        </w:rPr>
        <w:t>, as recorded in the 2011 Census,</w:t>
      </w:r>
      <w:r>
        <w:rPr>
          <w:rFonts w:asciiTheme="minorHAnsi" w:hAnsiTheme="minorHAnsi" w:cs="Arial"/>
          <w:color w:val="333333"/>
          <w:szCs w:val="21"/>
        </w:rPr>
        <w:t xml:space="preserve"> across the area covered by this LLP</w:t>
      </w:r>
      <w:r w:rsidR="00B865D2">
        <w:rPr>
          <w:rFonts w:asciiTheme="minorHAnsi" w:hAnsiTheme="minorHAnsi" w:cs="Arial"/>
          <w:color w:val="333333"/>
          <w:szCs w:val="21"/>
        </w:rPr>
        <w:t xml:space="preserve">.  The data includes postcodes from across the area and is broken down into </w:t>
      </w:r>
      <w:r w:rsidR="003844CB">
        <w:rPr>
          <w:rFonts w:asciiTheme="minorHAnsi" w:hAnsiTheme="minorHAnsi" w:cs="Arial"/>
          <w:color w:val="333333"/>
          <w:szCs w:val="21"/>
        </w:rPr>
        <w:t>Output Areas.</w:t>
      </w:r>
    </w:p>
    <w:p w:rsidR="00E73415" w:rsidRDefault="00E73415"/>
    <w:tbl>
      <w:tblPr>
        <w:tblW w:w="6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134"/>
        <w:gridCol w:w="1134"/>
        <w:gridCol w:w="992"/>
      </w:tblGrid>
      <w:tr w:rsidR="00E73415" w:rsidTr="00962BD0">
        <w:trPr>
          <w:trHeight w:val="300"/>
        </w:trPr>
        <w:tc>
          <w:tcPr>
            <w:tcW w:w="2925" w:type="dxa"/>
            <w:shd w:val="clear" w:color="auto" w:fill="auto"/>
            <w:noWrap/>
            <w:vAlign w:val="bottom"/>
            <w:hideMark/>
          </w:tcPr>
          <w:p w:rsidR="00E73415" w:rsidRPr="00E73415" w:rsidRDefault="00E73415">
            <w:pPr>
              <w:rPr>
                <w:rFonts w:ascii="Calibri" w:hAnsi="Calibri"/>
                <w:b/>
                <w:bCs/>
                <w:color w:val="000000"/>
                <w:sz w:val="18"/>
                <w:szCs w:val="22"/>
              </w:rPr>
            </w:pPr>
          </w:p>
        </w:tc>
        <w:tc>
          <w:tcPr>
            <w:tcW w:w="3260" w:type="dxa"/>
            <w:gridSpan w:val="3"/>
            <w:shd w:val="clear" w:color="auto" w:fill="auto"/>
            <w:noWrap/>
            <w:vAlign w:val="center"/>
            <w:hideMark/>
          </w:tcPr>
          <w:p w:rsidR="00E73415" w:rsidRPr="00E73415" w:rsidRDefault="00E73415" w:rsidP="00962BD0">
            <w:pPr>
              <w:jc w:val="center"/>
              <w:rPr>
                <w:rFonts w:ascii="Calibri" w:hAnsi="Calibri"/>
                <w:b/>
                <w:bCs/>
                <w:color w:val="000000"/>
                <w:sz w:val="18"/>
                <w:szCs w:val="22"/>
              </w:rPr>
            </w:pPr>
            <w:r w:rsidRPr="00E73415">
              <w:rPr>
                <w:rFonts w:ascii="Calibri" w:hAnsi="Calibri"/>
                <w:b/>
                <w:bCs/>
                <w:color w:val="000000"/>
                <w:sz w:val="18"/>
                <w:szCs w:val="22"/>
              </w:rPr>
              <w:t>2011 (Census Data)</w:t>
            </w:r>
          </w:p>
        </w:tc>
      </w:tr>
      <w:tr w:rsidR="00E73415" w:rsidTr="00E73415">
        <w:trPr>
          <w:trHeight w:val="300"/>
        </w:trPr>
        <w:tc>
          <w:tcPr>
            <w:tcW w:w="2925" w:type="dxa"/>
            <w:shd w:val="clear" w:color="auto" w:fill="auto"/>
            <w:noWrap/>
            <w:vAlign w:val="center"/>
            <w:hideMark/>
          </w:tcPr>
          <w:p w:rsidR="00E73415" w:rsidRDefault="00E73415" w:rsidP="00E73415">
            <w:pPr>
              <w:rPr>
                <w:rFonts w:ascii="Calibri" w:hAnsi="Calibri"/>
                <w:b/>
                <w:bCs/>
                <w:color w:val="000000"/>
                <w:sz w:val="18"/>
                <w:szCs w:val="22"/>
              </w:rPr>
            </w:pPr>
            <w:r w:rsidRPr="00E73415">
              <w:rPr>
                <w:rFonts w:ascii="Calibri" w:hAnsi="Calibri"/>
                <w:b/>
                <w:bCs/>
                <w:color w:val="000000"/>
                <w:sz w:val="18"/>
                <w:szCs w:val="22"/>
              </w:rPr>
              <w:t>Economic Activity: Unemployment</w:t>
            </w:r>
          </w:p>
          <w:p w:rsidR="00E73415" w:rsidRPr="00E73415" w:rsidRDefault="00E73415" w:rsidP="00E73415">
            <w:pPr>
              <w:rPr>
                <w:rFonts w:ascii="Calibri" w:hAnsi="Calibri"/>
                <w:bCs/>
                <w:color w:val="000000"/>
                <w:sz w:val="18"/>
                <w:szCs w:val="22"/>
              </w:rPr>
            </w:pPr>
          </w:p>
        </w:tc>
        <w:tc>
          <w:tcPr>
            <w:tcW w:w="1134" w:type="dxa"/>
            <w:shd w:val="clear" w:color="auto" w:fill="auto"/>
            <w:noWrap/>
            <w:vAlign w:val="center"/>
            <w:hideMark/>
          </w:tcPr>
          <w:p w:rsidR="00E73415" w:rsidRPr="00E73415" w:rsidRDefault="003844CB" w:rsidP="00ED30EA">
            <w:pPr>
              <w:jc w:val="center"/>
              <w:rPr>
                <w:rFonts w:ascii="Calibri" w:hAnsi="Calibri"/>
                <w:b/>
                <w:bCs/>
                <w:color w:val="000000"/>
                <w:sz w:val="18"/>
                <w:szCs w:val="22"/>
              </w:rPr>
            </w:pPr>
            <w:r>
              <w:rPr>
                <w:rFonts w:ascii="Calibri" w:hAnsi="Calibri"/>
                <w:b/>
                <w:bCs/>
                <w:color w:val="000000"/>
                <w:sz w:val="18"/>
                <w:szCs w:val="22"/>
              </w:rPr>
              <w:t>Output Area</w:t>
            </w:r>
          </w:p>
        </w:tc>
        <w:tc>
          <w:tcPr>
            <w:tcW w:w="1134" w:type="dxa"/>
            <w:shd w:val="clear" w:color="auto" w:fill="auto"/>
            <w:noWrap/>
            <w:vAlign w:val="center"/>
            <w:hideMark/>
          </w:tcPr>
          <w:p w:rsidR="00E73415" w:rsidRPr="00E73415" w:rsidRDefault="00E73415" w:rsidP="00ED30EA">
            <w:pPr>
              <w:jc w:val="center"/>
              <w:rPr>
                <w:rFonts w:ascii="Calibri" w:hAnsi="Calibri"/>
                <w:b/>
                <w:bCs/>
                <w:color w:val="000000"/>
                <w:sz w:val="18"/>
                <w:szCs w:val="22"/>
              </w:rPr>
            </w:pPr>
            <w:r w:rsidRPr="00E73415">
              <w:rPr>
                <w:rFonts w:ascii="Calibri" w:hAnsi="Calibri"/>
                <w:b/>
                <w:bCs/>
                <w:color w:val="000000"/>
                <w:sz w:val="18"/>
                <w:szCs w:val="22"/>
              </w:rPr>
              <w:t>Bath &amp; NE Somerset</w:t>
            </w:r>
          </w:p>
        </w:tc>
        <w:tc>
          <w:tcPr>
            <w:tcW w:w="992" w:type="dxa"/>
            <w:shd w:val="clear" w:color="auto" w:fill="auto"/>
            <w:noWrap/>
            <w:vAlign w:val="center"/>
            <w:hideMark/>
          </w:tcPr>
          <w:p w:rsidR="00E73415" w:rsidRPr="00E73415" w:rsidRDefault="00E73415" w:rsidP="00ED30EA">
            <w:pPr>
              <w:jc w:val="center"/>
              <w:rPr>
                <w:rFonts w:ascii="Calibri" w:hAnsi="Calibri"/>
                <w:b/>
                <w:bCs/>
                <w:color w:val="000000"/>
                <w:sz w:val="18"/>
                <w:szCs w:val="22"/>
              </w:rPr>
            </w:pPr>
            <w:r w:rsidRPr="00E73415">
              <w:rPr>
                <w:rFonts w:ascii="Calibri" w:hAnsi="Calibri"/>
                <w:b/>
                <w:bCs/>
                <w:color w:val="000000"/>
                <w:sz w:val="18"/>
                <w:szCs w:val="22"/>
              </w:rPr>
              <w:t>England</w:t>
            </w:r>
          </w:p>
        </w:tc>
      </w:tr>
      <w:tr w:rsidR="00E73415" w:rsidTr="00E73415">
        <w:trPr>
          <w:trHeight w:val="300"/>
        </w:trPr>
        <w:tc>
          <w:tcPr>
            <w:tcW w:w="2925" w:type="dxa"/>
            <w:shd w:val="clear" w:color="auto" w:fill="auto"/>
            <w:noWrap/>
            <w:vAlign w:val="bottom"/>
          </w:tcPr>
          <w:p w:rsidR="00E73415" w:rsidRPr="00E73415" w:rsidRDefault="003844CB">
            <w:pPr>
              <w:rPr>
                <w:rFonts w:ascii="Calibri" w:hAnsi="Calibri"/>
                <w:b/>
                <w:bCs/>
                <w:color w:val="000000"/>
                <w:sz w:val="18"/>
                <w:szCs w:val="22"/>
              </w:rPr>
            </w:pPr>
            <w:r w:rsidRPr="00E73415">
              <w:rPr>
                <w:rFonts w:ascii="Calibri" w:hAnsi="Calibri"/>
                <w:bCs/>
                <w:color w:val="000000"/>
                <w:sz w:val="18"/>
                <w:szCs w:val="22"/>
              </w:rPr>
              <w:t>All usual residents aged 16-17 years</w:t>
            </w:r>
          </w:p>
        </w:tc>
        <w:tc>
          <w:tcPr>
            <w:tcW w:w="1134" w:type="dxa"/>
            <w:shd w:val="clear" w:color="auto" w:fill="auto"/>
            <w:noWrap/>
            <w:vAlign w:val="center"/>
          </w:tcPr>
          <w:p w:rsidR="00E73415" w:rsidRPr="00E73415" w:rsidRDefault="00E73415" w:rsidP="00ED30EA">
            <w:pPr>
              <w:jc w:val="center"/>
              <w:rPr>
                <w:rFonts w:ascii="Calibri" w:hAnsi="Calibri"/>
                <w:b/>
                <w:bCs/>
                <w:color w:val="000000"/>
                <w:sz w:val="18"/>
                <w:szCs w:val="22"/>
              </w:rPr>
            </w:pPr>
          </w:p>
        </w:tc>
        <w:tc>
          <w:tcPr>
            <w:tcW w:w="1134" w:type="dxa"/>
            <w:shd w:val="clear" w:color="auto" w:fill="auto"/>
            <w:noWrap/>
            <w:vAlign w:val="center"/>
          </w:tcPr>
          <w:p w:rsidR="00E73415" w:rsidRPr="00E73415" w:rsidRDefault="00E73415" w:rsidP="00ED30EA">
            <w:pPr>
              <w:jc w:val="center"/>
              <w:rPr>
                <w:rFonts w:ascii="Calibri" w:hAnsi="Calibri"/>
                <w:b/>
                <w:bCs/>
                <w:color w:val="000000"/>
                <w:sz w:val="18"/>
                <w:szCs w:val="22"/>
              </w:rPr>
            </w:pPr>
          </w:p>
        </w:tc>
        <w:tc>
          <w:tcPr>
            <w:tcW w:w="992" w:type="dxa"/>
            <w:shd w:val="clear" w:color="auto" w:fill="auto"/>
            <w:noWrap/>
            <w:vAlign w:val="center"/>
          </w:tcPr>
          <w:p w:rsidR="00E73415" w:rsidRPr="00E73415" w:rsidRDefault="00E73415" w:rsidP="00ED30EA">
            <w:pPr>
              <w:jc w:val="center"/>
              <w:rPr>
                <w:rFonts w:ascii="Calibri" w:hAnsi="Calibri"/>
                <w:b/>
                <w:bCs/>
                <w:color w:val="000000"/>
                <w:sz w:val="18"/>
                <w:szCs w:val="22"/>
              </w:rPr>
            </w:pPr>
          </w:p>
        </w:tc>
      </w:tr>
      <w:tr w:rsidR="00E73415" w:rsidTr="00E73415">
        <w:trPr>
          <w:trHeight w:val="300"/>
        </w:trPr>
        <w:tc>
          <w:tcPr>
            <w:tcW w:w="2925" w:type="dxa"/>
            <w:shd w:val="clear" w:color="auto" w:fill="auto"/>
            <w:noWrap/>
            <w:vAlign w:val="bottom"/>
            <w:hideMark/>
          </w:tcPr>
          <w:p w:rsidR="00E73415" w:rsidRPr="00E73415" w:rsidRDefault="00E73415">
            <w:pPr>
              <w:rPr>
                <w:rFonts w:ascii="Calibri" w:hAnsi="Calibri"/>
                <w:color w:val="000000"/>
                <w:sz w:val="18"/>
                <w:szCs w:val="22"/>
              </w:rPr>
            </w:pPr>
            <w:r w:rsidRPr="00E73415">
              <w:rPr>
                <w:rFonts w:ascii="Calibri" w:hAnsi="Calibri"/>
                <w:color w:val="000000"/>
                <w:sz w:val="18"/>
                <w:szCs w:val="22"/>
              </w:rPr>
              <w:t>E00072684 (BA2 5PJ)</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3.2%</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2.7%</w:t>
            </w:r>
          </w:p>
        </w:tc>
        <w:tc>
          <w:tcPr>
            <w:tcW w:w="992"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4.4%</w:t>
            </w:r>
          </w:p>
        </w:tc>
      </w:tr>
      <w:tr w:rsidR="00E73415" w:rsidTr="00E73415">
        <w:trPr>
          <w:trHeight w:val="300"/>
        </w:trPr>
        <w:tc>
          <w:tcPr>
            <w:tcW w:w="2925" w:type="dxa"/>
            <w:shd w:val="clear" w:color="auto" w:fill="auto"/>
            <w:noWrap/>
            <w:vAlign w:val="bottom"/>
            <w:hideMark/>
          </w:tcPr>
          <w:p w:rsidR="00E73415" w:rsidRPr="00E73415" w:rsidRDefault="00E73415" w:rsidP="00B865D2">
            <w:pPr>
              <w:rPr>
                <w:rFonts w:ascii="Calibri" w:hAnsi="Calibri"/>
                <w:color w:val="000000"/>
                <w:sz w:val="18"/>
                <w:szCs w:val="22"/>
              </w:rPr>
            </w:pPr>
            <w:r w:rsidRPr="00E73415">
              <w:rPr>
                <w:rFonts w:ascii="Calibri" w:hAnsi="Calibri"/>
                <w:color w:val="000000"/>
                <w:sz w:val="18"/>
                <w:szCs w:val="22"/>
              </w:rPr>
              <w:t>E00072683 (BA2 5QJ &amp; 5QW &amp; 5PF)</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4.6%</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2.7%</w:t>
            </w:r>
          </w:p>
        </w:tc>
        <w:tc>
          <w:tcPr>
            <w:tcW w:w="992"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4.4%</w:t>
            </w:r>
          </w:p>
        </w:tc>
      </w:tr>
      <w:tr w:rsidR="00E73415" w:rsidTr="00E73415">
        <w:trPr>
          <w:trHeight w:val="300"/>
        </w:trPr>
        <w:tc>
          <w:tcPr>
            <w:tcW w:w="2925" w:type="dxa"/>
            <w:shd w:val="clear" w:color="auto" w:fill="auto"/>
            <w:noWrap/>
            <w:vAlign w:val="bottom"/>
            <w:hideMark/>
          </w:tcPr>
          <w:p w:rsidR="00E73415" w:rsidRPr="00E73415" w:rsidRDefault="00E73415">
            <w:pPr>
              <w:rPr>
                <w:rFonts w:ascii="Calibri" w:hAnsi="Calibri"/>
                <w:color w:val="000000"/>
                <w:sz w:val="18"/>
                <w:szCs w:val="22"/>
              </w:rPr>
            </w:pPr>
            <w:r w:rsidRPr="00E73415">
              <w:rPr>
                <w:rFonts w:ascii="Calibri" w:hAnsi="Calibri"/>
                <w:color w:val="000000"/>
                <w:sz w:val="18"/>
                <w:szCs w:val="22"/>
              </w:rPr>
              <w:t>E00072673 (BA2 5PY)</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4.8%</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2.7%</w:t>
            </w:r>
          </w:p>
        </w:tc>
        <w:tc>
          <w:tcPr>
            <w:tcW w:w="992"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4.4%</w:t>
            </w:r>
          </w:p>
        </w:tc>
      </w:tr>
      <w:tr w:rsidR="00E73415" w:rsidTr="00E73415">
        <w:trPr>
          <w:trHeight w:val="300"/>
        </w:trPr>
        <w:tc>
          <w:tcPr>
            <w:tcW w:w="2925" w:type="dxa"/>
            <w:shd w:val="clear" w:color="auto" w:fill="auto"/>
            <w:noWrap/>
            <w:vAlign w:val="bottom"/>
            <w:hideMark/>
          </w:tcPr>
          <w:p w:rsidR="00E73415" w:rsidRPr="00E73415" w:rsidRDefault="00E73415" w:rsidP="00B865D2">
            <w:pPr>
              <w:rPr>
                <w:rFonts w:ascii="Calibri" w:hAnsi="Calibri"/>
                <w:color w:val="000000"/>
                <w:sz w:val="18"/>
                <w:szCs w:val="22"/>
              </w:rPr>
            </w:pPr>
            <w:r w:rsidRPr="00E73415">
              <w:rPr>
                <w:rFonts w:ascii="Calibri" w:hAnsi="Calibri"/>
                <w:color w:val="000000"/>
                <w:sz w:val="18"/>
                <w:szCs w:val="22"/>
              </w:rPr>
              <w:t>E00072671 (BA2 5PR &amp; 5PS &amp; 5PE)</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4.8%</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2.7%</w:t>
            </w:r>
          </w:p>
        </w:tc>
        <w:tc>
          <w:tcPr>
            <w:tcW w:w="992"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4.4%</w:t>
            </w:r>
          </w:p>
        </w:tc>
      </w:tr>
      <w:tr w:rsidR="00E73415" w:rsidTr="00E73415">
        <w:trPr>
          <w:trHeight w:val="300"/>
        </w:trPr>
        <w:tc>
          <w:tcPr>
            <w:tcW w:w="2925" w:type="dxa"/>
            <w:shd w:val="clear" w:color="auto" w:fill="auto"/>
            <w:noWrap/>
            <w:vAlign w:val="bottom"/>
            <w:hideMark/>
          </w:tcPr>
          <w:p w:rsidR="00E73415" w:rsidRPr="00E73415" w:rsidRDefault="00E73415">
            <w:pPr>
              <w:rPr>
                <w:rFonts w:ascii="Calibri" w:hAnsi="Calibri"/>
                <w:color w:val="000000"/>
                <w:sz w:val="18"/>
                <w:szCs w:val="22"/>
              </w:rPr>
            </w:pPr>
            <w:r w:rsidRPr="00E73415">
              <w:rPr>
                <w:rFonts w:ascii="Calibri" w:hAnsi="Calibri"/>
                <w:color w:val="000000"/>
                <w:sz w:val="18"/>
                <w:szCs w:val="22"/>
              </w:rPr>
              <w:t>E00072678 (BA2 5PA &amp; 5PU)</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9.7%</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2.7%</w:t>
            </w:r>
          </w:p>
        </w:tc>
        <w:tc>
          <w:tcPr>
            <w:tcW w:w="992"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4.4%</w:t>
            </w:r>
          </w:p>
        </w:tc>
      </w:tr>
      <w:tr w:rsidR="00E73415" w:rsidTr="00E73415">
        <w:trPr>
          <w:trHeight w:val="300"/>
        </w:trPr>
        <w:tc>
          <w:tcPr>
            <w:tcW w:w="2925" w:type="dxa"/>
            <w:shd w:val="clear" w:color="auto" w:fill="auto"/>
            <w:noWrap/>
            <w:vAlign w:val="bottom"/>
            <w:hideMark/>
          </w:tcPr>
          <w:p w:rsidR="00E73415" w:rsidRPr="00E73415" w:rsidRDefault="00E73415">
            <w:pPr>
              <w:rPr>
                <w:rFonts w:ascii="Calibri" w:hAnsi="Calibri"/>
                <w:color w:val="000000"/>
                <w:sz w:val="18"/>
                <w:szCs w:val="22"/>
              </w:rPr>
            </w:pPr>
            <w:r w:rsidRPr="00E73415">
              <w:rPr>
                <w:rFonts w:ascii="Calibri" w:hAnsi="Calibri"/>
                <w:color w:val="000000"/>
                <w:sz w:val="18"/>
                <w:szCs w:val="22"/>
              </w:rPr>
              <w:t>E00072675 (BA2 5PB &amp; 5NZ)</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10.3%</w:t>
            </w:r>
          </w:p>
        </w:tc>
        <w:tc>
          <w:tcPr>
            <w:tcW w:w="1134"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2.7%</w:t>
            </w:r>
          </w:p>
        </w:tc>
        <w:tc>
          <w:tcPr>
            <w:tcW w:w="992" w:type="dxa"/>
            <w:shd w:val="clear" w:color="auto" w:fill="auto"/>
            <w:noWrap/>
            <w:vAlign w:val="center"/>
            <w:hideMark/>
          </w:tcPr>
          <w:p w:rsidR="00E73415" w:rsidRPr="00E73415" w:rsidRDefault="00E73415">
            <w:pPr>
              <w:jc w:val="center"/>
              <w:rPr>
                <w:rFonts w:ascii="Calibri" w:hAnsi="Calibri"/>
                <w:color w:val="000000"/>
                <w:sz w:val="18"/>
                <w:szCs w:val="22"/>
              </w:rPr>
            </w:pPr>
            <w:r w:rsidRPr="00E73415">
              <w:rPr>
                <w:rFonts w:ascii="Calibri" w:hAnsi="Calibri"/>
                <w:color w:val="000000"/>
                <w:sz w:val="18"/>
                <w:szCs w:val="22"/>
              </w:rPr>
              <w:t>4.4%</w:t>
            </w:r>
          </w:p>
        </w:tc>
      </w:tr>
    </w:tbl>
    <w:p w:rsidR="003844CB" w:rsidRDefault="003844CB">
      <w:pPr>
        <w:rPr>
          <w:rFonts w:ascii="Calibri" w:hAnsi="Calibri"/>
          <w:color w:val="000000"/>
          <w:sz w:val="18"/>
          <w:szCs w:val="22"/>
        </w:rPr>
      </w:pPr>
    </w:p>
    <w:p w:rsidR="00E83C6C" w:rsidRDefault="00E83C6C" w:rsidP="00E83C6C">
      <w:pPr>
        <w:rPr>
          <w:rFonts w:asciiTheme="minorHAnsi" w:hAnsiTheme="minorHAnsi" w:cs="Arial"/>
          <w:b/>
        </w:rPr>
      </w:pPr>
      <w:r>
        <w:rPr>
          <w:rFonts w:asciiTheme="minorHAnsi" w:hAnsiTheme="minorHAnsi" w:cs="Arial"/>
          <w:b/>
        </w:rPr>
        <w:t>Employment Data</w:t>
      </w:r>
    </w:p>
    <w:p w:rsidR="00E83C6C" w:rsidRDefault="00E83C6C">
      <w:pPr>
        <w:rPr>
          <w:rFonts w:ascii="Calibri" w:hAnsi="Calibri"/>
          <w:color w:val="000000"/>
          <w:sz w:val="18"/>
          <w:szCs w:val="22"/>
        </w:rPr>
      </w:pPr>
    </w:p>
    <w:p w:rsidR="00E73415" w:rsidRDefault="00E73415">
      <w:pPr>
        <w:rPr>
          <w:rFonts w:ascii="Calibri" w:hAnsi="Calibri"/>
          <w:color w:val="000000"/>
          <w:sz w:val="18"/>
          <w:szCs w:val="22"/>
        </w:rPr>
      </w:pPr>
      <w:r>
        <w:rPr>
          <w:rFonts w:ascii="Calibri" w:hAnsi="Calibri"/>
          <w:color w:val="000000"/>
          <w:sz w:val="18"/>
          <w:szCs w:val="22"/>
        </w:rPr>
        <w:t>Average percentage unemploy</w:t>
      </w:r>
      <w:r w:rsidR="003844CB">
        <w:rPr>
          <w:rFonts w:ascii="Calibri" w:hAnsi="Calibri"/>
          <w:color w:val="000000"/>
          <w:sz w:val="18"/>
          <w:szCs w:val="22"/>
        </w:rPr>
        <w:t>ment</w:t>
      </w:r>
      <w:r>
        <w:rPr>
          <w:rFonts w:ascii="Calibri" w:hAnsi="Calibri"/>
          <w:color w:val="000000"/>
          <w:sz w:val="18"/>
          <w:szCs w:val="22"/>
        </w:rPr>
        <w:t xml:space="preserve"> across the area = 6.2%</w:t>
      </w:r>
    </w:p>
    <w:p w:rsidR="003844CB" w:rsidRDefault="003844CB">
      <w:pPr>
        <w:rPr>
          <w:rFonts w:ascii="Calibri" w:hAnsi="Calibri"/>
          <w:color w:val="000000"/>
          <w:sz w:val="18"/>
          <w:szCs w:val="22"/>
        </w:rPr>
      </w:pPr>
      <w:r>
        <w:rPr>
          <w:rFonts w:ascii="Calibri" w:hAnsi="Calibri"/>
          <w:color w:val="000000"/>
          <w:sz w:val="18"/>
          <w:szCs w:val="22"/>
        </w:rPr>
        <w:t>Average percentage unemployment in BANES = 2.7%</w:t>
      </w:r>
    </w:p>
    <w:p w:rsidR="003844CB" w:rsidRDefault="003844CB">
      <w:r>
        <w:rPr>
          <w:rFonts w:ascii="Calibri" w:hAnsi="Calibri"/>
          <w:color w:val="000000"/>
          <w:sz w:val="18"/>
          <w:szCs w:val="22"/>
        </w:rPr>
        <w:t>Average percentage unemployment in England = 4.4%</w:t>
      </w:r>
    </w:p>
    <w:p w:rsidR="00E73415" w:rsidRDefault="00E73415"/>
    <w:p w:rsidR="002E1860" w:rsidRDefault="00E73415" w:rsidP="00E64F09">
      <w:pPr>
        <w:jc w:val="both"/>
        <w:rPr>
          <w:rFonts w:ascii="Calibri" w:hAnsi="Calibri"/>
          <w:color w:val="000000"/>
          <w:sz w:val="18"/>
          <w:szCs w:val="22"/>
        </w:rPr>
      </w:pPr>
      <w:r w:rsidRPr="003844CB">
        <w:rPr>
          <w:rFonts w:asciiTheme="minorHAnsi" w:hAnsiTheme="minorHAnsi" w:cs="Arial"/>
          <w:b/>
          <w:color w:val="333333"/>
          <w:sz w:val="20"/>
          <w:szCs w:val="21"/>
        </w:rPr>
        <w:t xml:space="preserve">Source: </w:t>
      </w:r>
      <w:r w:rsidRPr="003844CB">
        <w:rPr>
          <w:rFonts w:ascii="Calibri" w:hAnsi="Calibri"/>
          <w:color w:val="000000"/>
          <w:sz w:val="18"/>
          <w:szCs w:val="22"/>
        </w:rPr>
        <w:t>ONS Crown Copyright Reserved [from Nomis May 2018]</w:t>
      </w:r>
    </w:p>
    <w:p w:rsidR="002E1860" w:rsidRDefault="002E1860" w:rsidP="00E64F09">
      <w:pPr>
        <w:jc w:val="both"/>
        <w:rPr>
          <w:rFonts w:ascii="Calibri" w:hAnsi="Calibri"/>
          <w:color w:val="000000"/>
          <w:sz w:val="18"/>
          <w:szCs w:val="22"/>
        </w:rPr>
        <w:sectPr w:rsidR="002E1860" w:rsidSect="002A1C34">
          <w:pgSz w:w="11906" w:h="16838" w:code="9"/>
          <w:pgMar w:top="1440" w:right="748" w:bottom="1276" w:left="902" w:header="709" w:footer="709" w:gutter="0"/>
          <w:cols w:space="708"/>
          <w:vAlign w:val="bottom"/>
          <w:titlePg/>
          <w:docGrid w:linePitch="360"/>
        </w:sectPr>
      </w:pPr>
    </w:p>
    <w:p w:rsidR="00C506CD" w:rsidRDefault="00C506CD" w:rsidP="00E64F09">
      <w:pPr>
        <w:jc w:val="both"/>
        <w:rPr>
          <w:rFonts w:ascii="Calibri" w:hAnsi="Calibri"/>
          <w:color w:val="000000"/>
          <w:sz w:val="18"/>
          <w:szCs w:val="22"/>
        </w:rPr>
      </w:pPr>
    </w:p>
    <w:p w:rsidR="001151E8" w:rsidRDefault="001151E8" w:rsidP="00E64F09">
      <w:pPr>
        <w:jc w:val="both"/>
        <w:rPr>
          <w:rFonts w:ascii="Calibri" w:hAnsi="Calibri"/>
          <w:color w:val="000000"/>
          <w:sz w:val="18"/>
        </w:rPr>
      </w:pPr>
    </w:p>
    <w:p w:rsidR="001151E8" w:rsidRDefault="001151E8" w:rsidP="00E64F09">
      <w:pPr>
        <w:jc w:val="both"/>
        <w:rPr>
          <w:rFonts w:ascii="Calibri" w:hAnsi="Calibri"/>
          <w:color w:val="000000"/>
          <w:sz w:val="18"/>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2E1860" w:rsidRDefault="002E1860" w:rsidP="001151E8">
      <w:pPr>
        <w:jc w:val="both"/>
        <w:rPr>
          <w:rFonts w:asciiTheme="minorHAnsi" w:hAnsiTheme="minorHAnsi" w:cs="Arial"/>
          <w:b/>
          <w:color w:val="333333"/>
          <w:sz w:val="20"/>
          <w:szCs w:val="21"/>
        </w:rPr>
      </w:pPr>
    </w:p>
    <w:p w:rsidR="001151E8" w:rsidRPr="002A1C34" w:rsidRDefault="001151E8" w:rsidP="00E64F09">
      <w:pPr>
        <w:jc w:val="both"/>
        <w:rPr>
          <w:rFonts w:ascii="Calibri" w:hAnsi="Calibri"/>
          <w:color w:val="000000"/>
          <w:sz w:val="18"/>
        </w:rPr>
      </w:pPr>
    </w:p>
    <w:p w:rsidR="004126A8" w:rsidRPr="002A1C34" w:rsidRDefault="004126A8" w:rsidP="00E64F09">
      <w:pPr>
        <w:jc w:val="both"/>
        <w:rPr>
          <w:rFonts w:asciiTheme="minorHAnsi" w:hAnsiTheme="minorHAnsi"/>
          <w:b/>
          <w:color w:val="333333"/>
          <w:sz w:val="20"/>
        </w:rPr>
      </w:pPr>
    </w:p>
    <w:sectPr w:rsidR="004126A8" w:rsidRPr="002A1C34" w:rsidSect="002E1860">
      <w:headerReference w:type="first" r:id="rId18"/>
      <w:footerReference w:type="first" r:id="rId19"/>
      <w:pgSz w:w="11906" w:h="16838" w:code="9"/>
      <w:pgMar w:top="1440" w:right="748" w:bottom="1276"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7A" w:rsidRDefault="00331C7A">
      <w:r>
        <w:separator/>
      </w:r>
    </w:p>
  </w:endnote>
  <w:endnote w:type="continuationSeparator" w:id="0">
    <w:p w:rsidR="00331C7A" w:rsidRDefault="00331C7A">
      <w:r>
        <w:continuationSeparator/>
      </w:r>
    </w:p>
  </w:endnote>
  <w:endnote w:type="continuationNotice" w:id="1">
    <w:p w:rsidR="00331C7A" w:rsidRDefault="00331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575869"/>
      <w:docPartObj>
        <w:docPartGallery w:val="Page Numbers (Bottom of Page)"/>
        <w:docPartUnique/>
      </w:docPartObj>
    </w:sdtPr>
    <w:sdtEndPr>
      <w:rPr>
        <w:rFonts w:ascii="Arial" w:hAnsi="Arial" w:cs="Arial"/>
        <w:sz w:val="20"/>
      </w:rPr>
    </w:sdtEndPr>
    <w:sdtContent>
      <w:sdt>
        <w:sdtPr>
          <w:rPr>
            <w:rFonts w:ascii="Arial" w:hAnsi="Arial" w:cs="Arial"/>
            <w:sz w:val="20"/>
          </w:rPr>
          <w:id w:val="1360461680"/>
          <w:docPartObj>
            <w:docPartGallery w:val="Page Numbers (Top of Page)"/>
            <w:docPartUnique/>
          </w:docPartObj>
        </w:sdtPr>
        <w:sdtEndPr/>
        <w:sdtContent>
          <w:p w:rsidR="00331C7A" w:rsidRPr="008051C0" w:rsidRDefault="00331C7A">
            <w:pPr>
              <w:pStyle w:val="Footer"/>
              <w:jc w:val="right"/>
              <w:rPr>
                <w:rFonts w:ascii="Arial" w:hAnsi="Arial" w:cs="Arial"/>
                <w:sz w:val="20"/>
              </w:rPr>
            </w:pPr>
            <w:r w:rsidRPr="008051C0">
              <w:rPr>
                <w:rFonts w:ascii="Arial" w:hAnsi="Arial" w:cs="Arial"/>
                <w:sz w:val="20"/>
              </w:rPr>
              <w:t xml:space="preserve">Page </w:t>
            </w:r>
            <w:r w:rsidRPr="008051C0">
              <w:rPr>
                <w:rFonts w:ascii="Arial" w:hAnsi="Arial" w:cs="Arial"/>
                <w:b/>
                <w:bCs/>
                <w:sz w:val="20"/>
              </w:rPr>
              <w:fldChar w:fldCharType="begin"/>
            </w:r>
            <w:r w:rsidRPr="008051C0">
              <w:rPr>
                <w:rFonts w:ascii="Arial" w:hAnsi="Arial" w:cs="Arial"/>
                <w:b/>
                <w:bCs/>
                <w:sz w:val="20"/>
              </w:rPr>
              <w:instrText xml:space="preserve"> PAGE </w:instrText>
            </w:r>
            <w:r w:rsidRPr="008051C0">
              <w:rPr>
                <w:rFonts w:ascii="Arial" w:hAnsi="Arial" w:cs="Arial"/>
                <w:b/>
                <w:bCs/>
                <w:sz w:val="20"/>
              </w:rPr>
              <w:fldChar w:fldCharType="separate"/>
            </w:r>
            <w:r w:rsidR="00EC6E3C">
              <w:rPr>
                <w:rFonts w:ascii="Arial" w:hAnsi="Arial" w:cs="Arial"/>
                <w:b/>
                <w:bCs/>
                <w:noProof/>
                <w:sz w:val="20"/>
              </w:rPr>
              <w:t>6</w:t>
            </w:r>
            <w:r w:rsidRPr="008051C0">
              <w:rPr>
                <w:rFonts w:ascii="Arial" w:hAnsi="Arial" w:cs="Arial"/>
                <w:b/>
                <w:bCs/>
                <w:sz w:val="20"/>
              </w:rPr>
              <w:fldChar w:fldCharType="end"/>
            </w:r>
            <w:r w:rsidRPr="008051C0">
              <w:rPr>
                <w:rFonts w:ascii="Arial" w:hAnsi="Arial" w:cs="Arial"/>
                <w:sz w:val="20"/>
              </w:rPr>
              <w:t xml:space="preserve"> of </w:t>
            </w:r>
            <w:r w:rsidRPr="008051C0">
              <w:rPr>
                <w:rFonts w:ascii="Arial" w:hAnsi="Arial" w:cs="Arial"/>
                <w:b/>
                <w:bCs/>
                <w:sz w:val="20"/>
              </w:rPr>
              <w:fldChar w:fldCharType="begin"/>
            </w:r>
            <w:r w:rsidRPr="008051C0">
              <w:rPr>
                <w:rFonts w:ascii="Arial" w:hAnsi="Arial" w:cs="Arial"/>
                <w:b/>
                <w:bCs/>
                <w:sz w:val="20"/>
              </w:rPr>
              <w:instrText xml:space="preserve"> NUMPAGES  </w:instrText>
            </w:r>
            <w:r w:rsidRPr="008051C0">
              <w:rPr>
                <w:rFonts w:ascii="Arial" w:hAnsi="Arial" w:cs="Arial"/>
                <w:b/>
                <w:bCs/>
                <w:sz w:val="20"/>
              </w:rPr>
              <w:fldChar w:fldCharType="separate"/>
            </w:r>
            <w:r w:rsidR="00EC6E3C">
              <w:rPr>
                <w:rFonts w:ascii="Arial" w:hAnsi="Arial" w:cs="Arial"/>
                <w:b/>
                <w:bCs/>
                <w:noProof/>
                <w:sz w:val="20"/>
              </w:rPr>
              <w:t>6</w:t>
            </w:r>
            <w:r w:rsidRPr="008051C0">
              <w:rPr>
                <w:rFonts w:ascii="Arial" w:hAnsi="Arial" w:cs="Arial"/>
                <w:b/>
                <w:bCs/>
                <w:sz w:val="20"/>
              </w:rPr>
              <w:fldChar w:fldCharType="end"/>
            </w:r>
          </w:p>
        </w:sdtContent>
      </w:sdt>
    </w:sdtContent>
  </w:sdt>
  <w:p w:rsidR="00331C7A" w:rsidRDefault="00331C7A" w:rsidP="002A1C3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C7A" w:rsidRDefault="00331C7A" w:rsidP="003A6F30">
    <w:pPr>
      <w:pStyle w:val="Footer"/>
      <w:jc w:val="right"/>
      <w:rPr>
        <w:rFonts w:ascii="Arial" w:hAnsi="Arial" w:cs="Arial"/>
        <w:sz w:val="20"/>
      </w:rPr>
    </w:pPr>
  </w:p>
  <w:p w:rsidR="00331C7A" w:rsidRDefault="00331C7A" w:rsidP="002A1C3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153917"/>
      <w:docPartObj>
        <w:docPartGallery w:val="Page Numbers (Bottom of Page)"/>
        <w:docPartUnique/>
      </w:docPartObj>
    </w:sdtPr>
    <w:sdtEndPr/>
    <w:sdtContent>
      <w:sdt>
        <w:sdtPr>
          <w:id w:val="860082579"/>
          <w:docPartObj>
            <w:docPartGallery w:val="Page Numbers (Top of Page)"/>
            <w:docPartUnique/>
          </w:docPartObj>
        </w:sdtPr>
        <w:sdtEndPr/>
        <w:sdtContent>
          <w:p w:rsidR="00331C7A" w:rsidRDefault="00331C7A">
            <w:pPr>
              <w:pStyle w:val="Footer"/>
              <w:jc w:val="right"/>
            </w:pPr>
            <w:r w:rsidRPr="008051C0">
              <w:rPr>
                <w:rFonts w:ascii="Arial" w:hAnsi="Arial" w:cs="Arial"/>
                <w:sz w:val="20"/>
              </w:rPr>
              <w:t xml:space="preserve">Page </w:t>
            </w:r>
            <w:r w:rsidRPr="008051C0">
              <w:rPr>
                <w:rFonts w:ascii="Arial" w:hAnsi="Arial" w:cs="Arial"/>
                <w:b/>
                <w:bCs/>
                <w:sz w:val="20"/>
              </w:rPr>
              <w:fldChar w:fldCharType="begin"/>
            </w:r>
            <w:r w:rsidRPr="008051C0">
              <w:rPr>
                <w:rFonts w:ascii="Arial" w:hAnsi="Arial" w:cs="Arial"/>
                <w:b/>
                <w:bCs/>
                <w:sz w:val="20"/>
              </w:rPr>
              <w:instrText xml:space="preserve"> PAGE </w:instrText>
            </w:r>
            <w:r w:rsidRPr="008051C0">
              <w:rPr>
                <w:rFonts w:ascii="Arial" w:hAnsi="Arial" w:cs="Arial"/>
                <w:b/>
                <w:bCs/>
                <w:sz w:val="20"/>
              </w:rPr>
              <w:fldChar w:fldCharType="separate"/>
            </w:r>
            <w:r w:rsidR="00EC6E3C">
              <w:rPr>
                <w:rFonts w:ascii="Arial" w:hAnsi="Arial" w:cs="Arial"/>
                <w:b/>
                <w:bCs/>
                <w:noProof/>
                <w:sz w:val="20"/>
              </w:rPr>
              <w:t>2</w:t>
            </w:r>
            <w:r w:rsidRPr="008051C0">
              <w:rPr>
                <w:rFonts w:ascii="Arial" w:hAnsi="Arial" w:cs="Arial"/>
                <w:b/>
                <w:bCs/>
                <w:sz w:val="20"/>
              </w:rPr>
              <w:fldChar w:fldCharType="end"/>
            </w:r>
            <w:r w:rsidRPr="008051C0">
              <w:rPr>
                <w:rFonts w:ascii="Arial" w:hAnsi="Arial" w:cs="Arial"/>
                <w:sz w:val="20"/>
              </w:rPr>
              <w:t xml:space="preserve"> of </w:t>
            </w:r>
            <w:r w:rsidRPr="008051C0">
              <w:rPr>
                <w:rFonts w:ascii="Arial" w:hAnsi="Arial" w:cs="Arial"/>
                <w:b/>
                <w:bCs/>
                <w:sz w:val="20"/>
              </w:rPr>
              <w:fldChar w:fldCharType="begin"/>
            </w:r>
            <w:r w:rsidRPr="008051C0">
              <w:rPr>
                <w:rFonts w:ascii="Arial" w:hAnsi="Arial" w:cs="Arial"/>
                <w:b/>
                <w:bCs/>
                <w:sz w:val="20"/>
              </w:rPr>
              <w:instrText xml:space="preserve"> NUMPAGES  </w:instrText>
            </w:r>
            <w:r w:rsidRPr="008051C0">
              <w:rPr>
                <w:rFonts w:ascii="Arial" w:hAnsi="Arial" w:cs="Arial"/>
                <w:b/>
                <w:bCs/>
                <w:sz w:val="20"/>
              </w:rPr>
              <w:fldChar w:fldCharType="separate"/>
            </w:r>
            <w:r w:rsidR="00EC6E3C">
              <w:rPr>
                <w:rFonts w:ascii="Arial" w:hAnsi="Arial" w:cs="Arial"/>
                <w:b/>
                <w:bCs/>
                <w:noProof/>
                <w:sz w:val="20"/>
              </w:rPr>
              <w:t>8</w:t>
            </w:r>
            <w:r w:rsidRPr="008051C0">
              <w:rPr>
                <w:rFonts w:ascii="Arial" w:hAnsi="Arial" w:cs="Arial"/>
                <w:b/>
                <w:bCs/>
                <w:sz w:val="20"/>
              </w:rPr>
              <w:fldChar w:fldCharType="end"/>
            </w:r>
          </w:p>
        </w:sdtContent>
      </w:sdt>
    </w:sdtContent>
  </w:sdt>
  <w:p w:rsidR="00331C7A" w:rsidRDefault="00331C7A" w:rsidP="002A1C34">
    <w:pPr>
      <w:pStyle w:val="Footer"/>
      <w:tabs>
        <w:tab w:val="left" w:pos="8747"/>
      </w:tabs>
    </w:pP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60" w:rsidRDefault="002E1860" w:rsidP="002E1860">
    <w:pPr>
      <w:jc w:val="both"/>
      <w:rPr>
        <w:rFonts w:asciiTheme="minorHAnsi" w:hAnsiTheme="minorHAnsi" w:cs="Arial"/>
        <w:b/>
        <w:color w:val="333333"/>
        <w:sz w:val="20"/>
        <w:szCs w:val="21"/>
      </w:rPr>
    </w:pPr>
    <w:r w:rsidRPr="00CD5B2D">
      <w:rPr>
        <w:rFonts w:asciiTheme="minorHAnsi" w:hAnsiTheme="minorHAnsi" w:cs="Arial"/>
        <w:b/>
        <w:color w:val="333333"/>
        <w:sz w:val="20"/>
        <w:szCs w:val="21"/>
      </w:rPr>
      <w:t xml:space="preserve">This document can be made available in a range of languages, large print, Braille, on tape, electronic and accessible formats. Please contact Housing Services. Telephone 01225 396 444 or email </w:t>
    </w:r>
    <w:hyperlink r:id="rId1" w:history="1">
      <w:r w:rsidRPr="00CD5B2D">
        <w:rPr>
          <w:rStyle w:val="Hyperlink"/>
          <w:rFonts w:asciiTheme="minorHAnsi" w:hAnsiTheme="minorHAnsi" w:cs="Arial"/>
          <w:b/>
          <w:sz w:val="20"/>
          <w:szCs w:val="21"/>
        </w:rPr>
        <w:t>housing@bathnes.gov.uk</w:t>
      </w:r>
    </w:hyperlink>
  </w:p>
  <w:p w:rsidR="002E1860" w:rsidRDefault="002E1860">
    <w:pPr>
      <w:pStyle w:val="Footer"/>
      <w:jc w:val="right"/>
    </w:pPr>
  </w:p>
  <w:p w:rsidR="002E1860" w:rsidRDefault="002E1860" w:rsidP="002A1C34">
    <w:pPr>
      <w:pStyle w:val="Footer"/>
      <w:tabs>
        <w:tab w:val="left" w:pos="8747"/>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7A" w:rsidRDefault="00331C7A">
      <w:r>
        <w:separator/>
      </w:r>
    </w:p>
  </w:footnote>
  <w:footnote w:type="continuationSeparator" w:id="0">
    <w:p w:rsidR="00331C7A" w:rsidRDefault="00331C7A">
      <w:r>
        <w:continuationSeparator/>
      </w:r>
    </w:p>
  </w:footnote>
  <w:footnote w:type="continuationNotice" w:id="1">
    <w:p w:rsidR="00331C7A" w:rsidRDefault="00331C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C7A" w:rsidRDefault="00331C7A" w:rsidP="00A45C67">
    <w:pPr>
      <w:pStyle w:val="Header"/>
    </w:pPr>
    <w:r>
      <w:rPr>
        <w:noProof/>
      </w:rPr>
      <w:drawing>
        <wp:inline distT="0" distB="0" distL="0" distR="0" wp14:anchorId="70A7102C" wp14:editId="54246D48">
          <wp:extent cx="1911391" cy="716772"/>
          <wp:effectExtent l="0" t="0" r="0" b="7620"/>
          <wp:docPr id="4" name="Picture 4" descr="Logo b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91" cy="71677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A0" w:rsidRDefault="00EF36A0">
    <w:pPr>
      <w:pStyle w:val="Header"/>
    </w:pPr>
    <w:r>
      <w:rPr>
        <w:noProof/>
      </w:rPr>
      <w:drawing>
        <wp:inline distT="0" distB="0" distL="0" distR="0" wp14:anchorId="60D8383B" wp14:editId="61F20B5E">
          <wp:extent cx="1911391" cy="716772"/>
          <wp:effectExtent l="0" t="0" r="0" b="7620"/>
          <wp:docPr id="1" name="Picture 1" descr="Logo b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91" cy="71677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60" w:rsidRDefault="002E1860" w:rsidP="00A45C67">
    <w:pPr>
      <w:pStyle w:val="Header"/>
    </w:pPr>
    <w:r>
      <w:rPr>
        <w:noProof/>
      </w:rPr>
      <w:drawing>
        <wp:inline distT="0" distB="0" distL="0" distR="0" wp14:anchorId="2A0EFE9F" wp14:editId="1C4AD58F">
          <wp:extent cx="1911391" cy="716772"/>
          <wp:effectExtent l="0" t="0" r="0" b="7620"/>
          <wp:docPr id="3" name="Picture 3" descr="Logo b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91" cy="7167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929"/>
    <w:multiLevelType w:val="hybridMultilevel"/>
    <w:tmpl w:val="FBC69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6035E74"/>
    <w:multiLevelType w:val="hybridMultilevel"/>
    <w:tmpl w:val="8406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A8424F"/>
    <w:multiLevelType w:val="hybridMultilevel"/>
    <w:tmpl w:val="2166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F85C44"/>
    <w:multiLevelType w:val="hybridMultilevel"/>
    <w:tmpl w:val="A814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581D2B"/>
    <w:multiLevelType w:val="hybridMultilevel"/>
    <w:tmpl w:val="753870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nsid w:val="7BC57772"/>
    <w:multiLevelType w:val="multilevel"/>
    <w:tmpl w:val="4C58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B8"/>
    <w:rsid w:val="000132CD"/>
    <w:rsid w:val="00086855"/>
    <w:rsid w:val="000A1995"/>
    <w:rsid w:val="000F40BB"/>
    <w:rsid w:val="001151E8"/>
    <w:rsid w:val="00122A17"/>
    <w:rsid w:val="00151884"/>
    <w:rsid w:val="00160D6A"/>
    <w:rsid w:val="00191580"/>
    <w:rsid w:val="002047D5"/>
    <w:rsid w:val="00211B28"/>
    <w:rsid w:val="002126D0"/>
    <w:rsid w:val="00212A20"/>
    <w:rsid w:val="00215897"/>
    <w:rsid w:val="00257AB3"/>
    <w:rsid w:val="00265761"/>
    <w:rsid w:val="002A0640"/>
    <w:rsid w:val="002A1C34"/>
    <w:rsid w:val="002E1860"/>
    <w:rsid w:val="0030078B"/>
    <w:rsid w:val="00300E00"/>
    <w:rsid w:val="00331C7A"/>
    <w:rsid w:val="00366247"/>
    <w:rsid w:val="00377237"/>
    <w:rsid w:val="003844CB"/>
    <w:rsid w:val="003A5F82"/>
    <w:rsid w:val="003A6F30"/>
    <w:rsid w:val="003C00FC"/>
    <w:rsid w:val="003E1C16"/>
    <w:rsid w:val="003F78C3"/>
    <w:rsid w:val="004126A8"/>
    <w:rsid w:val="00461501"/>
    <w:rsid w:val="00464FB8"/>
    <w:rsid w:val="00467D8B"/>
    <w:rsid w:val="00480305"/>
    <w:rsid w:val="00482F56"/>
    <w:rsid w:val="004D1466"/>
    <w:rsid w:val="005365F1"/>
    <w:rsid w:val="00553328"/>
    <w:rsid w:val="005A1CE4"/>
    <w:rsid w:val="005D5FA3"/>
    <w:rsid w:val="0061427F"/>
    <w:rsid w:val="00693031"/>
    <w:rsid w:val="006E2C0D"/>
    <w:rsid w:val="006F5281"/>
    <w:rsid w:val="007324D7"/>
    <w:rsid w:val="00744683"/>
    <w:rsid w:val="007A627B"/>
    <w:rsid w:val="007C4560"/>
    <w:rsid w:val="007C45A9"/>
    <w:rsid w:val="007D7FA7"/>
    <w:rsid w:val="008051C0"/>
    <w:rsid w:val="0081563F"/>
    <w:rsid w:val="008176FE"/>
    <w:rsid w:val="008234A6"/>
    <w:rsid w:val="008C6D1B"/>
    <w:rsid w:val="00910309"/>
    <w:rsid w:val="00941EA4"/>
    <w:rsid w:val="00962215"/>
    <w:rsid w:val="00962BD0"/>
    <w:rsid w:val="0097358E"/>
    <w:rsid w:val="00987F9D"/>
    <w:rsid w:val="00997416"/>
    <w:rsid w:val="009A00A8"/>
    <w:rsid w:val="009A6CA0"/>
    <w:rsid w:val="009B5FB1"/>
    <w:rsid w:val="009B7F1E"/>
    <w:rsid w:val="00A04E27"/>
    <w:rsid w:val="00A252B7"/>
    <w:rsid w:val="00A27586"/>
    <w:rsid w:val="00A33748"/>
    <w:rsid w:val="00A40D61"/>
    <w:rsid w:val="00A41F0A"/>
    <w:rsid w:val="00A45C67"/>
    <w:rsid w:val="00A659CD"/>
    <w:rsid w:val="00A75CE9"/>
    <w:rsid w:val="00A819EB"/>
    <w:rsid w:val="00AA336F"/>
    <w:rsid w:val="00AB46F0"/>
    <w:rsid w:val="00AD4048"/>
    <w:rsid w:val="00AF659F"/>
    <w:rsid w:val="00B00BF4"/>
    <w:rsid w:val="00B15D85"/>
    <w:rsid w:val="00B21DD2"/>
    <w:rsid w:val="00B41B7C"/>
    <w:rsid w:val="00B42F64"/>
    <w:rsid w:val="00B53E58"/>
    <w:rsid w:val="00B865D2"/>
    <w:rsid w:val="00BC1A3B"/>
    <w:rsid w:val="00BC6EFA"/>
    <w:rsid w:val="00BD6852"/>
    <w:rsid w:val="00C506CD"/>
    <w:rsid w:val="00C53DFB"/>
    <w:rsid w:val="00C72EBC"/>
    <w:rsid w:val="00C91975"/>
    <w:rsid w:val="00C9327A"/>
    <w:rsid w:val="00CC3D0B"/>
    <w:rsid w:val="00CD0E5A"/>
    <w:rsid w:val="00CD44E9"/>
    <w:rsid w:val="00CD5B2D"/>
    <w:rsid w:val="00D55E62"/>
    <w:rsid w:val="00D83CB6"/>
    <w:rsid w:val="00DF225B"/>
    <w:rsid w:val="00DF4E37"/>
    <w:rsid w:val="00E377DB"/>
    <w:rsid w:val="00E53D0E"/>
    <w:rsid w:val="00E64F09"/>
    <w:rsid w:val="00E73415"/>
    <w:rsid w:val="00E83C6C"/>
    <w:rsid w:val="00E87320"/>
    <w:rsid w:val="00E910A5"/>
    <w:rsid w:val="00EC6E3C"/>
    <w:rsid w:val="00ED30EA"/>
    <w:rsid w:val="00ED3FE3"/>
    <w:rsid w:val="00EF36A0"/>
    <w:rsid w:val="00F14026"/>
    <w:rsid w:val="00F2732F"/>
    <w:rsid w:val="00F346A7"/>
    <w:rsid w:val="00F57A04"/>
    <w:rsid w:val="00F95123"/>
    <w:rsid w:val="00FC3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FB8"/>
    <w:pPr>
      <w:tabs>
        <w:tab w:val="center" w:pos="4513"/>
        <w:tab w:val="right" w:pos="9026"/>
      </w:tabs>
    </w:pPr>
  </w:style>
  <w:style w:type="character" w:customStyle="1" w:styleId="HeaderChar">
    <w:name w:val="Header Char"/>
    <w:basedOn w:val="DefaultParagraphFont"/>
    <w:link w:val="Header"/>
    <w:uiPriority w:val="99"/>
    <w:rsid w:val="00464FB8"/>
    <w:rPr>
      <w:sz w:val="24"/>
      <w:szCs w:val="24"/>
    </w:rPr>
  </w:style>
  <w:style w:type="paragraph" w:styleId="Footer">
    <w:name w:val="footer"/>
    <w:basedOn w:val="Normal"/>
    <w:link w:val="FooterChar"/>
    <w:uiPriority w:val="99"/>
    <w:unhideWhenUsed/>
    <w:rsid w:val="00464FB8"/>
    <w:pPr>
      <w:tabs>
        <w:tab w:val="center" w:pos="4513"/>
        <w:tab w:val="right" w:pos="9026"/>
      </w:tabs>
    </w:pPr>
  </w:style>
  <w:style w:type="character" w:customStyle="1" w:styleId="FooterChar">
    <w:name w:val="Footer Char"/>
    <w:basedOn w:val="DefaultParagraphFont"/>
    <w:link w:val="Footer"/>
    <w:uiPriority w:val="99"/>
    <w:rsid w:val="00464FB8"/>
    <w:rPr>
      <w:sz w:val="24"/>
      <w:szCs w:val="24"/>
    </w:rPr>
  </w:style>
  <w:style w:type="paragraph" w:styleId="BalloonText">
    <w:name w:val="Balloon Text"/>
    <w:basedOn w:val="Normal"/>
    <w:link w:val="BalloonTextChar"/>
    <w:uiPriority w:val="99"/>
    <w:semiHidden/>
    <w:unhideWhenUsed/>
    <w:rsid w:val="00464FB8"/>
    <w:rPr>
      <w:rFonts w:ascii="Tahoma" w:hAnsi="Tahoma" w:cs="Tahoma"/>
      <w:sz w:val="16"/>
      <w:szCs w:val="16"/>
    </w:rPr>
  </w:style>
  <w:style w:type="character" w:customStyle="1" w:styleId="BalloonTextChar">
    <w:name w:val="Balloon Text Char"/>
    <w:basedOn w:val="DefaultParagraphFont"/>
    <w:link w:val="BalloonText"/>
    <w:uiPriority w:val="99"/>
    <w:semiHidden/>
    <w:rsid w:val="00464FB8"/>
    <w:rPr>
      <w:rFonts w:ascii="Tahoma" w:hAnsi="Tahoma" w:cs="Tahoma"/>
      <w:sz w:val="16"/>
      <w:szCs w:val="16"/>
    </w:rPr>
  </w:style>
  <w:style w:type="character" w:styleId="CommentReference">
    <w:name w:val="annotation reference"/>
    <w:basedOn w:val="DefaultParagraphFont"/>
    <w:uiPriority w:val="99"/>
    <w:semiHidden/>
    <w:unhideWhenUsed/>
    <w:rsid w:val="007D7FA7"/>
    <w:rPr>
      <w:sz w:val="16"/>
      <w:szCs w:val="16"/>
    </w:rPr>
  </w:style>
  <w:style w:type="paragraph" w:styleId="CommentText">
    <w:name w:val="annotation text"/>
    <w:basedOn w:val="Normal"/>
    <w:link w:val="CommentTextChar"/>
    <w:uiPriority w:val="99"/>
    <w:semiHidden/>
    <w:unhideWhenUsed/>
    <w:rsid w:val="007D7FA7"/>
    <w:rPr>
      <w:sz w:val="20"/>
      <w:szCs w:val="20"/>
    </w:rPr>
  </w:style>
  <w:style w:type="character" w:customStyle="1" w:styleId="CommentTextChar">
    <w:name w:val="Comment Text Char"/>
    <w:basedOn w:val="DefaultParagraphFont"/>
    <w:link w:val="CommentText"/>
    <w:uiPriority w:val="99"/>
    <w:semiHidden/>
    <w:rsid w:val="007D7FA7"/>
  </w:style>
  <w:style w:type="paragraph" w:styleId="CommentSubject">
    <w:name w:val="annotation subject"/>
    <w:basedOn w:val="CommentText"/>
    <w:next w:val="CommentText"/>
    <w:link w:val="CommentSubjectChar"/>
    <w:uiPriority w:val="99"/>
    <w:semiHidden/>
    <w:unhideWhenUsed/>
    <w:rsid w:val="007D7FA7"/>
    <w:rPr>
      <w:b/>
      <w:bCs/>
    </w:rPr>
  </w:style>
  <w:style w:type="character" w:customStyle="1" w:styleId="CommentSubjectChar">
    <w:name w:val="Comment Subject Char"/>
    <w:basedOn w:val="CommentTextChar"/>
    <w:link w:val="CommentSubject"/>
    <w:uiPriority w:val="99"/>
    <w:semiHidden/>
    <w:rsid w:val="007D7FA7"/>
    <w:rPr>
      <w:b/>
      <w:bCs/>
    </w:rPr>
  </w:style>
  <w:style w:type="paragraph" w:styleId="ListParagraph">
    <w:name w:val="List Paragraph"/>
    <w:basedOn w:val="Normal"/>
    <w:uiPriority w:val="34"/>
    <w:qFormat/>
    <w:rsid w:val="00AF659F"/>
    <w:pPr>
      <w:ind w:left="720"/>
      <w:contextualSpacing/>
    </w:pPr>
  </w:style>
  <w:style w:type="character" w:customStyle="1" w:styleId="zbutton">
    <w:name w:val="zbutton"/>
    <w:basedOn w:val="DefaultParagraphFont"/>
    <w:rsid w:val="00E64F09"/>
  </w:style>
  <w:style w:type="character" w:customStyle="1" w:styleId="text-highlight">
    <w:name w:val="text-highlight"/>
    <w:basedOn w:val="DefaultParagraphFont"/>
    <w:rsid w:val="00E64F09"/>
  </w:style>
  <w:style w:type="character" w:styleId="Hyperlink">
    <w:name w:val="Hyperlink"/>
    <w:basedOn w:val="DefaultParagraphFont"/>
    <w:uiPriority w:val="99"/>
    <w:unhideWhenUsed/>
    <w:rsid w:val="004126A8"/>
    <w:rPr>
      <w:color w:val="0000FF" w:themeColor="hyperlink"/>
      <w:u w:val="single"/>
    </w:rPr>
  </w:style>
  <w:style w:type="character" w:styleId="PlaceholderText">
    <w:name w:val="Placeholder Text"/>
    <w:basedOn w:val="DefaultParagraphFont"/>
    <w:uiPriority w:val="99"/>
    <w:semiHidden/>
    <w:rsid w:val="004126A8"/>
    <w:rPr>
      <w:color w:val="808080"/>
    </w:rPr>
  </w:style>
  <w:style w:type="paragraph" w:styleId="Revision">
    <w:name w:val="Revision"/>
    <w:hidden/>
    <w:uiPriority w:val="99"/>
    <w:semiHidden/>
    <w:rsid w:val="00AB46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FB8"/>
    <w:pPr>
      <w:tabs>
        <w:tab w:val="center" w:pos="4513"/>
        <w:tab w:val="right" w:pos="9026"/>
      </w:tabs>
    </w:pPr>
  </w:style>
  <w:style w:type="character" w:customStyle="1" w:styleId="HeaderChar">
    <w:name w:val="Header Char"/>
    <w:basedOn w:val="DefaultParagraphFont"/>
    <w:link w:val="Header"/>
    <w:uiPriority w:val="99"/>
    <w:rsid w:val="00464FB8"/>
    <w:rPr>
      <w:sz w:val="24"/>
      <w:szCs w:val="24"/>
    </w:rPr>
  </w:style>
  <w:style w:type="paragraph" w:styleId="Footer">
    <w:name w:val="footer"/>
    <w:basedOn w:val="Normal"/>
    <w:link w:val="FooterChar"/>
    <w:uiPriority w:val="99"/>
    <w:unhideWhenUsed/>
    <w:rsid w:val="00464FB8"/>
    <w:pPr>
      <w:tabs>
        <w:tab w:val="center" w:pos="4513"/>
        <w:tab w:val="right" w:pos="9026"/>
      </w:tabs>
    </w:pPr>
  </w:style>
  <w:style w:type="character" w:customStyle="1" w:styleId="FooterChar">
    <w:name w:val="Footer Char"/>
    <w:basedOn w:val="DefaultParagraphFont"/>
    <w:link w:val="Footer"/>
    <w:uiPriority w:val="99"/>
    <w:rsid w:val="00464FB8"/>
    <w:rPr>
      <w:sz w:val="24"/>
      <w:szCs w:val="24"/>
    </w:rPr>
  </w:style>
  <w:style w:type="paragraph" w:styleId="BalloonText">
    <w:name w:val="Balloon Text"/>
    <w:basedOn w:val="Normal"/>
    <w:link w:val="BalloonTextChar"/>
    <w:uiPriority w:val="99"/>
    <w:semiHidden/>
    <w:unhideWhenUsed/>
    <w:rsid w:val="00464FB8"/>
    <w:rPr>
      <w:rFonts w:ascii="Tahoma" w:hAnsi="Tahoma" w:cs="Tahoma"/>
      <w:sz w:val="16"/>
      <w:szCs w:val="16"/>
    </w:rPr>
  </w:style>
  <w:style w:type="character" w:customStyle="1" w:styleId="BalloonTextChar">
    <w:name w:val="Balloon Text Char"/>
    <w:basedOn w:val="DefaultParagraphFont"/>
    <w:link w:val="BalloonText"/>
    <w:uiPriority w:val="99"/>
    <w:semiHidden/>
    <w:rsid w:val="00464FB8"/>
    <w:rPr>
      <w:rFonts w:ascii="Tahoma" w:hAnsi="Tahoma" w:cs="Tahoma"/>
      <w:sz w:val="16"/>
      <w:szCs w:val="16"/>
    </w:rPr>
  </w:style>
  <w:style w:type="character" w:styleId="CommentReference">
    <w:name w:val="annotation reference"/>
    <w:basedOn w:val="DefaultParagraphFont"/>
    <w:uiPriority w:val="99"/>
    <w:semiHidden/>
    <w:unhideWhenUsed/>
    <w:rsid w:val="007D7FA7"/>
    <w:rPr>
      <w:sz w:val="16"/>
      <w:szCs w:val="16"/>
    </w:rPr>
  </w:style>
  <w:style w:type="paragraph" w:styleId="CommentText">
    <w:name w:val="annotation text"/>
    <w:basedOn w:val="Normal"/>
    <w:link w:val="CommentTextChar"/>
    <w:uiPriority w:val="99"/>
    <w:semiHidden/>
    <w:unhideWhenUsed/>
    <w:rsid w:val="007D7FA7"/>
    <w:rPr>
      <w:sz w:val="20"/>
      <w:szCs w:val="20"/>
    </w:rPr>
  </w:style>
  <w:style w:type="character" w:customStyle="1" w:styleId="CommentTextChar">
    <w:name w:val="Comment Text Char"/>
    <w:basedOn w:val="DefaultParagraphFont"/>
    <w:link w:val="CommentText"/>
    <w:uiPriority w:val="99"/>
    <w:semiHidden/>
    <w:rsid w:val="007D7FA7"/>
  </w:style>
  <w:style w:type="paragraph" w:styleId="CommentSubject">
    <w:name w:val="annotation subject"/>
    <w:basedOn w:val="CommentText"/>
    <w:next w:val="CommentText"/>
    <w:link w:val="CommentSubjectChar"/>
    <w:uiPriority w:val="99"/>
    <w:semiHidden/>
    <w:unhideWhenUsed/>
    <w:rsid w:val="007D7FA7"/>
    <w:rPr>
      <w:b/>
      <w:bCs/>
    </w:rPr>
  </w:style>
  <w:style w:type="character" w:customStyle="1" w:styleId="CommentSubjectChar">
    <w:name w:val="Comment Subject Char"/>
    <w:basedOn w:val="CommentTextChar"/>
    <w:link w:val="CommentSubject"/>
    <w:uiPriority w:val="99"/>
    <w:semiHidden/>
    <w:rsid w:val="007D7FA7"/>
    <w:rPr>
      <w:b/>
      <w:bCs/>
    </w:rPr>
  </w:style>
  <w:style w:type="paragraph" w:styleId="ListParagraph">
    <w:name w:val="List Paragraph"/>
    <w:basedOn w:val="Normal"/>
    <w:uiPriority w:val="34"/>
    <w:qFormat/>
    <w:rsid w:val="00AF659F"/>
    <w:pPr>
      <w:ind w:left="720"/>
      <w:contextualSpacing/>
    </w:pPr>
  </w:style>
  <w:style w:type="character" w:customStyle="1" w:styleId="zbutton">
    <w:name w:val="zbutton"/>
    <w:basedOn w:val="DefaultParagraphFont"/>
    <w:rsid w:val="00E64F09"/>
  </w:style>
  <w:style w:type="character" w:customStyle="1" w:styleId="text-highlight">
    <w:name w:val="text-highlight"/>
    <w:basedOn w:val="DefaultParagraphFont"/>
    <w:rsid w:val="00E64F09"/>
  </w:style>
  <w:style w:type="character" w:styleId="Hyperlink">
    <w:name w:val="Hyperlink"/>
    <w:basedOn w:val="DefaultParagraphFont"/>
    <w:uiPriority w:val="99"/>
    <w:unhideWhenUsed/>
    <w:rsid w:val="004126A8"/>
    <w:rPr>
      <w:color w:val="0000FF" w:themeColor="hyperlink"/>
      <w:u w:val="single"/>
    </w:rPr>
  </w:style>
  <w:style w:type="character" w:styleId="PlaceholderText">
    <w:name w:val="Placeholder Text"/>
    <w:basedOn w:val="DefaultParagraphFont"/>
    <w:uiPriority w:val="99"/>
    <w:semiHidden/>
    <w:rsid w:val="004126A8"/>
    <w:rPr>
      <w:color w:val="808080"/>
    </w:rPr>
  </w:style>
  <w:style w:type="paragraph" w:styleId="Revision">
    <w:name w:val="Revision"/>
    <w:hidden/>
    <w:uiPriority w:val="99"/>
    <w:semiHidden/>
    <w:rsid w:val="00AB46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4399">
      <w:bodyDiv w:val="1"/>
      <w:marLeft w:val="0"/>
      <w:marRight w:val="0"/>
      <w:marTop w:val="0"/>
      <w:marBottom w:val="0"/>
      <w:divBdr>
        <w:top w:val="none" w:sz="0" w:space="0" w:color="auto"/>
        <w:left w:val="none" w:sz="0" w:space="0" w:color="auto"/>
        <w:bottom w:val="none" w:sz="0" w:space="0" w:color="auto"/>
        <w:right w:val="none" w:sz="0" w:space="0" w:color="auto"/>
      </w:divBdr>
    </w:div>
    <w:div w:id="594169439">
      <w:bodyDiv w:val="1"/>
      <w:marLeft w:val="0"/>
      <w:marRight w:val="0"/>
      <w:marTop w:val="0"/>
      <w:marBottom w:val="0"/>
      <w:divBdr>
        <w:top w:val="none" w:sz="0" w:space="0" w:color="auto"/>
        <w:left w:val="none" w:sz="0" w:space="0" w:color="auto"/>
        <w:bottom w:val="none" w:sz="0" w:space="0" w:color="auto"/>
        <w:right w:val="none" w:sz="0" w:space="0" w:color="auto"/>
      </w:divBdr>
    </w:div>
    <w:div w:id="13111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thnes.gov.uk/sites/default/files/siteimages/Housing/Strategyandperformance/homesearch_allocation_scheme_2016_v2_for_publication.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athnes.gov.uk/services/your-council-and-democracy/equality-and-diversity/equality-impact-assessmentsequality-1"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housing@bathne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94D6E3-4464-43E6-B613-09527FB6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49C49976.dotm</Template>
  <TotalTime>1</TotalTime>
  <Pages>8</Pages>
  <Words>1612</Words>
  <Characters>9190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wordsws</dc:creator>
  <cp:lastModifiedBy>Louise Murphy</cp:lastModifiedBy>
  <cp:revision>2</cp:revision>
  <cp:lastPrinted>2018-05-29T10:04:00Z</cp:lastPrinted>
  <dcterms:created xsi:type="dcterms:W3CDTF">2018-05-29T11:14:00Z</dcterms:created>
  <dcterms:modified xsi:type="dcterms:W3CDTF">2018-05-29T11:14:00Z</dcterms:modified>
</cp:coreProperties>
</file>