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8" w:rsidRDefault="00CB77B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  <w:r w:rsidRPr="00AD3BE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3BDE5" wp14:editId="2028CFFD">
                <wp:simplePos x="0" y="0"/>
                <wp:positionH relativeFrom="column">
                  <wp:posOffset>-308610</wp:posOffset>
                </wp:positionH>
                <wp:positionV relativeFrom="paragraph">
                  <wp:posOffset>73025</wp:posOffset>
                </wp:positionV>
                <wp:extent cx="6429375" cy="1838960"/>
                <wp:effectExtent l="38100" t="38100" r="85725" b="12319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83896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BC" w:rsidRPr="00CB77BC" w:rsidRDefault="00EC011B" w:rsidP="003B134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77BC" w:rsidRPr="00CB77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3B134F" w:rsidRPr="00CB77BC" w:rsidRDefault="003B134F" w:rsidP="003B134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The process by which a person comes to support terrorism and forms of e</w:t>
                            </w:r>
                            <w:r w:rsidR="00557F80"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xtremism leading to terrorism.</w:t>
                            </w:r>
                            <w:proofErr w:type="gramEnd"/>
                            <w:r w:rsidR="00557F80"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Radicalisation can lead to</w:t>
                            </w: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development of extreme views including justifying political, religious, sexist or</w:t>
                            </w: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racist violence, or to being steered into a rigid and narrow ideology that is intolerant of diversity and leaves people vulnerable to future radicalisation. It is not generally a single event, instead happening over a period of time during which a young person may be groomed and exploited into a new way of looking at the world.</w:t>
                            </w:r>
                            <w:r w:rsidR="00FA726C"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Radicalisation is a safeguarding issue</w:t>
                            </w:r>
                          </w:p>
                          <w:p w:rsidR="003B134F" w:rsidRPr="00EC011B" w:rsidRDefault="003B134F" w:rsidP="003B134F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1F3C2C" w:rsidRPr="00EC011B" w:rsidRDefault="001F3C2C" w:rsidP="00EC011B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24.3pt;margin-top:5.75pt;width:506.25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9375,183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" adj="-11796480,,5400" path="m,l6429375,r,l6429375,1838960r,l,1838960r,l,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29375,0;6429375,0;6429375,1838960;6429375,1838960;0,1838960;0,1838960;0,0;0,0" o:connectangles="0,0,0,0,0,0,0,0,0" textboxrect="0,0,6429375,1838960"/>
                <v:textbox>
                  <w:txbxContent>
                    <w:p w:rsidR="00CB77BC" w:rsidRPr="00CB77BC" w:rsidRDefault="00EC011B" w:rsidP="003B134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77BC" w:rsidRPr="00CB77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Definition</w:t>
                      </w:r>
                    </w:p>
                    <w:p w:rsidR="003B134F" w:rsidRPr="00CB77BC" w:rsidRDefault="003B134F" w:rsidP="003B134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The process by which a person comes to support terrorism and forms of e</w:t>
                      </w:r>
                      <w:r w:rsidR="00557F80" w:rsidRPr="00CB77B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xtremism leading to terrorism.</w:t>
                      </w:r>
                      <w:proofErr w:type="gramEnd"/>
                      <w:r w:rsidR="00557F80" w:rsidRPr="00CB77B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Radicalisation can lead to</w:t>
                      </w: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development of extreme views including justifying political, religious, sexist or</w:t>
                      </w: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racist violence, or to being steered into a rigid and narrow ideology that is intolerant of diversity and leaves people vulnerable to future radicalisation. It is not generally a single event, instead happening over a period of time during which a young person may be groomed and exploited into a new way of looking at the world.</w:t>
                      </w:r>
                      <w:r w:rsidR="00FA726C"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Radicalisation is a safeguarding issue</w:t>
                      </w:r>
                    </w:p>
                    <w:p w:rsidR="003B134F" w:rsidRPr="00EC011B" w:rsidRDefault="003B134F" w:rsidP="003B134F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1F3C2C" w:rsidRPr="00EC011B" w:rsidRDefault="001F3C2C" w:rsidP="00EC011B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03E" w:rsidRDefault="0013003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3003E" w:rsidRDefault="0013003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3003E" w:rsidRDefault="0013003E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F3C2C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F3C2C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1F3C2C" w:rsidRDefault="00CB77B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2846F" wp14:editId="4CFF5CE8">
                <wp:simplePos x="0" y="0"/>
                <wp:positionH relativeFrom="column">
                  <wp:posOffset>-308345</wp:posOffset>
                </wp:positionH>
                <wp:positionV relativeFrom="paragraph">
                  <wp:posOffset>158853</wp:posOffset>
                </wp:positionV>
                <wp:extent cx="6429375" cy="5528931"/>
                <wp:effectExtent l="57150" t="57150" r="104775" b="11049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528931"/>
                        </a:xfrm>
                        <a:prstGeom prst="round2DiagRect">
                          <a:avLst>
                            <a:gd name="adj1" fmla="val 83"/>
                            <a:gd name="adj2" fmla="val 0"/>
                          </a:avLst>
                        </a:prstGeom>
                        <a:solidFill>
                          <a:srgbClr val="C4E59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1B" w:rsidRPr="00CB77BC" w:rsidRDefault="00CB77BC" w:rsidP="00EC01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DC5E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isk indicators</w:t>
                            </w:r>
                          </w:p>
                          <w:p w:rsidR="003B134F" w:rsidRPr="00CB77BC" w:rsidRDefault="003B134F" w:rsidP="003B134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Radicalisation may be suggested by young people exhibiting a number of the following changes in behaviour (but remember there may be other underlying reasons):</w:t>
                            </w: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 changes of mood, patterns of behaviour, or secretive behaviour;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 of character changes in dress, behaviour and peer relationships;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C21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of inappropriate language;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Possession of violent extremist literature;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expression of extremist views or sympathy to their causes;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Advocating violent actions and means;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Association with known extremists;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Seeking to recruit others to extremist ideology;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Talking as if from a scripted speech;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Losing interest in friends and activities;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Glorifying violence;</w:t>
                            </w:r>
                          </w:p>
                          <w:p w:rsidR="000A0C21" w:rsidRPr="00CB77BC" w:rsidRDefault="000A0C21" w:rsidP="000A0C21">
                            <w:pPr>
                              <w:pStyle w:val="ListParagraph"/>
                              <w:spacing w:before="240" w:line="240" w:lineRule="auto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34F" w:rsidRPr="00CB77BC" w:rsidRDefault="003B134F" w:rsidP="00DC5EB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Possessing illegal or extremist literature.</w:t>
                            </w:r>
                          </w:p>
                          <w:p w:rsidR="003B134F" w:rsidRPr="00EC011B" w:rsidRDefault="003B134F" w:rsidP="00EC011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7" style="position:absolute;margin-left:-24.3pt;margin-top:12.5pt;width:506.25pt;height:4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9375,5528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" adj="-11796480,,5400" path="m4589,l6429375,r,l6429375,5524342v,2534,-2055,4589,-4589,4589l,5528931r,l,4589c,2055,2055,,4589,xe" fillcolor="#c4e59f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4589,0;6429375,0;6429375,0;6429375,5524342;6424786,5528931;0,5528931;0,5528931;0,4589;4589,0" o:connectangles="0,0,0,0,0,0,0,0,0" textboxrect="0,0,6429375,5528931"/>
                <v:textbox>
                  <w:txbxContent>
                    <w:p w:rsidR="00EC011B" w:rsidRPr="00CB77BC" w:rsidRDefault="00CB77BC" w:rsidP="00EC01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DC5E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isk indicators</w:t>
                      </w:r>
                    </w:p>
                    <w:p w:rsidR="003B134F" w:rsidRPr="00CB77BC" w:rsidRDefault="003B134F" w:rsidP="003B134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Radicalisation may be suggested by young people exhibiting a number of the following changes in behaviour (but remember there may be other underlying reasons):</w:t>
                      </w: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General changes of mood, patterns of behaviour, or secretive behaviour;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Out of character changes in dress, behaviour and peer relationships;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C21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Use of inappropriate language;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Possession of violent extremist literature;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The expression of extremist views or sympathy to their causes;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Advocating violent actions and means;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Association with known extremists;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Seeking to recruit others to extremist ideology;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Talking as if from a scripted speech;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Losing interest in friends and activities;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Glorifying violence;</w:t>
                      </w:r>
                    </w:p>
                    <w:p w:rsidR="000A0C21" w:rsidRPr="00CB77BC" w:rsidRDefault="000A0C21" w:rsidP="000A0C21">
                      <w:pPr>
                        <w:pStyle w:val="ListParagraph"/>
                        <w:spacing w:before="240" w:line="240" w:lineRule="auto"/>
                        <w:ind w:left="7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34F" w:rsidRPr="00CB77BC" w:rsidRDefault="003B134F" w:rsidP="00DC5EB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>Possessing illegal or extremist literature.</w:t>
                      </w:r>
                    </w:p>
                    <w:p w:rsidR="003B134F" w:rsidRPr="00EC011B" w:rsidRDefault="003B134F" w:rsidP="00EC011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C2C" w:rsidRDefault="001F3C2C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F63939" w:rsidRDefault="00F63939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9D4428" w:rsidRDefault="009D4428" w:rsidP="009D4428">
      <w:pPr>
        <w:pStyle w:val="MSGENFONTSTYLENAMETEMPLATEROLENUMBERMSGENFONTSTYLENAMEBYROLETEXT20"/>
        <w:shd w:val="clear" w:color="auto" w:fill="auto"/>
        <w:spacing w:before="0" w:after="305"/>
        <w:ind w:firstLine="0"/>
        <w:rPr>
          <w:b w:val="0"/>
        </w:rPr>
      </w:pPr>
    </w:p>
    <w:p w:rsidR="009D4428" w:rsidRDefault="009D4428" w:rsidP="009D4428">
      <w:pPr>
        <w:pStyle w:val="MSGENFONTSTYLENAMETEMPLATEROLENUMBERMSGENFONTSTYLENAMEBYROLETEXT20"/>
        <w:shd w:val="clear" w:color="auto" w:fill="auto"/>
        <w:spacing w:before="0" w:after="316" w:line="269" w:lineRule="exact"/>
        <w:ind w:firstLine="0"/>
        <w:rPr>
          <w:b w:val="0"/>
          <w:sz w:val="20"/>
          <w:szCs w:val="20"/>
        </w:rPr>
      </w:pPr>
    </w:p>
    <w:p w:rsidR="00F14761" w:rsidRDefault="00F14761">
      <w:pPr>
        <w:rPr>
          <w:rFonts w:ascii="Arial" w:eastAsia="Arial" w:hAnsi="Arial" w:cs="Arial"/>
          <w:bCs/>
          <w:sz w:val="20"/>
          <w:szCs w:val="20"/>
        </w:rPr>
      </w:pPr>
    </w:p>
    <w:p w:rsidR="00F14761" w:rsidRDefault="00F14761">
      <w:pPr>
        <w:rPr>
          <w:rFonts w:ascii="Arial" w:eastAsia="Arial" w:hAnsi="Arial" w:cs="Arial"/>
          <w:bCs/>
          <w:sz w:val="20"/>
          <w:szCs w:val="20"/>
        </w:rPr>
      </w:pPr>
    </w:p>
    <w:p w:rsidR="001F14D3" w:rsidRPr="00F14761" w:rsidRDefault="00F14761" w:rsidP="00CB77BC">
      <w:pPr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  <w:r w:rsidR="00466180">
        <w:rPr>
          <w:rFonts w:ascii="Arial" w:eastAsia="Arial" w:hAnsi="Arial" w:cs="Arial"/>
          <w:bCs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DF645" wp14:editId="34ADA3F6">
                <wp:simplePos x="0" y="0"/>
                <wp:positionH relativeFrom="column">
                  <wp:posOffset>-308344</wp:posOffset>
                </wp:positionH>
                <wp:positionV relativeFrom="paragraph">
                  <wp:posOffset>3263116</wp:posOffset>
                </wp:positionV>
                <wp:extent cx="6325870" cy="5465135"/>
                <wp:effectExtent l="57150" t="38100" r="74930" b="9779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546513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C4E59F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BC" w:rsidRPr="00CB77BC" w:rsidRDefault="00CB77BC" w:rsidP="00CB77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practitioner</w:t>
                            </w:r>
                            <w:r w:rsidR="009137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B77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:rsidR="00CB77BC" w:rsidRPr="00CB77BC" w:rsidRDefault="00CB77BC" w:rsidP="00CB77B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If there is an imminent risk to the young person and/or of them committing an offence, Police should be contacted on 999.</w:t>
                            </w:r>
                          </w:p>
                          <w:p w:rsidR="00CB77BC" w:rsidRPr="00CB77BC" w:rsidRDefault="00CB77BC" w:rsidP="00CB77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If a young person may be at risk of exploitation and </w:t>
                            </w:r>
                            <w:proofErr w:type="spellStart"/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radicalisation</w:t>
                            </w:r>
                            <w:proofErr w:type="spellEnd"/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, an </w:t>
                            </w:r>
                            <w:hyperlink r:id="rId8" w:history="1">
                              <w:r w:rsidRPr="00CB77B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" w:eastAsia="en-GB"/>
                                </w:rPr>
                                <w:t>Early Help Assessment</w:t>
                              </w:r>
                            </w:hyperlink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can be used to identify a young person’s ne</w:t>
                            </w:r>
                            <w:r w:rsidR="0091379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eds and strengths and those of </w:t>
                            </w: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their family in relation to the risk. A Team around the Child meeting can strengthen the plan put in pl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ace to support the young person</w:t>
                            </w:r>
                          </w:p>
                          <w:p w:rsidR="00CB77BC" w:rsidRDefault="00CB77BC" w:rsidP="00CB77BC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there are specific concerns but no immediate risk of harm, the practitioner or their safeguarding lead </w:t>
                            </w:r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will discuss these concerns with the Local Authority’s Prevent lead the Inclusive Communities Manager.</w:t>
                            </w:r>
                            <w:r w:rsidR="009137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</w:t>
                            </w:r>
                            <w:r w:rsidR="00466180"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B&amp;NES Prevent Lead: Samantha Jones – 01225 396364</w:t>
                            </w:r>
                            <w:r w:rsidR="0046618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. </w:t>
                            </w:r>
                            <w:r w:rsidR="009137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She may advise completion of </w:t>
                            </w:r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a </w:t>
                            </w:r>
                            <w:hyperlink r:id="rId9" w:history="1">
                              <w:r w:rsidRPr="00CB77B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Prevent Referral Form</w:t>
                              </w:r>
                            </w:hyperlink>
                            <w:r w:rsidRPr="00CB77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:rsidR="00CE1BAF" w:rsidRDefault="00CE1BAF" w:rsidP="00CB77BC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Prevent lead will share information with the Police Counter Terrorism Intelligence Unit and decide if a referral to a Channel Panel is required, in accordance with national Prevent Guidance</w:t>
                            </w:r>
                            <w:r w:rsidR="004661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6618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The multi-agency children’s Channel Panel is chaired by the Director of Children</w:t>
                            </w:r>
                            <w:r w:rsidR="0046618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, Young People and Families who will determine a proportionate</w:t>
                            </w:r>
                            <w:r w:rsidR="0046618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response and level of support necessary.  </w:t>
                            </w:r>
                          </w:p>
                          <w:p w:rsidR="0029210F" w:rsidRDefault="0029210F" w:rsidP="0029210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there is an immediate risk of signifi</w:t>
                            </w:r>
                            <w:r w:rsidR="004661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cant harm to the young person, </w:t>
                            </w:r>
                            <w:r w:rsidRPr="002921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 the Duty and Assessment Team on 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1225 396312 or 396313. The</w:t>
                            </w:r>
                            <w:r w:rsidRPr="002921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Request for Service Form can be found at: </w:t>
                            </w:r>
                            <w:hyperlink r:id="rId10" w:history="1">
                              <w:r w:rsidRPr="00BA1EC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https://www.bathnes.gov.uk/services/children-young-people-and-families/child-protection</w:t>
                              </w:r>
                            </w:hyperlink>
                          </w:p>
                          <w:p w:rsidR="0029210F" w:rsidRDefault="0029210F" w:rsidP="002921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21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safeguarding policies and procedures are available at: </w:t>
                            </w:r>
                            <w:hyperlink r:id="rId11" w:history="1">
                              <w:r w:rsidRPr="00BA1EC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https://www.proceduresonline.com/swcpp/</w:t>
                              </w:r>
                            </w:hyperlink>
                          </w:p>
                          <w:p w:rsidR="0029210F" w:rsidRPr="0029210F" w:rsidRDefault="0029210F" w:rsidP="002921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77BC" w:rsidRPr="0029210F" w:rsidRDefault="00CB77BC" w:rsidP="00CB77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0D82" w:rsidRPr="00CB77BC" w:rsidRDefault="00EA0D82" w:rsidP="00CB77B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0" o:spid="_x0000_s1028" style="position:absolute;left:0;text-align:left;margin-left:-24.3pt;margin-top:256.95pt;width:498.1pt;height:4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5870,5465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" adj="-11796480,,5400" path="m,l6325870,r,l6325870,5465135r,l,5465135r,l,,,xe" fillcolor="#c4e59f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0,0;6325870,0;6325870,0;6325870,5465135;6325870,5465135;0,5465135;0,5465135;0,0;0,0" o:connectangles="0,0,0,0,0,0,0,0,0" textboxrect="0,0,6325870,5465135"/>
                <v:textbox>
                  <w:txbxContent>
                    <w:p w:rsidR="00CB77BC" w:rsidRPr="00CB77BC" w:rsidRDefault="00CB77BC" w:rsidP="00CB77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practitioner</w:t>
                      </w:r>
                      <w:r w:rsidR="009137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CB77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:rsidR="00CB77BC" w:rsidRPr="00CB77BC" w:rsidRDefault="00CB77BC" w:rsidP="00CB77B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If there is an imminent risk to the young person and/or of them committing an offence, Police should be contacted on 999.</w:t>
                      </w:r>
                    </w:p>
                    <w:p w:rsidR="00CB77BC" w:rsidRPr="00CB77BC" w:rsidRDefault="00CB77BC" w:rsidP="00CB77B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If a young person may be at risk of exploitation and </w:t>
                      </w:r>
                      <w:proofErr w:type="spellStart"/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radicalisation</w:t>
                      </w:r>
                      <w:proofErr w:type="spellEnd"/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, an </w:t>
                      </w:r>
                      <w:hyperlink r:id="rId12" w:history="1">
                        <w:r w:rsidRPr="00CB77B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en" w:eastAsia="en-GB"/>
                          </w:rPr>
                          <w:t>Early Help Assessment</w:t>
                        </w:r>
                      </w:hyperlink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can be used to identify a young person’s ne</w:t>
                      </w:r>
                      <w:r w:rsidR="00913797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eds and strengths and those of </w:t>
                      </w: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their family in relation to the risk. A Team around the Child meeting can strengthen the plan put in pl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ace to support the young person</w:t>
                      </w:r>
                    </w:p>
                    <w:p w:rsidR="00CB77BC" w:rsidRDefault="00CB77BC" w:rsidP="00CB77BC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 w:rsidRPr="00CB7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there are specific concerns but no immediate risk of harm, the practitioner or their safeguarding lead </w:t>
                      </w:r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will discuss these concerns with the Local Authority’s Prevent lead the Inclusive Communities Manager.</w:t>
                      </w:r>
                      <w:r w:rsidR="009137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</w:t>
                      </w:r>
                      <w:r w:rsidR="00466180"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B&amp;NES Prevent Lead: Samantha Jones – 01225 396364</w:t>
                      </w:r>
                      <w:r w:rsidR="0046618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. </w:t>
                      </w:r>
                      <w:r w:rsidR="009137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She may advise completion of </w:t>
                      </w:r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a </w:t>
                      </w:r>
                      <w:hyperlink r:id="rId13" w:history="1">
                        <w:r w:rsidRPr="00CB77B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Prevent Referral Form</w:t>
                        </w:r>
                      </w:hyperlink>
                      <w:r w:rsidRPr="00CB77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:rsidR="00CE1BAF" w:rsidRDefault="00CE1BAF" w:rsidP="00CB77BC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Prevent lead will share information with the Police Counter Terrorism Intelligence Unit and decide if a referral to a Channel Panel is required, in accordance with national Prevent Guidance</w:t>
                      </w:r>
                      <w:r w:rsidR="004661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46618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The multi-agency children’s Channel Panel is chaired by the Director of Children</w:t>
                      </w:r>
                      <w:r w:rsidR="0046618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, Young People and Families who will determine a proportionate</w:t>
                      </w:r>
                      <w:r w:rsidR="0046618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response and level of support necessary.  </w:t>
                      </w:r>
                    </w:p>
                    <w:p w:rsidR="0029210F" w:rsidRDefault="0029210F" w:rsidP="0029210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there is an immediate risk of signifi</w:t>
                      </w:r>
                      <w:r w:rsidR="004661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cant harm to the young person, </w:t>
                      </w:r>
                      <w:r w:rsidRPr="0029210F">
                        <w:rPr>
                          <w:rFonts w:ascii="Arial" w:hAnsi="Arial" w:cs="Arial"/>
                          <w:sz w:val="24"/>
                          <w:szCs w:val="24"/>
                        </w:rPr>
                        <w:t>call the Duty and Assessment Team on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1225 396312 or 396313. The</w:t>
                      </w:r>
                      <w:r w:rsidRPr="002921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Request for Service Form can be found at: </w:t>
                      </w:r>
                      <w:hyperlink r:id="rId14" w:history="1">
                        <w:r w:rsidRPr="00BA1EC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https://www.bathnes.gov.uk/services/children-young-people-and-families/child-protection</w:t>
                        </w:r>
                      </w:hyperlink>
                    </w:p>
                    <w:p w:rsidR="0029210F" w:rsidRDefault="0029210F" w:rsidP="002921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21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safeguarding policies and procedures are available at: </w:t>
                      </w:r>
                      <w:hyperlink r:id="rId15" w:history="1">
                        <w:r w:rsidRPr="00BA1EC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https://www.proceduresonline.com/swcpp/</w:t>
                        </w:r>
                      </w:hyperlink>
                    </w:p>
                    <w:p w:rsidR="0029210F" w:rsidRPr="0029210F" w:rsidRDefault="0029210F" w:rsidP="002921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77BC" w:rsidRPr="0029210F" w:rsidRDefault="00CB77BC" w:rsidP="00CB77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A0D82" w:rsidRPr="00CB77BC" w:rsidRDefault="00EA0D82" w:rsidP="00CB77B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724">
        <w:rPr>
          <w:rFonts w:ascii="Arial" w:eastAsia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DA1C" wp14:editId="4A2E3758">
                <wp:simplePos x="0" y="0"/>
                <wp:positionH relativeFrom="column">
                  <wp:posOffset>-308344</wp:posOffset>
                </wp:positionH>
                <wp:positionV relativeFrom="paragraph">
                  <wp:posOffset>115880</wp:posOffset>
                </wp:positionV>
                <wp:extent cx="6365240" cy="2966011"/>
                <wp:effectExtent l="57150" t="38100" r="73660" b="10160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2966011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97" w:rsidRDefault="00CB77BC" w:rsidP="003B134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77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Principles</w:t>
                            </w:r>
                          </w:p>
                          <w:p w:rsidR="00913797" w:rsidRPr="00913797" w:rsidRDefault="00913797" w:rsidP="009137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37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children groomed, radicalised and drawn into extremist behaviour should be seen as victims of child abuse and the first priority is their immediate welfare, health and safety.</w:t>
                            </w:r>
                            <w:r w:rsidRPr="009137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0E7724" w:rsidRPr="000E7724" w:rsidRDefault="00913797" w:rsidP="000E772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137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Keeping children and young people safe from the risks associated with radicalisation and extremism should be approached in the same way as safeguarding children from other risks</w:t>
                            </w:r>
                            <w:r w:rsidR="000E7724" w:rsidRPr="000E77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7724" w:rsidRPr="00117083" w:rsidRDefault="000E7724" w:rsidP="000E772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contextualised approach to safeguarding may be appropriate if the risk is primarily beyond the young person’s immediate family/household</w:t>
                            </w:r>
                          </w:p>
                          <w:p w:rsidR="00117083" w:rsidRPr="00117083" w:rsidRDefault="00117083" w:rsidP="0011708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1708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All agencies will actively support the ‘reintegration’ of young people who have previously been radicalised to reduce the risk of re-occurrence and promote their achievement of positive outcomes;</w:t>
                            </w:r>
                          </w:p>
                          <w:p w:rsidR="00117083" w:rsidRPr="00117083" w:rsidRDefault="00330A8A" w:rsidP="0011708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Most individuals, even those who hold extreme radical views, do not become involved in violent extremism and holding extreme views </w:t>
                            </w:r>
                            <w:r w:rsidR="004661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itself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not illegal.</w:t>
                            </w:r>
                          </w:p>
                          <w:p w:rsidR="00117083" w:rsidRPr="00913797" w:rsidRDefault="00117083" w:rsidP="000E772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9" style="position:absolute;left:0;text-align:left;margin-left:-24.3pt;margin-top:9.1pt;width:501.2pt;height:2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5240,2966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" adj="-11796480,,5400" path="m,l6365240,r,l6365240,2966011r,l,2966011r,l,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365240,0;6365240,0;6365240,2966011;6365240,2966011;0,2966011;0,2966011;0,0;0,0" o:connectangles="0,0,0,0,0,0,0,0,0" textboxrect="0,0,6365240,2966011"/>
                <v:textbox>
                  <w:txbxContent>
                    <w:p w:rsidR="00913797" w:rsidRDefault="00CB77BC" w:rsidP="003B13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77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Principles</w:t>
                      </w:r>
                    </w:p>
                    <w:p w:rsidR="00913797" w:rsidRPr="00913797" w:rsidRDefault="00913797" w:rsidP="009137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3797">
                        <w:rPr>
                          <w:rFonts w:ascii="Arial" w:hAnsi="Arial" w:cs="Arial"/>
                          <w:sz w:val="24"/>
                          <w:szCs w:val="24"/>
                        </w:rPr>
                        <w:t>All children groomed, radicalised and drawn into extremist behaviour should be seen as victims of child abuse and the first priority is their immediate welfare, health and safety.</w:t>
                      </w:r>
                      <w:r w:rsidRPr="009137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0E7724" w:rsidRPr="000E7724" w:rsidRDefault="00913797" w:rsidP="000E772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137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Keeping children and young people safe from the risks associated with radicalisation and extremism should be approached in the same way as safeguarding children from other risks</w:t>
                      </w:r>
                      <w:r w:rsidR="000E7724" w:rsidRPr="000E77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7724" w:rsidRPr="00117083" w:rsidRDefault="000E7724" w:rsidP="000E772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A contextualised approach to safeguarding may be appropriate if the risk is primarily beyond the young person’s immediate family/household</w:t>
                      </w:r>
                    </w:p>
                    <w:p w:rsidR="00117083" w:rsidRPr="00117083" w:rsidRDefault="00117083" w:rsidP="0011708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1708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All agencies will actively support the ‘reintegration’ of young people who have previously been radicalised to reduce the risk of re-occurrence and promote their achievement of positive outcomes;</w:t>
                      </w:r>
                    </w:p>
                    <w:p w:rsidR="00117083" w:rsidRPr="00117083" w:rsidRDefault="00330A8A" w:rsidP="0011708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Most individuals, even those who hold extreme radical views, do not become involved in violent extremism and holding extreme views </w:t>
                      </w:r>
                      <w:r w:rsidR="004661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itself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not illegal.</w:t>
                      </w:r>
                    </w:p>
                    <w:p w:rsidR="00117083" w:rsidRPr="00913797" w:rsidRDefault="00117083" w:rsidP="000E772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14D3" w:rsidRPr="00F14761" w:rsidSect="009457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2C" w:rsidRDefault="001F3C2C" w:rsidP="001F3C2C">
      <w:pPr>
        <w:spacing w:after="0" w:line="240" w:lineRule="auto"/>
      </w:pPr>
      <w:r>
        <w:separator/>
      </w:r>
    </w:p>
  </w:endnote>
  <w:endnote w:type="continuationSeparator" w:id="0">
    <w:p w:rsidR="001F3C2C" w:rsidRDefault="001F3C2C" w:rsidP="001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25" w:rsidRDefault="00121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25" w:rsidRDefault="00121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25" w:rsidRDefault="0012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2C" w:rsidRDefault="001F3C2C" w:rsidP="001F3C2C">
      <w:pPr>
        <w:spacing w:after="0" w:line="240" w:lineRule="auto"/>
      </w:pPr>
      <w:r>
        <w:separator/>
      </w:r>
    </w:p>
  </w:footnote>
  <w:footnote w:type="continuationSeparator" w:id="0">
    <w:p w:rsidR="001F3C2C" w:rsidRDefault="001F3C2C" w:rsidP="001F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25" w:rsidRDefault="00121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D3" w:rsidRDefault="001F3C2C" w:rsidP="001F14D3">
    <w:pPr>
      <w:pStyle w:val="Header"/>
      <w:tabs>
        <w:tab w:val="left" w:pos="7592"/>
      </w:tabs>
      <w:ind w:right="-613" w:hanging="709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56DD702" wp14:editId="41DE4709">
          <wp:extent cx="667875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63" cy="590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14D3">
      <w:rPr>
        <w:rFonts w:ascii="Arial" w:hAnsi="Arial" w:cs="Arial"/>
        <w:b/>
        <w:noProof/>
        <w:sz w:val="24"/>
        <w:szCs w:val="24"/>
        <w:lang w:eastAsia="en-GB"/>
      </w:rPr>
      <w:t xml:space="preserve">                         </w:t>
    </w:r>
    <w:r w:rsidR="001F14D3" w:rsidRPr="001F14D3">
      <w:rPr>
        <w:rFonts w:ascii="Arial" w:hAnsi="Arial" w:cs="Arial"/>
        <w:b/>
        <w:noProof/>
        <w:sz w:val="24"/>
        <w:szCs w:val="24"/>
        <w:lang w:eastAsia="en-GB"/>
      </w:rPr>
      <w:t>Bath &amp; North East Somerset Council</w:t>
    </w:r>
    <w:r w:rsidR="001F14D3">
      <w:rPr>
        <w:noProof/>
        <w:lang w:eastAsia="en-GB"/>
      </w:rPr>
      <w:t xml:space="preserve">                  </w:t>
    </w:r>
    <w:r w:rsidR="001F14D3">
      <w:rPr>
        <w:noProof/>
        <w:lang w:eastAsia="en-GB"/>
      </w:rPr>
      <w:drawing>
        <wp:inline distT="0" distB="0" distL="0" distR="0" wp14:anchorId="0757FFE9" wp14:editId="560146BD">
          <wp:extent cx="1426464" cy="548640"/>
          <wp:effectExtent l="0" t="0" r="254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9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3C2C" w:rsidRPr="00121A25" w:rsidRDefault="001F14D3" w:rsidP="001F14D3">
    <w:pPr>
      <w:pStyle w:val="Header"/>
      <w:tabs>
        <w:tab w:val="clear" w:pos="4513"/>
        <w:tab w:val="clear" w:pos="9026"/>
        <w:tab w:val="left" w:pos="7592"/>
      </w:tabs>
      <w:ind w:right="-613" w:hanging="709"/>
      <w:jc w:val="center"/>
      <w:rPr>
        <w:rFonts w:ascii="Arial" w:hAnsi="Arial" w:cs="Arial"/>
        <w:b/>
        <w:sz w:val="28"/>
        <w:szCs w:val="28"/>
      </w:rPr>
    </w:pPr>
    <w:r w:rsidRPr="00121A25">
      <w:rPr>
        <w:rFonts w:ascii="Arial" w:hAnsi="Arial" w:cs="Arial"/>
        <w:b/>
        <w:noProof/>
        <w:sz w:val="28"/>
        <w:szCs w:val="28"/>
        <w:lang w:eastAsia="en-GB"/>
      </w:rPr>
      <w:t>‘One Minute Guide’ to</w:t>
    </w:r>
    <w:r w:rsidR="003B134F" w:rsidRPr="00121A25">
      <w:rPr>
        <w:rFonts w:ascii="Arial" w:hAnsi="Arial" w:cs="Arial"/>
        <w:b/>
        <w:noProof/>
        <w:sz w:val="28"/>
        <w:szCs w:val="28"/>
        <w:lang w:eastAsia="en-GB"/>
      </w:rPr>
      <w:t xml:space="preserve"> Radicalisation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25" w:rsidRDefault="00121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4794_"/>
      </v:shape>
    </w:pict>
  </w:numPicBullet>
  <w:numPicBullet w:numPicBulletId="1">
    <w:pict>
      <v:shape id="_x0000_i1027" type="#_x0000_t75" style="width:8.35pt;height:8.35pt" o:bullet="t">
        <v:imagedata r:id="rId2" o:title="BD14792_"/>
      </v:shape>
    </w:pict>
  </w:numPicBullet>
  <w:abstractNum w:abstractNumId="0">
    <w:nsid w:val="020F1FDD"/>
    <w:multiLevelType w:val="hybridMultilevel"/>
    <w:tmpl w:val="20B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F82"/>
    <w:multiLevelType w:val="hybridMultilevel"/>
    <w:tmpl w:val="9F6A25AE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14A"/>
    <w:multiLevelType w:val="hybridMultilevel"/>
    <w:tmpl w:val="A2EE0BEE"/>
    <w:lvl w:ilvl="0" w:tplc="9AFC46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D66"/>
    <w:multiLevelType w:val="hybridMultilevel"/>
    <w:tmpl w:val="0F407542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8AB"/>
    <w:multiLevelType w:val="hybridMultilevel"/>
    <w:tmpl w:val="E83035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443A14"/>
    <w:multiLevelType w:val="hybridMultilevel"/>
    <w:tmpl w:val="82C07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33A2C"/>
    <w:multiLevelType w:val="hybridMultilevel"/>
    <w:tmpl w:val="613A5262"/>
    <w:lvl w:ilvl="0" w:tplc="85E400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04B6"/>
    <w:multiLevelType w:val="hybridMultilevel"/>
    <w:tmpl w:val="F418E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54D60"/>
    <w:multiLevelType w:val="hybridMultilevel"/>
    <w:tmpl w:val="39B2DF1C"/>
    <w:lvl w:ilvl="0" w:tplc="448E7F7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418EE"/>
    <w:multiLevelType w:val="hybridMultilevel"/>
    <w:tmpl w:val="EA4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A365A"/>
    <w:multiLevelType w:val="multilevel"/>
    <w:tmpl w:val="B060EA3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85DD2"/>
    <w:multiLevelType w:val="hybridMultilevel"/>
    <w:tmpl w:val="83A0112A"/>
    <w:lvl w:ilvl="0" w:tplc="D9CAB8F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E390F"/>
    <w:multiLevelType w:val="hybridMultilevel"/>
    <w:tmpl w:val="4B962528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510F"/>
    <w:multiLevelType w:val="hybridMultilevel"/>
    <w:tmpl w:val="E4BA5BD0"/>
    <w:lvl w:ilvl="0" w:tplc="448E7F7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5593A"/>
    <w:multiLevelType w:val="hybridMultilevel"/>
    <w:tmpl w:val="79309E3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551F2A"/>
    <w:multiLevelType w:val="hybridMultilevel"/>
    <w:tmpl w:val="7016819C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51FE"/>
    <w:multiLevelType w:val="hybridMultilevel"/>
    <w:tmpl w:val="A6CEB5CC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3581C"/>
    <w:multiLevelType w:val="hybridMultilevel"/>
    <w:tmpl w:val="68D4244A"/>
    <w:lvl w:ilvl="0" w:tplc="1E921F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B4887"/>
    <w:multiLevelType w:val="hybridMultilevel"/>
    <w:tmpl w:val="1C2C42D2"/>
    <w:lvl w:ilvl="0" w:tplc="448E7F7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E3599"/>
    <w:multiLevelType w:val="hybridMultilevel"/>
    <w:tmpl w:val="A552E944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66D70"/>
    <w:multiLevelType w:val="hybridMultilevel"/>
    <w:tmpl w:val="3FDC6860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B222B"/>
    <w:multiLevelType w:val="hybridMultilevel"/>
    <w:tmpl w:val="2E84F05A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B072C"/>
    <w:multiLevelType w:val="hybridMultilevel"/>
    <w:tmpl w:val="AE1042F0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25123"/>
    <w:multiLevelType w:val="hybridMultilevel"/>
    <w:tmpl w:val="ED708E0E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6BC"/>
    <w:multiLevelType w:val="hybridMultilevel"/>
    <w:tmpl w:val="B02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A1A5F"/>
    <w:multiLevelType w:val="hybridMultilevel"/>
    <w:tmpl w:val="BB58D3AC"/>
    <w:lvl w:ilvl="0" w:tplc="448E7F74">
      <w:numFmt w:val="bullet"/>
      <w:lvlText w:val=""/>
      <w:lvlPicBulletId w:val="0"/>
      <w:lvlJc w:val="left"/>
      <w:pPr>
        <w:ind w:left="1080" w:hanging="72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26C96"/>
    <w:multiLevelType w:val="hybridMultilevel"/>
    <w:tmpl w:val="735ACA2A"/>
    <w:lvl w:ilvl="0" w:tplc="448E7F7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5"/>
  </w:num>
  <w:num w:numId="5">
    <w:abstractNumId w:val="21"/>
  </w:num>
  <w:num w:numId="6">
    <w:abstractNumId w:val="6"/>
  </w:num>
  <w:num w:numId="7">
    <w:abstractNumId w:val="25"/>
  </w:num>
  <w:num w:numId="8">
    <w:abstractNumId w:val="18"/>
  </w:num>
  <w:num w:numId="9">
    <w:abstractNumId w:val="23"/>
  </w:num>
  <w:num w:numId="10">
    <w:abstractNumId w:val="11"/>
  </w:num>
  <w:num w:numId="11">
    <w:abstractNumId w:val="12"/>
  </w:num>
  <w:num w:numId="12">
    <w:abstractNumId w:val="13"/>
  </w:num>
  <w:num w:numId="13">
    <w:abstractNumId w:val="24"/>
  </w:num>
  <w:num w:numId="14">
    <w:abstractNumId w:val="2"/>
  </w:num>
  <w:num w:numId="15">
    <w:abstractNumId w:val="19"/>
  </w:num>
  <w:num w:numId="16">
    <w:abstractNumId w:val="26"/>
  </w:num>
  <w:num w:numId="17">
    <w:abstractNumId w:val="22"/>
  </w:num>
  <w:num w:numId="18">
    <w:abstractNumId w:val="20"/>
  </w:num>
  <w:num w:numId="19">
    <w:abstractNumId w:val="1"/>
  </w:num>
  <w:num w:numId="20">
    <w:abstractNumId w:val="16"/>
  </w:num>
  <w:num w:numId="21">
    <w:abstractNumId w:val="7"/>
  </w:num>
  <w:num w:numId="22">
    <w:abstractNumId w:val="8"/>
  </w:num>
  <w:num w:numId="23">
    <w:abstractNumId w:val="3"/>
  </w:num>
  <w:num w:numId="24">
    <w:abstractNumId w:val="4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8"/>
    <w:rsid w:val="0006780E"/>
    <w:rsid w:val="000A0C21"/>
    <w:rsid w:val="000D739C"/>
    <w:rsid w:val="000E7724"/>
    <w:rsid w:val="00117083"/>
    <w:rsid w:val="00121A25"/>
    <w:rsid w:val="0013003E"/>
    <w:rsid w:val="001F14D3"/>
    <w:rsid w:val="001F3C2C"/>
    <w:rsid w:val="0029210F"/>
    <w:rsid w:val="002B03A5"/>
    <w:rsid w:val="00321C4C"/>
    <w:rsid w:val="00330A8A"/>
    <w:rsid w:val="003B134F"/>
    <w:rsid w:val="00466180"/>
    <w:rsid w:val="004C6D28"/>
    <w:rsid w:val="004D7B2B"/>
    <w:rsid w:val="00527CA6"/>
    <w:rsid w:val="00557F80"/>
    <w:rsid w:val="005A28F3"/>
    <w:rsid w:val="005F3F35"/>
    <w:rsid w:val="007931F7"/>
    <w:rsid w:val="00807C5C"/>
    <w:rsid w:val="00913797"/>
    <w:rsid w:val="00945725"/>
    <w:rsid w:val="009D4428"/>
    <w:rsid w:val="00AD3BE0"/>
    <w:rsid w:val="00B21E4D"/>
    <w:rsid w:val="00CB77BC"/>
    <w:rsid w:val="00CE1BAF"/>
    <w:rsid w:val="00DA4BEA"/>
    <w:rsid w:val="00DC5EB1"/>
    <w:rsid w:val="00E5012E"/>
    <w:rsid w:val="00EA0D82"/>
    <w:rsid w:val="00EC011B"/>
    <w:rsid w:val="00F13E0A"/>
    <w:rsid w:val="00F14691"/>
    <w:rsid w:val="00F14761"/>
    <w:rsid w:val="00F63939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9D44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D4428"/>
    <w:pPr>
      <w:widowControl w:val="0"/>
      <w:shd w:val="clear" w:color="auto" w:fill="FFFFFF"/>
      <w:spacing w:before="280" w:after="280" w:line="200" w:lineRule="exact"/>
      <w:ind w:hanging="400"/>
    </w:pPr>
    <w:rPr>
      <w:rFonts w:ascii="Arial" w:eastAsia="Arial" w:hAnsi="Arial" w:cs="Arial"/>
      <w:b/>
      <w:bCs/>
      <w:sz w:val="18"/>
      <w:szCs w:val="1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locked/>
    <w:rsid w:val="009D442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9D4428"/>
    <w:pPr>
      <w:widowControl w:val="0"/>
      <w:shd w:val="clear" w:color="auto" w:fill="FFFFFF"/>
      <w:spacing w:before="360" w:after="280" w:line="269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sid w:val="009D442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9D442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9D4428"/>
    <w:pPr>
      <w:widowControl w:val="0"/>
      <w:shd w:val="clear" w:color="auto" w:fill="FFFFFF"/>
      <w:spacing w:after="0" w:line="268" w:lineRule="exact"/>
      <w:jc w:val="both"/>
      <w:outlineLvl w:val="1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9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28"/>
    <w:rPr>
      <w:color w:val="0000FF" w:themeColor="hyperlink"/>
      <w:u w:val="singl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locked/>
    <w:rsid w:val="009D442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D4428"/>
    <w:pPr>
      <w:widowControl w:val="0"/>
      <w:shd w:val="clear" w:color="auto" w:fill="FFFFFF"/>
      <w:spacing w:after="460" w:line="290" w:lineRule="exact"/>
      <w:ind w:hanging="40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9D442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2C"/>
  </w:style>
  <w:style w:type="paragraph" w:styleId="Footer">
    <w:name w:val="footer"/>
    <w:basedOn w:val="Normal"/>
    <w:link w:val="Foot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2C"/>
  </w:style>
  <w:style w:type="paragraph" w:styleId="ListParagraph">
    <w:name w:val="List Paragraph"/>
    <w:basedOn w:val="Normal"/>
    <w:uiPriority w:val="34"/>
    <w:qFormat/>
    <w:rsid w:val="00F63939"/>
    <w:pPr>
      <w:ind w:left="720"/>
      <w:contextualSpacing/>
    </w:pPr>
  </w:style>
  <w:style w:type="paragraph" w:styleId="NoSpacing">
    <w:name w:val="No Spacing"/>
    <w:uiPriority w:val="1"/>
    <w:qFormat/>
    <w:rsid w:val="001F14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0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9D442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D4428"/>
    <w:pPr>
      <w:widowControl w:val="0"/>
      <w:shd w:val="clear" w:color="auto" w:fill="FFFFFF"/>
      <w:spacing w:before="280" w:after="280" w:line="200" w:lineRule="exact"/>
      <w:ind w:hanging="400"/>
    </w:pPr>
    <w:rPr>
      <w:rFonts w:ascii="Arial" w:eastAsia="Arial" w:hAnsi="Arial" w:cs="Arial"/>
      <w:b/>
      <w:bCs/>
      <w:sz w:val="18"/>
      <w:szCs w:val="1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locked/>
    <w:rsid w:val="009D442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9D4428"/>
    <w:pPr>
      <w:widowControl w:val="0"/>
      <w:shd w:val="clear" w:color="auto" w:fill="FFFFFF"/>
      <w:spacing w:before="360" w:after="280" w:line="269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sid w:val="009D442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9D442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9D4428"/>
    <w:pPr>
      <w:widowControl w:val="0"/>
      <w:shd w:val="clear" w:color="auto" w:fill="FFFFFF"/>
      <w:spacing w:after="0" w:line="268" w:lineRule="exact"/>
      <w:jc w:val="both"/>
      <w:outlineLvl w:val="1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9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28"/>
    <w:rPr>
      <w:color w:val="0000FF" w:themeColor="hyperlink"/>
      <w:u w:val="singl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locked/>
    <w:rsid w:val="009D442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D4428"/>
    <w:pPr>
      <w:widowControl w:val="0"/>
      <w:shd w:val="clear" w:color="auto" w:fill="FFFFFF"/>
      <w:spacing w:after="460" w:line="290" w:lineRule="exact"/>
      <w:ind w:hanging="40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9D442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2C"/>
  </w:style>
  <w:style w:type="paragraph" w:styleId="Footer">
    <w:name w:val="footer"/>
    <w:basedOn w:val="Normal"/>
    <w:link w:val="FooterChar"/>
    <w:uiPriority w:val="99"/>
    <w:unhideWhenUsed/>
    <w:rsid w:val="001F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2C"/>
  </w:style>
  <w:style w:type="paragraph" w:styleId="ListParagraph">
    <w:name w:val="List Paragraph"/>
    <w:basedOn w:val="Normal"/>
    <w:uiPriority w:val="34"/>
    <w:qFormat/>
    <w:rsid w:val="00F63939"/>
    <w:pPr>
      <w:ind w:left="720"/>
      <w:contextualSpacing/>
    </w:pPr>
  </w:style>
  <w:style w:type="paragraph" w:styleId="NoSpacing">
    <w:name w:val="No Spacing"/>
    <w:uiPriority w:val="1"/>
    <w:qFormat/>
    <w:rsid w:val="001F14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0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nes.gov.uk/services/children-young-people-and-families/early-help-support-families" TargetMode="External"/><Relationship Id="rId13" Type="http://schemas.openxmlformats.org/officeDocument/2006/relationships/hyperlink" Target="file:///\\hera\users$\JonesS6\bath_north_east_somerset_referral_form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athnes.gov.uk/services/children-young-people-and-families/early-help-support-famil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ceduresonline.com/swc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ceduresonline.com/swcp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thnes.gov.uk/services/children-young-people-and-families/child-protec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hera\users$\JonesS6\bath_north_east_somerset_referral_form.docx" TargetMode="External"/><Relationship Id="rId14" Type="http://schemas.openxmlformats.org/officeDocument/2006/relationships/hyperlink" Target="https://www.bathnes.gov.uk/services/children-young-people-and-families/child-protec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Zywek</dc:creator>
  <cp:lastModifiedBy>Sally Churchyard</cp:lastModifiedBy>
  <cp:revision>13</cp:revision>
  <cp:lastPrinted>2019-06-11T10:26:00Z</cp:lastPrinted>
  <dcterms:created xsi:type="dcterms:W3CDTF">2019-06-11T10:23:00Z</dcterms:created>
  <dcterms:modified xsi:type="dcterms:W3CDTF">2019-09-22T23:03:00Z</dcterms:modified>
</cp:coreProperties>
</file>