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B53DA5" w:rsidRPr="002B3B5C" w:rsidRDefault="00B53DA5"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rsidTr="0093521F">
        <w:tblPrEx>
          <w:tblCellMar>
            <w:top w:w="0" w:type="dxa"/>
            <w:bottom w:w="0" w:type="dxa"/>
          </w:tblCellMar>
        </w:tblPrEx>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vAlign w:val="center"/>
          </w:tcPr>
          <w:p w:rsidR="002B3B5C" w:rsidRPr="000159C8" w:rsidRDefault="00EA7774" w:rsidP="000159C8">
            <w:pPr>
              <w:rPr>
                <w:sz w:val="24"/>
                <w:szCs w:val="24"/>
              </w:rPr>
            </w:pPr>
            <w:bookmarkStart w:id="0" w:name="_GoBack"/>
            <w:r>
              <w:rPr>
                <w:sz w:val="24"/>
                <w:szCs w:val="24"/>
              </w:rPr>
              <w:t>Consultation on the Proposal to Close Camerton Church School</w:t>
            </w:r>
            <w:bookmarkEnd w:id="0"/>
          </w:p>
        </w:tc>
      </w:tr>
      <w:tr w:rsidR="002B3B5C" w:rsidTr="0093521F">
        <w:tblPrEx>
          <w:tblCellMar>
            <w:top w:w="0" w:type="dxa"/>
            <w:bottom w:w="0" w:type="dxa"/>
          </w:tblCellMar>
        </w:tblPrEx>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vAlign w:val="center"/>
          </w:tcPr>
          <w:p w:rsidR="002B3B5C" w:rsidRPr="000159C8" w:rsidRDefault="00B53DA5" w:rsidP="0093521F">
            <w:pPr>
              <w:spacing w:before="240"/>
              <w:rPr>
                <w:sz w:val="24"/>
                <w:szCs w:val="24"/>
              </w:rPr>
            </w:pPr>
            <w:r w:rsidRPr="000159C8">
              <w:rPr>
                <w:sz w:val="24"/>
                <w:szCs w:val="24"/>
              </w:rPr>
              <w:t>People and Communities, Schools Capital and Organisation Team</w:t>
            </w:r>
          </w:p>
        </w:tc>
      </w:tr>
      <w:tr w:rsidR="002B3B5C" w:rsidTr="0093521F">
        <w:tblPrEx>
          <w:tblCellMar>
            <w:top w:w="0" w:type="dxa"/>
            <w:bottom w:w="0" w:type="dxa"/>
          </w:tblCellMar>
        </w:tblPrEx>
        <w:tc>
          <w:tcPr>
            <w:tcW w:w="5920" w:type="dxa"/>
            <w:vAlign w:val="center"/>
          </w:tcPr>
          <w:p w:rsidR="00AF3E20" w:rsidRDefault="00AF3E20"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vAlign w:val="center"/>
          </w:tcPr>
          <w:p w:rsidR="002B3B5C" w:rsidRPr="000159C8" w:rsidRDefault="00B53DA5" w:rsidP="0093521F">
            <w:pPr>
              <w:spacing w:before="240"/>
              <w:rPr>
                <w:sz w:val="24"/>
                <w:szCs w:val="24"/>
              </w:rPr>
            </w:pPr>
            <w:r w:rsidRPr="000159C8">
              <w:rPr>
                <w:sz w:val="24"/>
                <w:szCs w:val="24"/>
              </w:rPr>
              <w:t>Helen Hoynes, School Organisation Manager</w:t>
            </w:r>
          </w:p>
        </w:tc>
      </w:tr>
      <w:tr w:rsidR="002B3B5C" w:rsidTr="0093521F">
        <w:tblPrEx>
          <w:tblCellMar>
            <w:top w:w="0" w:type="dxa"/>
            <w:bottom w:w="0" w:type="dxa"/>
          </w:tblCellMar>
        </w:tblPrEx>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vAlign w:val="center"/>
          </w:tcPr>
          <w:p w:rsidR="0093521F" w:rsidRPr="000159C8" w:rsidRDefault="0093521F" w:rsidP="0093521F">
            <w:pPr>
              <w:rPr>
                <w:sz w:val="24"/>
                <w:szCs w:val="24"/>
              </w:rPr>
            </w:pPr>
          </w:p>
          <w:p w:rsidR="002B3B5C" w:rsidRPr="000159C8" w:rsidRDefault="00EA7774" w:rsidP="00EA7774">
            <w:pPr>
              <w:rPr>
                <w:sz w:val="24"/>
                <w:szCs w:val="24"/>
              </w:rPr>
            </w:pPr>
            <w:r>
              <w:rPr>
                <w:sz w:val="24"/>
                <w:szCs w:val="24"/>
              </w:rPr>
              <w:t>16 October</w:t>
            </w:r>
            <w:r w:rsidR="000159C8" w:rsidRPr="000159C8">
              <w:rPr>
                <w:sz w:val="24"/>
                <w:szCs w:val="24"/>
              </w:rPr>
              <w:t xml:space="preserve"> 2017</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is a process of systematically analysing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7"/>
        <w:gridCol w:w="5237"/>
        <w:gridCol w:w="26"/>
        <w:gridCol w:w="650"/>
        <w:gridCol w:w="3437"/>
        <w:gridCol w:w="4081"/>
        <w:gridCol w:w="32"/>
        <w:tblGridChange w:id="1">
          <w:tblGrid>
            <w:gridCol w:w="684"/>
            <w:gridCol w:w="27"/>
            <w:gridCol w:w="5237"/>
            <w:gridCol w:w="26"/>
            <w:gridCol w:w="650"/>
            <w:gridCol w:w="3437"/>
            <w:gridCol w:w="4081"/>
            <w:gridCol w:w="32"/>
          </w:tblGrid>
        </w:tblGridChange>
      </w:tblGrid>
      <w:tr w:rsidR="00744837" w:rsidTr="008D13A5">
        <w:trPr>
          <w:gridAfter w:val="1"/>
          <w:wAfter w:w="32" w:type="dxa"/>
        </w:trPr>
        <w:tc>
          <w:tcPr>
            <w:tcW w:w="711" w:type="dxa"/>
            <w:gridSpan w:val="2"/>
            <w:shd w:val="clear" w:color="auto" w:fill="D9D9D9"/>
            <w:vAlign w:val="center"/>
          </w:tcPr>
          <w:p w:rsidR="00744837" w:rsidRDefault="00744837" w:rsidP="00744837">
            <w:r w:rsidRPr="00744837">
              <w:rPr>
                <w:b/>
                <w:sz w:val="24"/>
                <w:szCs w:val="24"/>
              </w:rPr>
              <w:t>1.</w:t>
            </w:r>
            <w:r>
              <w:t xml:space="preserve"> </w:t>
            </w:r>
          </w:p>
        </w:tc>
        <w:tc>
          <w:tcPr>
            <w:tcW w:w="13431" w:type="dxa"/>
            <w:gridSpan w:val="5"/>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rsidR="00744837" w:rsidRDefault="00744837" w:rsidP="00744837">
            <w:pPr>
              <w:rPr>
                <w:b/>
                <w:sz w:val="24"/>
                <w:szCs w:val="24"/>
              </w:rPr>
            </w:pPr>
          </w:p>
        </w:tc>
      </w:tr>
      <w:tr w:rsidR="002B3B5C" w:rsidTr="008D13A5">
        <w:trPr>
          <w:gridAfter w:val="1"/>
          <w:wAfter w:w="32" w:type="dxa"/>
          <w:trHeight w:val="407"/>
        </w:trPr>
        <w:tc>
          <w:tcPr>
            <w:tcW w:w="711" w:type="dxa"/>
            <w:gridSpan w:val="2"/>
          </w:tcPr>
          <w:p w:rsidR="002B3B5C" w:rsidRDefault="002B3B5C"/>
        </w:tc>
        <w:tc>
          <w:tcPr>
            <w:tcW w:w="5263" w:type="dxa"/>
            <w:gridSpan w:val="2"/>
          </w:tcPr>
          <w:p w:rsidR="002B3B5C" w:rsidRDefault="002B3B5C" w:rsidP="002B3B5C">
            <w:pPr>
              <w:rPr>
                <w:b/>
                <w:sz w:val="24"/>
                <w:szCs w:val="24"/>
              </w:rPr>
            </w:pPr>
            <w:r>
              <w:rPr>
                <w:b/>
                <w:sz w:val="24"/>
                <w:szCs w:val="24"/>
              </w:rPr>
              <w:t>Key questions</w:t>
            </w:r>
          </w:p>
        </w:tc>
        <w:tc>
          <w:tcPr>
            <w:tcW w:w="8168" w:type="dxa"/>
            <w:gridSpan w:val="3"/>
            <w:vAlign w:val="center"/>
          </w:tcPr>
          <w:p w:rsidR="002B3B5C" w:rsidRDefault="002B3B5C">
            <w:pPr>
              <w:rPr>
                <w:b/>
                <w:sz w:val="24"/>
                <w:szCs w:val="24"/>
              </w:rPr>
            </w:pPr>
            <w:r>
              <w:rPr>
                <w:b/>
                <w:sz w:val="24"/>
                <w:szCs w:val="24"/>
              </w:rPr>
              <w:t>Answers / Notes</w:t>
            </w:r>
          </w:p>
        </w:tc>
      </w:tr>
      <w:tr w:rsidR="002B3B5C" w:rsidTr="008D13A5">
        <w:trPr>
          <w:gridAfter w:val="1"/>
          <w:wAfter w:w="32" w:type="dxa"/>
        </w:trPr>
        <w:tc>
          <w:tcPr>
            <w:tcW w:w="711" w:type="dxa"/>
            <w:gridSpan w:val="2"/>
          </w:tcPr>
          <w:p w:rsidR="002B3B5C" w:rsidRPr="002B3B5C" w:rsidRDefault="002B3B5C" w:rsidP="002B3B5C">
            <w:pPr>
              <w:rPr>
                <w:b/>
                <w:sz w:val="24"/>
                <w:szCs w:val="24"/>
              </w:rPr>
            </w:pPr>
            <w:r w:rsidRPr="002B3B5C">
              <w:rPr>
                <w:b/>
                <w:sz w:val="24"/>
                <w:szCs w:val="24"/>
              </w:rPr>
              <w:t>1.1</w:t>
            </w:r>
          </w:p>
        </w:tc>
        <w:tc>
          <w:tcPr>
            <w:tcW w:w="5263" w:type="dxa"/>
            <w:gridSpan w:val="2"/>
          </w:tcPr>
          <w:p w:rsidR="002B3B5C" w:rsidRDefault="002B3B5C" w:rsidP="002B3B5C">
            <w:pPr>
              <w:rPr>
                <w:sz w:val="24"/>
                <w:szCs w:val="24"/>
              </w:rPr>
            </w:pPr>
            <w:r>
              <w:rPr>
                <w:sz w:val="24"/>
                <w:szCs w:val="24"/>
              </w:rPr>
              <w:t>Briefly describe purpose of the service/policy including</w:t>
            </w:r>
          </w:p>
          <w:p w:rsidR="002B3B5C" w:rsidRDefault="002B3B5C" w:rsidP="002B3B5C">
            <w:pPr>
              <w:numPr>
                <w:ilvl w:val="0"/>
                <w:numId w:val="15"/>
              </w:numPr>
              <w:rPr>
                <w:sz w:val="24"/>
                <w:szCs w:val="24"/>
              </w:rPr>
            </w:pPr>
            <w:r>
              <w:rPr>
                <w:sz w:val="24"/>
                <w:szCs w:val="24"/>
              </w:rPr>
              <w:t>How the service/policy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8168" w:type="dxa"/>
            <w:gridSpan w:val="3"/>
          </w:tcPr>
          <w:p w:rsidR="002B3B5C" w:rsidRPr="00224788" w:rsidRDefault="00224788" w:rsidP="002B3B5C">
            <w:pPr>
              <w:rPr>
                <w:sz w:val="24"/>
                <w:szCs w:val="24"/>
              </w:rPr>
            </w:pPr>
            <w:r w:rsidRPr="00224788">
              <w:rPr>
                <w:sz w:val="24"/>
                <w:szCs w:val="24"/>
              </w:rPr>
              <w:t>Consultation on the Governing Body’s proposal to close Camerton Church School.</w:t>
            </w:r>
          </w:p>
          <w:p w:rsidR="000159C8" w:rsidRPr="00224788" w:rsidRDefault="000159C8" w:rsidP="00195C8F">
            <w:pPr>
              <w:rPr>
                <w:sz w:val="24"/>
                <w:szCs w:val="24"/>
              </w:rPr>
            </w:pPr>
          </w:p>
          <w:p w:rsidR="00195C8F" w:rsidRPr="00224788" w:rsidRDefault="00195C8F" w:rsidP="00195C8F">
            <w:pPr>
              <w:rPr>
                <w:sz w:val="24"/>
                <w:szCs w:val="24"/>
              </w:rPr>
            </w:pPr>
            <w:r w:rsidRPr="00224788">
              <w:rPr>
                <w:sz w:val="24"/>
                <w:szCs w:val="24"/>
              </w:rPr>
              <w:t>Delivered jointly b</w:t>
            </w:r>
            <w:r w:rsidR="00224788" w:rsidRPr="00224788">
              <w:rPr>
                <w:sz w:val="24"/>
                <w:szCs w:val="24"/>
              </w:rPr>
              <w:t>y</w:t>
            </w:r>
            <w:r w:rsidRPr="00224788">
              <w:rPr>
                <w:sz w:val="24"/>
                <w:szCs w:val="24"/>
              </w:rPr>
              <w:t xml:space="preserve"> the Council</w:t>
            </w:r>
            <w:r w:rsidR="00224788" w:rsidRPr="00224788">
              <w:rPr>
                <w:sz w:val="24"/>
                <w:szCs w:val="24"/>
              </w:rPr>
              <w:t xml:space="preserve"> and the school Governing Body.</w:t>
            </w:r>
          </w:p>
          <w:p w:rsidR="00195C8F" w:rsidRPr="00224788" w:rsidRDefault="00195C8F" w:rsidP="00195C8F">
            <w:pPr>
              <w:rPr>
                <w:sz w:val="24"/>
                <w:szCs w:val="24"/>
              </w:rPr>
            </w:pPr>
          </w:p>
          <w:p w:rsidR="00224788" w:rsidRPr="00224788" w:rsidRDefault="00224788" w:rsidP="00224788">
            <w:pPr>
              <w:rPr>
                <w:sz w:val="24"/>
                <w:szCs w:val="24"/>
              </w:rPr>
            </w:pPr>
          </w:p>
          <w:p w:rsidR="00195C8F" w:rsidRPr="000159C8" w:rsidRDefault="00195C8F" w:rsidP="00224788">
            <w:pPr>
              <w:rPr>
                <w:sz w:val="24"/>
                <w:szCs w:val="24"/>
              </w:rPr>
            </w:pPr>
            <w:r w:rsidRPr="00224788">
              <w:rPr>
                <w:sz w:val="24"/>
                <w:szCs w:val="24"/>
              </w:rPr>
              <w:t xml:space="preserve">Provision of sufficient school places </w:t>
            </w:r>
            <w:r w:rsidR="00224788" w:rsidRPr="00224788">
              <w:rPr>
                <w:sz w:val="24"/>
                <w:szCs w:val="24"/>
              </w:rPr>
              <w:t xml:space="preserve">to meet demand </w:t>
            </w:r>
            <w:r w:rsidRPr="00224788">
              <w:rPr>
                <w:sz w:val="24"/>
                <w:szCs w:val="24"/>
              </w:rPr>
              <w:t>located as closely as possible to the area where they are needed</w:t>
            </w:r>
            <w:r w:rsidR="003C3057" w:rsidRPr="00224788">
              <w:rPr>
                <w:sz w:val="24"/>
                <w:szCs w:val="24"/>
              </w:rPr>
              <w:t>,</w:t>
            </w:r>
            <w:r w:rsidRPr="00224788">
              <w:rPr>
                <w:sz w:val="24"/>
                <w:szCs w:val="24"/>
              </w:rPr>
              <w:t xml:space="preserve"> </w:t>
            </w:r>
            <w:r w:rsidR="00224788" w:rsidRPr="00224788">
              <w:rPr>
                <w:sz w:val="24"/>
                <w:szCs w:val="24"/>
              </w:rPr>
              <w:t>delivering good educational, social and emotional outcomes for children</w:t>
            </w:r>
            <w:r w:rsidRPr="00224788">
              <w:rPr>
                <w:sz w:val="24"/>
                <w:szCs w:val="24"/>
              </w:rPr>
              <w:t>.</w:t>
            </w:r>
          </w:p>
        </w:tc>
      </w:tr>
      <w:tr w:rsidR="002B3B5C" w:rsidTr="008D13A5">
        <w:trPr>
          <w:gridAfter w:val="1"/>
          <w:wAfter w:w="32" w:type="dxa"/>
        </w:trPr>
        <w:tc>
          <w:tcPr>
            <w:tcW w:w="711" w:type="dxa"/>
            <w:gridSpan w:val="2"/>
          </w:tcPr>
          <w:p w:rsidR="002B3B5C" w:rsidRPr="002B3B5C" w:rsidRDefault="002B3B5C">
            <w:pPr>
              <w:rPr>
                <w:b/>
                <w:sz w:val="24"/>
                <w:szCs w:val="24"/>
              </w:rPr>
            </w:pPr>
            <w:r w:rsidRPr="002B3B5C">
              <w:rPr>
                <w:b/>
                <w:sz w:val="24"/>
                <w:szCs w:val="24"/>
              </w:rPr>
              <w:t>1.2</w:t>
            </w:r>
          </w:p>
        </w:tc>
        <w:tc>
          <w:tcPr>
            <w:tcW w:w="5263" w:type="dxa"/>
            <w:gridSpan w:val="2"/>
          </w:tcPr>
          <w:p w:rsidR="002B3B5C" w:rsidRDefault="002B3B5C">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2B3B5C" w:rsidRDefault="002B3B5C"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Is it a national 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168" w:type="dxa"/>
            <w:gridSpan w:val="3"/>
          </w:tcPr>
          <w:p w:rsidR="00195C8F" w:rsidRPr="005338E1" w:rsidRDefault="00195C8F" w:rsidP="007F19B6">
            <w:pPr>
              <w:rPr>
                <w:color w:val="FF0000"/>
                <w:sz w:val="24"/>
                <w:szCs w:val="24"/>
              </w:rPr>
            </w:pPr>
          </w:p>
          <w:p w:rsidR="00195C8F" w:rsidRPr="005338E1" w:rsidRDefault="00195C8F" w:rsidP="007F19B6">
            <w:pPr>
              <w:rPr>
                <w:color w:val="FF0000"/>
                <w:sz w:val="24"/>
                <w:szCs w:val="24"/>
              </w:rPr>
            </w:pPr>
          </w:p>
          <w:p w:rsidR="00195C8F" w:rsidRPr="00281181" w:rsidRDefault="00281181" w:rsidP="007F19B6">
            <w:pPr>
              <w:rPr>
                <w:sz w:val="24"/>
                <w:szCs w:val="24"/>
              </w:rPr>
            </w:pPr>
            <w:r w:rsidRPr="00281181">
              <w:rPr>
                <w:sz w:val="24"/>
                <w:szCs w:val="24"/>
              </w:rPr>
              <w:t>A new proposal to close Camerton Church School.</w:t>
            </w:r>
          </w:p>
          <w:p w:rsidR="00195C8F" w:rsidRPr="005338E1" w:rsidRDefault="00195C8F" w:rsidP="007F19B6">
            <w:pPr>
              <w:rPr>
                <w:color w:val="FF0000"/>
                <w:sz w:val="24"/>
                <w:szCs w:val="24"/>
              </w:rPr>
            </w:pPr>
          </w:p>
          <w:p w:rsidR="000159C8" w:rsidRPr="000D2F04" w:rsidRDefault="00281181" w:rsidP="007F19B6">
            <w:pPr>
              <w:rPr>
                <w:sz w:val="24"/>
                <w:szCs w:val="24"/>
              </w:rPr>
            </w:pPr>
            <w:r w:rsidRPr="000D2F04">
              <w:rPr>
                <w:sz w:val="24"/>
                <w:szCs w:val="24"/>
              </w:rPr>
              <w:t xml:space="preserve">The process involved when it is proposed to close a school is a national one </w:t>
            </w:r>
            <w:r w:rsidR="000D2F04" w:rsidRPr="000D2F04">
              <w:rPr>
                <w:sz w:val="24"/>
                <w:szCs w:val="24"/>
              </w:rPr>
              <w:t>laid down by the government.</w:t>
            </w:r>
          </w:p>
          <w:p w:rsidR="002B3B5C" w:rsidRDefault="002B3B5C" w:rsidP="0093521F">
            <w:pPr>
              <w:rPr>
                <w:color w:val="FF0000"/>
                <w:sz w:val="24"/>
                <w:szCs w:val="24"/>
              </w:rPr>
            </w:pPr>
          </w:p>
          <w:p w:rsidR="000D2F04" w:rsidRPr="000D2F04" w:rsidRDefault="000D2F04" w:rsidP="000D2F04">
            <w:pPr>
              <w:rPr>
                <w:sz w:val="24"/>
                <w:szCs w:val="24"/>
              </w:rPr>
            </w:pPr>
            <w:r w:rsidRPr="000D2F04">
              <w:rPr>
                <w:sz w:val="24"/>
                <w:szCs w:val="24"/>
              </w:rPr>
              <w:t>If the Cabinet decide</w:t>
            </w:r>
            <w:r>
              <w:rPr>
                <w:sz w:val="24"/>
                <w:szCs w:val="24"/>
              </w:rPr>
              <w:t>s</w:t>
            </w:r>
            <w:r w:rsidRPr="000D2F04">
              <w:rPr>
                <w:sz w:val="24"/>
                <w:szCs w:val="24"/>
              </w:rPr>
              <w:t xml:space="preserve"> to proceed with the closure proposal, there will be a second opportunity for public consultation prior to a final decision being made.</w:t>
            </w:r>
          </w:p>
        </w:tc>
      </w:tr>
      <w:tr w:rsidR="002B3B5C" w:rsidTr="008D13A5">
        <w:trPr>
          <w:gridAfter w:val="1"/>
          <w:wAfter w:w="32" w:type="dxa"/>
        </w:trPr>
        <w:tc>
          <w:tcPr>
            <w:tcW w:w="711"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lastRenderedPageBreak/>
              <w:t>1.3</w:t>
            </w:r>
          </w:p>
        </w:tc>
        <w:tc>
          <w:tcPr>
            <w:tcW w:w="5263" w:type="dxa"/>
            <w:gridSpan w:val="2"/>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8168" w:type="dxa"/>
            <w:gridSpan w:val="3"/>
          </w:tcPr>
          <w:p w:rsidR="002B3B5C" w:rsidRPr="000D2F04" w:rsidRDefault="00A806B1">
            <w:pPr>
              <w:spacing w:before="40" w:after="40"/>
              <w:rPr>
                <w:bCs/>
                <w:sz w:val="24"/>
                <w:szCs w:val="24"/>
              </w:rPr>
            </w:pPr>
            <w:r w:rsidRPr="000D2F04">
              <w:rPr>
                <w:bCs/>
                <w:sz w:val="24"/>
                <w:szCs w:val="24"/>
              </w:rPr>
              <w:t xml:space="preserve">Links to </w:t>
            </w:r>
            <w:r w:rsidR="000D2F04" w:rsidRPr="000D2F04">
              <w:rPr>
                <w:bCs/>
                <w:sz w:val="24"/>
                <w:szCs w:val="24"/>
              </w:rPr>
              <w:t xml:space="preserve">the </w:t>
            </w:r>
            <w:r w:rsidR="00195C8F" w:rsidRPr="000D2F04">
              <w:rPr>
                <w:bCs/>
                <w:sz w:val="24"/>
                <w:szCs w:val="24"/>
              </w:rPr>
              <w:t>School Admissions Code</w:t>
            </w:r>
          </w:p>
        </w:tc>
      </w:tr>
      <w:tr w:rsidR="002B3B5C">
        <w:trPr>
          <w:gridAfter w:val="1"/>
          <w:wAfter w:w="32" w:type="dxa"/>
        </w:trPr>
        <w:tc>
          <w:tcPr>
            <w:tcW w:w="14142" w:type="dxa"/>
            <w:gridSpan w:val="7"/>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7"/>
          </w:tcPr>
          <w:p w:rsidR="002B3B5C" w:rsidRDefault="002B3B5C">
            <w:pPr>
              <w:rPr>
                <w:b/>
                <w:sz w:val="24"/>
                <w:szCs w:val="24"/>
              </w:rPr>
            </w:pPr>
          </w:p>
          <w:p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2B3B5C">
            <w:pPr>
              <w:rPr>
                <w:rFonts w:cs="Arial"/>
                <w:sz w:val="24"/>
                <w:szCs w:val="24"/>
              </w:rPr>
            </w:pPr>
          </w:p>
          <w:p w:rsidR="002B3B5C" w:rsidRPr="002B3B5C" w:rsidRDefault="002B3B5C"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2B3B5C" w:rsidRDefault="002B3B5C">
            <w:pPr>
              <w:rPr>
                <w:b/>
                <w:sz w:val="24"/>
                <w:szCs w:val="24"/>
              </w:rPr>
            </w:pPr>
          </w:p>
        </w:tc>
      </w:tr>
      <w:tr w:rsidR="002B3B5C" w:rsidTr="008D13A5">
        <w:trPr>
          <w:gridAfter w:val="1"/>
          <w:wAfter w:w="32" w:type="dxa"/>
        </w:trPr>
        <w:tc>
          <w:tcPr>
            <w:tcW w:w="711" w:type="dxa"/>
            <w:gridSpan w:val="2"/>
          </w:tcPr>
          <w:p w:rsidR="002B3B5C" w:rsidRDefault="002B3B5C">
            <w:pPr>
              <w:rPr>
                <w:sz w:val="24"/>
                <w:szCs w:val="24"/>
              </w:rPr>
            </w:pPr>
          </w:p>
        </w:tc>
        <w:tc>
          <w:tcPr>
            <w:tcW w:w="5913" w:type="dxa"/>
            <w:gridSpan w:val="3"/>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7518"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7F19B6" w:rsidTr="008D13A5">
        <w:trPr>
          <w:gridAfter w:val="1"/>
          <w:wAfter w:w="32" w:type="dxa"/>
        </w:trPr>
        <w:tc>
          <w:tcPr>
            <w:tcW w:w="711" w:type="dxa"/>
            <w:gridSpan w:val="2"/>
          </w:tcPr>
          <w:p w:rsidR="007F19B6" w:rsidRPr="002B3B5C" w:rsidRDefault="007F19B6">
            <w:pPr>
              <w:rPr>
                <w:b/>
                <w:sz w:val="24"/>
                <w:szCs w:val="24"/>
              </w:rPr>
            </w:pPr>
            <w:r w:rsidRPr="002B3B5C">
              <w:rPr>
                <w:b/>
                <w:sz w:val="24"/>
                <w:szCs w:val="24"/>
              </w:rPr>
              <w:t>2.1</w:t>
            </w:r>
          </w:p>
        </w:tc>
        <w:tc>
          <w:tcPr>
            <w:tcW w:w="5913" w:type="dxa"/>
            <w:gridSpan w:val="3"/>
          </w:tcPr>
          <w:p w:rsidR="007F19B6" w:rsidRPr="00F93043" w:rsidRDefault="007F19B6">
            <w:pPr>
              <w:rPr>
                <w:sz w:val="24"/>
                <w:szCs w:val="24"/>
              </w:rPr>
            </w:pPr>
            <w:r>
              <w:rPr>
                <w:sz w:val="24"/>
                <w:szCs w:val="24"/>
              </w:rPr>
              <w:t xml:space="preserve">What is the equalities profile of the team delivering the service/policy? </w:t>
            </w:r>
          </w:p>
        </w:tc>
        <w:tc>
          <w:tcPr>
            <w:tcW w:w="7518" w:type="dxa"/>
            <w:gridSpan w:val="2"/>
            <w:shd w:val="clear" w:color="auto" w:fill="auto"/>
          </w:tcPr>
          <w:p w:rsidR="007F19B6" w:rsidRPr="000D2F04" w:rsidRDefault="0093521F" w:rsidP="007F19B6">
            <w:pPr>
              <w:rPr>
                <w:sz w:val="24"/>
                <w:szCs w:val="24"/>
              </w:rPr>
            </w:pPr>
            <w:r w:rsidRPr="000D2F04">
              <w:rPr>
                <w:sz w:val="24"/>
                <w:szCs w:val="24"/>
              </w:rPr>
              <w:t>Unknown</w:t>
            </w:r>
            <w:r w:rsidR="00732E58" w:rsidRPr="000D2F04">
              <w:rPr>
                <w:sz w:val="24"/>
                <w:szCs w:val="24"/>
              </w:rPr>
              <w:t xml:space="preserve">. </w:t>
            </w:r>
          </w:p>
        </w:tc>
      </w:tr>
      <w:tr w:rsidR="007F19B6" w:rsidTr="008D13A5">
        <w:trPr>
          <w:gridAfter w:val="1"/>
          <w:wAfter w:w="32" w:type="dxa"/>
          <w:trHeight w:val="104"/>
        </w:trPr>
        <w:tc>
          <w:tcPr>
            <w:tcW w:w="711" w:type="dxa"/>
            <w:gridSpan w:val="2"/>
          </w:tcPr>
          <w:p w:rsidR="007F19B6" w:rsidRPr="002B3B5C" w:rsidRDefault="007F19B6">
            <w:pPr>
              <w:rPr>
                <w:b/>
                <w:sz w:val="24"/>
                <w:szCs w:val="24"/>
              </w:rPr>
            </w:pPr>
            <w:r w:rsidRPr="002B3B5C">
              <w:rPr>
                <w:b/>
                <w:sz w:val="24"/>
                <w:szCs w:val="24"/>
              </w:rPr>
              <w:t>2.2</w:t>
            </w:r>
          </w:p>
        </w:tc>
        <w:tc>
          <w:tcPr>
            <w:tcW w:w="5913" w:type="dxa"/>
            <w:gridSpan w:val="3"/>
          </w:tcPr>
          <w:p w:rsidR="007F19B6" w:rsidRDefault="007F19B6">
            <w:pPr>
              <w:rPr>
                <w:sz w:val="24"/>
                <w:szCs w:val="24"/>
              </w:rPr>
            </w:pPr>
            <w:r>
              <w:rPr>
                <w:sz w:val="24"/>
                <w:szCs w:val="24"/>
              </w:rPr>
              <w:t>What equalities training have staff received?</w:t>
            </w:r>
          </w:p>
        </w:tc>
        <w:tc>
          <w:tcPr>
            <w:tcW w:w="7518" w:type="dxa"/>
            <w:gridSpan w:val="2"/>
            <w:shd w:val="clear" w:color="auto" w:fill="auto"/>
          </w:tcPr>
          <w:p w:rsidR="007F19B6" w:rsidRPr="000D2F04" w:rsidRDefault="007F19B6">
            <w:pPr>
              <w:rPr>
                <w:sz w:val="24"/>
                <w:szCs w:val="24"/>
              </w:rPr>
            </w:pPr>
            <w:r w:rsidRPr="000D2F04">
              <w:rPr>
                <w:sz w:val="24"/>
                <w:szCs w:val="24"/>
              </w:rPr>
              <w:t>Unknown</w:t>
            </w:r>
          </w:p>
        </w:tc>
      </w:tr>
      <w:tr w:rsidR="007F19B6" w:rsidTr="008D13A5">
        <w:trPr>
          <w:gridAfter w:val="1"/>
          <w:wAfter w:w="32" w:type="dxa"/>
        </w:trPr>
        <w:tc>
          <w:tcPr>
            <w:tcW w:w="711" w:type="dxa"/>
            <w:gridSpan w:val="2"/>
          </w:tcPr>
          <w:p w:rsidR="007F19B6" w:rsidRPr="002B3B5C" w:rsidRDefault="007F19B6">
            <w:pPr>
              <w:rPr>
                <w:b/>
                <w:sz w:val="24"/>
                <w:szCs w:val="24"/>
              </w:rPr>
            </w:pPr>
            <w:r w:rsidRPr="002B3B5C">
              <w:rPr>
                <w:b/>
                <w:sz w:val="24"/>
                <w:szCs w:val="24"/>
              </w:rPr>
              <w:t>2.3</w:t>
            </w:r>
          </w:p>
        </w:tc>
        <w:tc>
          <w:tcPr>
            <w:tcW w:w="5913" w:type="dxa"/>
            <w:gridSpan w:val="3"/>
          </w:tcPr>
          <w:p w:rsidR="007F19B6" w:rsidRPr="00F93043" w:rsidRDefault="007F19B6">
            <w:pPr>
              <w:rPr>
                <w:sz w:val="24"/>
                <w:szCs w:val="24"/>
              </w:rPr>
            </w:pPr>
            <w:r w:rsidRPr="00F93043">
              <w:rPr>
                <w:sz w:val="24"/>
                <w:szCs w:val="24"/>
              </w:rPr>
              <w:t xml:space="preserve">What </w:t>
            </w:r>
            <w:r>
              <w:rPr>
                <w:sz w:val="24"/>
                <w:szCs w:val="24"/>
              </w:rPr>
              <w:t>is the equalities profile of service users</w:t>
            </w:r>
            <w:r w:rsidRPr="00F93043">
              <w:rPr>
                <w:sz w:val="24"/>
                <w:szCs w:val="24"/>
              </w:rPr>
              <w:t xml:space="preserve">?  </w:t>
            </w:r>
          </w:p>
        </w:tc>
        <w:tc>
          <w:tcPr>
            <w:tcW w:w="7518" w:type="dxa"/>
            <w:gridSpan w:val="2"/>
            <w:shd w:val="clear" w:color="auto" w:fill="auto"/>
          </w:tcPr>
          <w:p w:rsidR="007F19B6" w:rsidRPr="000D2F04" w:rsidRDefault="00EB64A7" w:rsidP="00EE4504">
            <w:pPr>
              <w:rPr>
                <w:sz w:val="24"/>
                <w:szCs w:val="24"/>
              </w:rPr>
            </w:pPr>
            <w:r>
              <w:rPr>
                <w:sz w:val="24"/>
                <w:szCs w:val="24"/>
              </w:rPr>
              <w:t>May 2017</w:t>
            </w:r>
            <w:r w:rsidR="007F19B6" w:rsidRPr="000D2F04">
              <w:rPr>
                <w:sz w:val="24"/>
                <w:szCs w:val="24"/>
              </w:rPr>
              <w:t xml:space="preserve"> School Census: </w:t>
            </w:r>
            <w:r w:rsidR="00F12530" w:rsidRPr="000D2F04">
              <w:rPr>
                <w:sz w:val="24"/>
                <w:szCs w:val="24"/>
              </w:rPr>
              <w:t xml:space="preserve">contains data on pupil gender, age, </w:t>
            </w:r>
            <w:r w:rsidR="007F19B6" w:rsidRPr="000D2F04">
              <w:rPr>
                <w:sz w:val="24"/>
                <w:szCs w:val="24"/>
              </w:rPr>
              <w:t>ethnicity</w:t>
            </w:r>
            <w:r w:rsidR="00F12530" w:rsidRPr="000D2F04">
              <w:rPr>
                <w:sz w:val="24"/>
                <w:szCs w:val="24"/>
              </w:rPr>
              <w:t xml:space="preserve">, language spoken, </w:t>
            </w:r>
            <w:r w:rsidR="007F19B6" w:rsidRPr="000D2F04">
              <w:rPr>
                <w:sz w:val="24"/>
                <w:szCs w:val="24"/>
              </w:rPr>
              <w:t>Special Educational Needs</w:t>
            </w:r>
            <w:r w:rsidR="00F12530" w:rsidRPr="000D2F04">
              <w:rPr>
                <w:sz w:val="24"/>
                <w:szCs w:val="24"/>
              </w:rPr>
              <w:t xml:space="preserve"> and</w:t>
            </w:r>
            <w:r w:rsidR="007F19B6" w:rsidRPr="000D2F04">
              <w:rPr>
                <w:sz w:val="24"/>
                <w:szCs w:val="24"/>
              </w:rPr>
              <w:t xml:space="preserve"> eli</w:t>
            </w:r>
            <w:r w:rsidR="00EE4504" w:rsidRPr="000D2F04">
              <w:rPr>
                <w:sz w:val="24"/>
                <w:szCs w:val="24"/>
              </w:rPr>
              <w:t>gibility for free school meals.</w:t>
            </w:r>
          </w:p>
          <w:p w:rsidR="00EE4504" w:rsidRPr="000D2F04" w:rsidRDefault="00EE4504" w:rsidP="00EE4504">
            <w:pPr>
              <w:rPr>
                <w:sz w:val="24"/>
                <w:szCs w:val="24"/>
              </w:rPr>
            </w:pPr>
            <w:r w:rsidRPr="000D2F04">
              <w:rPr>
                <w:sz w:val="24"/>
                <w:szCs w:val="24"/>
              </w:rPr>
              <w:t>Health Service data on births and resident population by Lower Super Output Area.</w:t>
            </w:r>
          </w:p>
          <w:p w:rsidR="009E6A77" w:rsidRPr="005338E1" w:rsidRDefault="009E6A77" w:rsidP="009E6A77">
            <w:pPr>
              <w:rPr>
                <w:color w:val="FF0000"/>
              </w:rPr>
            </w:pPr>
            <w:r w:rsidRPr="000D2F04">
              <w:rPr>
                <w:sz w:val="24"/>
                <w:szCs w:val="24"/>
              </w:rPr>
              <w:t>Data on current service users</w:t>
            </w:r>
          </w:p>
        </w:tc>
      </w:tr>
      <w:tr w:rsidR="007F19B6" w:rsidTr="008D13A5">
        <w:trPr>
          <w:gridAfter w:val="1"/>
          <w:wAfter w:w="32" w:type="dxa"/>
        </w:trPr>
        <w:tc>
          <w:tcPr>
            <w:tcW w:w="711" w:type="dxa"/>
            <w:gridSpan w:val="2"/>
          </w:tcPr>
          <w:p w:rsidR="007F19B6" w:rsidRPr="002B3B5C" w:rsidRDefault="007F19B6">
            <w:pPr>
              <w:rPr>
                <w:b/>
                <w:sz w:val="24"/>
                <w:szCs w:val="24"/>
              </w:rPr>
            </w:pPr>
            <w:r w:rsidRPr="002B3B5C">
              <w:rPr>
                <w:b/>
                <w:sz w:val="24"/>
                <w:szCs w:val="24"/>
              </w:rPr>
              <w:t xml:space="preserve">2.4 </w:t>
            </w:r>
          </w:p>
        </w:tc>
        <w:tc>
          <w:tcPr>
            <w:tcW w:w="5913" w:type="dxa"/>
            <w:gridSpan w:val="3"/>
          </w:tcPr>
          <w:p w:rsidR="007F19B6" w:rsidRPr="00F93043" w:rsidRDefault="007F19B6">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(e.g</w:t>
            </w:r>
            <w:r w:rsidR="00732E58">
              <w:rPr>
                <w:sz w:val="24"/>
                <w:szCs w:val="24"/>
              </w:rPr>
              <w:t>.</w:t>
            </w:r>
            <w:r>
              <w:rPr>
                <w:sz w:val="24"/>
                <w:szCs w:val="24"/>
              </w:rPr>
              <w:t xml:space="preserve"> results of customer satisfaction </w:t>
            </w:r>
            <w:r>
              <w:rPr>
                <w:sz w:val="24"/>
                <w:szCs w:val="24"/>
              </w:rPr>
              <w:lastRenderedPageBreak/>
              <w:t xml:space="preserve">surveys, consultation findings). Are there any gaps? </w:t>
            </w:r>
          </w:p>
        </w:tc>
        <w:tc>
          <w:tcPr>
            <w:tcW w:w="7518" w:type="dxa"/>
            <w:gridSpan w:val="2"/>
            <w:shd w:val="clear" w:color="auto" w:fill="auto"/>
          </w:tcPr>
          <w:p w:rsidR="007F19B6" w:rsidRPr="000D2F04" w:rsidRDefault="000D2F04" w:rsidP="00272C3A">
            <w:pPr>
              <w:rPr>
                <w:sz w:val="24"/>
                <w:szCs w:val="24"/>
              </w:rPr>
            </w:pPr>
            <w:r w:rsidRPr="000D2F04">
              <w:rPr>
                <w:sz w:val="24"/>
                <w:szCs w:val="24"/>
              </w:rPr>
              <w:lastRenderedPageBreak/>
              <w:t>Consultation</w:t>
            </w:r>
            <w:r w:rsidR="00180C7F" w:rsidRPr="000D2F04">
              <w:rPr>
                <w:sz w:val="24"/>
                <w:szCs w:val="24"/>
              </w:rPr>
              <w:t xml:space="preserve"> period findings</w:t>
            </w:r>
          </w:p>
          <w:p w:rsidR="009E2862" w:rsidRPr="005338E1" w:rsidRDefault="009E2862" w:rsidP="009E2862">
            <w:pPr>
              <w:rPr>
                <w:color w:val="FF0000"/>
                <w:sz w:val="24"/>
                <w:szCs w:val="24"/>
              </w:rPr>
            </w:pPr>
          </w:p>
        </w:tc>
      </w:tr>
      <w:tr w:rsidR="007F19B6" w:rsidTr="008D13A5">
        <w:trPr>
          <w:gridAfter w:val="1"/>
          <w:wAfter w:w="32" w:type="dxa"/>
        </w:trPr>
        <w:tc>
          <w:tcPr>
            <w:tcW w:w="711" w:type="dxa"/>
            <w:gridSpan w:val="2"/>
          </w:tcPr>
          <w:p w:rsidR="007F19B6" w:rsidRPr="002B3B5C" w:rsidRDefault="007F19B6">
            <w:pPr>
              <w:rPr>
                <w:b/>
                <w:sz w:val="24"/>
                <w:szCs w:val="24"/>
              </w:rPr>
            </w:pPr>
            <w:r>
              <w:rPr>
                <w:b/>
                <w:sz w:val="24"/>
                <w:szCs w:val="24"/>
              </w:rPr>
              <w:lastRenderedPageBreak/>
              <w:t>2.5</w:t>
            </w:r>
          </w:p>
        </w:tc>
        <w:tc>
          <w:tcPr>
            <w:tcW w:w="5913" w:type="dxa"/>
            <w:gridSpan w:val="3"/>
          </w:tcPr>
          <w:p w:rsidR="007F19B6" w:rsidRDefault="007F19B6">
            <w:pPr>
              <w:rPr>
                <w:sz w:val="24"/>
                <w:szCs w:val="24"/>
              </w:rPr>
            </w:pPr>
            <w:r>
              <w:rPr>
                <w:sz w:val="24"/>
                <w:szCs w:val="24"/>
              </w:rPr>
              <w:t>What engagement or consultation has been undertaken as part of this EIA and with whom?</w:t>
            </w:r>
          </w:p>
          <w:p w:rsidR="007F19B6" w:rsidRPr="00F93043" w:rsidRDefault="007F19B6">
            <w:pPr>
              <w:rPr>
                <w:sz w:val="24"/>
                <w:szCs w:val="24"/>
              </w:rPr>
            </w:pPr>
            <w:r>
              <w:rPr>
                <w:sz w:val="24"/>
                <w:szCs w:val="24"/>
              </w:rPr>
              <w:t>What were the results?</w:t>
            </w:r>
          </w:p>
        </w:tc>
        <w:tc>
          <w:tcPr>
            <w:tcW w:w="7518" w:type="dxa"/>
            <w:gridSpan w:val="2"/>
            <w:shd w:val="clear" w:color="auto" w:fill="auto"/>
          </w:tcPr>
          <w:p w:rsidR="004033F4" w:rsidRPr="00E36997" w:rsidRDefault="004033F4" w:rsidP="004033F4">
            <w:pPr>
              <w:pStyle w:val="Para-1stLevel"/>
              <w:numPr>
                <w:ilvl w:val="0"/>
                <w:numId w:val="0"/>
              </w:numPr>
              <w:ind w:left="39"/>
              <w:rPr>
                <w:sz w:val="24"/>
                <w:szCs w:val="24"/>
              </w:rPr>
            </w:pPr>
            <w:r w:rsidRPr="00E36997">
              <w:rPr>
                <w:sz w:val="24"/>
                <w:szCs w:val="24"/>
              </w:rPr>
              <w:t xml:space="preserve">The </w:t>
            </w:r>
            <w:r w:rsidR="00752B24" w:rsidRPr="00E36997">
              <w:rPr>
                <w:sz w:val="24"/>
                <w:szCs w:val="24"/>
              </w:rPr>
              <w:t xml:space="preserve">consultation </w:t>
            </w:r>
            <w:r w:rsidR="00E36997">
              <w:rPr>
                <w:sz w:val="24"/>
                <w:szCs w:val="24"/>
              </w:rPr>
              <w:t>and document were</w:t>
            </w:r>
            <w:r w:rsidR="00752B24" w:rsidRPr="00E36997">
              <w:rPr>
                <w:sz w:val="24"/>
                <w:szCs w:val="24"/>
              </w:rPr>
              <w:t xml:space="preserve"> </w:t>
            </w:r>
            <w:r w:rsidRPr="00E36997">
              <w:rPr>
                <w:sz w:val="24"/>
                <w:szCs w:val="24"/>
              </w:rPr>
              <w:t xml:space="preserve">published on the consultation section of the Council’s website. </w:t>
            </w:r>
          </w:p>
          <w:p w:rsidR="00FE283A" w:rsidRPr="00262E77" w:rsidRDefault="00262E77" w:rsidP="004033F4">
            <w:pPr>
              <w:pStyle w:val="Para-1stLevel"/>
              <w:numPr>
                <w:ilvl w:val="0"/>
                <w:numId w:val="0"/>
              </w:numPr>
              <w:ind w:left="39"/>
              <w:rPr>
                <w:sz w:val="24"/>
                <w:szCs w:val="24"/>
              </w:rPr>
            </w:pPr>
            <w:r w:rsidRPr="00262E77">
              <w:rPr>
                <w:sz w:val="24"/>
                <w:szCs w:val="24"/>
              </w:rPr>
              <w:t>Paper c</w:t>
            </w:r>
            <w:r w:rsidR="004033F4" w:rsidRPr="00262E77">
              <w:rPr>
                <w:sz w:val="24"/>
                <w:szCs w:val="24"/>
              </w:rPr>
              <w:t>op</w:t>
            </w:r>
            <w:r w:rsidR="00FE283A" w:rsidRPr="00262E77">
              <w:rPr>
                <w:sz w:val="24"/>
                <w:szCs w:val="24"/>
              </w:rPr>
              <w:t>ies</w:t>
            </w:r>
            <w:r w:rsidR="004033F4" w:rsidRPr="00262E77">
              <w:rPr>
                <w:sz w:val="24"/>
                <w:szCs w:val="24"/>
              </w:rPr>
              <w:t xml:space="preserve"> of the </w:t>
            </w:r>
            <w:r w:rsidR="00752B24" w:rsidRPr="00262E77">
              <w:rPr>
                <w:sz w:val="24"/>
                <w:szCs w:val="24"/>
              </w:rPr>
              <w:t>consultation document</w:t>
            </w:r>
            <w:r w:rsidR="004033F4" w:rsidRPr="00262E77">
              <w:rPr>
                <w:sz w:val="24"/>
                <w:szCs w:val="24"/>
              </w:rPr>
              <w:t xml:space="preserve"> </w:t>
            </w:r>
            <w:r w:rsidR="00FE283A" w:rsidRPr="00262E77">
              <w:rPr>
                <w:sz w:val="24"/>
                <w:szCs w:val="24"/>
              </w:rPr>
              <w:t xml:space="preserve">were </w:t>
            </w:r>
            <w:r w:rsidR="004033F4" w:rsidRPr="00262E77">
              <w:rPr>
                <w:sz w:val="24"/>
                <w:szCs w:val="24"/>
              </w:rPr>
              <w:t>sent to</w:t>
            </w:r>
            <w:r w:rsidR="00FE283A" w:rsidRPr="00262E77">
              <w:rPr>
                <w:sz w:val="24"/>
                <w:szCs w:val="24"/>
              </w:rPr>
              <w:t xml:space="preserve"> </w:t>
            </w:r>
            <w:r w:rsidRPr="00262E77">
              <w:rPr>
                <w:sz w:val="24"/>
                <w:szCs w:val="24"/>
              </w:rPr>
              <w:t>the following schools for the attention of the individuals as follows:</w:t>
            </w:r>
            <w:r w:rsidR="004033F4" w:rsidRPr="00262E77">
              <w:rPr>
                <w:sz w:val="24"/>
                <w:szCs w:val="24"/>
              </w:rPr>
              <w:t xml:space="preserve"> </w:t>
            </w:r>
          </w:p>
          <w:p w:rsidR="00262E77" w:rsidRDefault="00262E77" w:rsidP="004033F4">
            <w:pPr>
              <w:pStyle w:val="Para-1stLevel"/>
              <w:numPr>
                <w:ilvl w:val="0"/>
                <w:numId w:val="0"/>
              </w:numPr>
              <w:ind w:left="39"/>
              <w:rPr>
                <w:color w:val="FF0000"/>
                <w:sz w:val="24"/>
                <w:szCs w:val="24"/>
              </w:rPr>
            </w:pPr>
            <w:r w:rsidRPr="00FE283A">
              <w:rPr>
                <w:sz w:val="24"/>
                <w:szCs w:val="24"/>
              </w:rPr>
              <w:t xml:space="preserve">Head, Governing Body, staff and parents </w:t>
            </w:r>
            <w:r>
              <w:rPr>
                <w:sz w:val="24"/>
                <w:szCs w:val="24"/>
              </w:rPr>
              <w:t xml:space="preserve">at Camerton, Shoscombe and St. Julian’s Church Primary schools; </w:t>
            </w:r>
            <w:r w:rsidR="00FE283A" w:rsidRPr="00FE283A">
              <w:rPr>
                <w:sz w:val="24"/>
                <w:szCs w:val="24"/>
              </w:rPr>
              <w:t xml:space="preserve">Head, Governing Body, staff and parents </w:t>
            </w:r>
            <w:r w:rsidR="00FE283A">
              <w:rPr>
                <w:sz w:val="24"/>
                <w:szCs w:val="24"/>
              </w:rPr>
              <w:t>at St. Mary’s C of E Primary Timsbury</w:t>
            </w:r>
            <w:r>
              <w:rPr>
                <w:sz w:val="24"/>
                <w:szCs w:val="24"/>
              </w:rPr>
              <w:t>;</w:t>
            </w:r>
            <w:r w:rsidR="00FE283A">
              <w:rPr>
                <w:sz w:val="24"/>
                <w:szCs w:val="24"/>
              </w:rPr>
              <w:t xml:space="preserve"> </w:t>
            </w:r>
            <w:r w:rsidR="00FE283A" w:rsidRPr="00FE283A">
              <w:rPr>
                <w:sz w:val="24"/>
                <w:szCs w:val="24"/>
              </w:rPr>
              <w:t xml:space="preserve">Head, Governing Body, staff and parents </w:t>
            </w:r>
            <w:r w:rsidR="00FE283A">
              <w:rPr>
                <w:sz w:val="24"/>
                <w:szCs w:val="24"/>
              </w:rPr>
              <w:t xml:space="preserve">including parents of children at the pre-school </w:t>
            </w:r>
            <w:r w:rsidR="00FE283A" w:rsidRPr="00FE283A">
              <w:rPr>
                <w:sz w:val="24"/>
                <w:szCs w:val="24"/>
              </w:rPr>
              <w:t>at Peasedown St John Primary</w:t>
            </w:r>
            <w:r>
              <w:rPr>
                <w:sz w:val="24"/>
                <w:szCs w:val="24"/>
              </w:rPr>
              <w:t>; Manager, s</w:t>
            </w:r>
            <w:r w:rsidRPr="00FE283A">
              <w:rPr>
                <w:sz w:val="24"/>
                <w:szCs w:val="24"/>
              </w:rPr>
              <w:t>taff and parents at Timsbury Pre-school</w:t>
            </w:r>
            <w:r>
              <w:rPr>
                <w:sz w:val="24"/>
                <w:szCs w:val="24"/>
              </w:rPr>
              <w:t>.</w:t>
            </w:r>
          </w:p>
          <w:p w:rsidR="004033F4" w:rsidRDefault="004033F4" w:rsidP="004033F4">
            <w:pPr>
              <w:pStyle w:val="Para-1stLevel"/>
              <w:numPr>
                <w:ilvl w:val="0"/>
                <w:numId w:val="0"/>
              </w:numPr>
              <w:ind w:left="39"/>
              <w:rPr>
                <w:color w:val="FF0000"/>
                <w:sz w:val="24"/>
                <w:szCs w:val="24"/>
              </w:rPr>
            </w:pPr>
            <w:r w:rsidRPr="00E36997">
              <w:rPr>
                <w:sz w:val="24"/>
                <w:szCs w:val="24"/>
              </w:rPr>
              <w:t xml:space="preserve">The </w:t>
            </w:r>
            <w:r w:rsidR="00752B24" w:rsidRPr="00E36997">
              <w:rPr>
                <w:sz w:val="24"/>
                <w:szCs w:val="24"/>
              </w:rPr>
              <w:t>consultation document</w:t>
            </w:r>
            <w:r w:rsidRPr="00E36997">
              <w:rPr>
                <w:sz w:val="24"/>
                <w:szCs w:val="24"/>
              </w:rPr>
              <w:t xml:space="preserve"> was emailed to</w:t>
            </w:r>
            <w:r w:rsidRPr="005338E1">
              <w:rPr>
                <w:color w:val="FF0000"/>
                <w:sz w:val="24"/>
                <w:szCs w:val="24"/>
              </w:rPr>
              <w:t xml:space="preserve"> </w:t>
            </w:r>
            <w:r w:rsidRPr="00E36997">
              <w:rPr>
                <w:sz w:val="24"/>
                <w:szCs w:val="24"/>
              </w:rPr>
              <w:t>the local MP</w:t>
            </w:r>
            <w:r w:rsidR="00E36997">
              <w:rPr>
                <w:sz w:val="24"/>
                <w:szCs w:val="24"/>
              </w:rPr>
              <w:t xml:space="preserve"> for </w:t>
            </w:r>
            <w:r w:rsidRPr="00E36997">
              <w:rPr>
                <w:sz w:val="24"/>
                <w:szCs w:val="24"/>
              </w:rPr>
              <w:t>North East Somerset</w:t>
            </w:r>
            <w:r w:rsidRPr="00262E77">
              <w:rPr>
                <w:sz w:val="24"/>
                <w:szCs w:val="24"/>
              </w:rPr>
              <w:t>, the Leader of the Council, the Cabinet Member for Children’s Services, the Children and Young People Policy Development and Scrutiny Pane</w:t>
            </w:r>
            <w:r w:rsidR="00262E77" w:rsidRPr="00262E77">
              <w:rPr>
                <w:sz w:val="24"/>
                <w:szCs w:val="24"/>
              </w:rPr>
              <w:t>l</w:t>
            </w:r>
            <w:r w:rsidR="00A20E36">
              <w:rPr>
                <w:sz w:val="24"/>
                <w:szCs w:val="24"/>
              </w:rPr>
              <w:t xml:space="preserve"> members</w:t>
            </w:r>
            <w:r w:rsidR="00262E77" w:rsidRPr="00262E77">
              <w:rPr>
                <w:sz w:val="24"/>
                <w:szCs w:val="24"/>
              </w:rPr>
              <w:t>,</w:t>
            </w:r>
            <w:r w:rsidRPr="00262E77">
              <w:rPr>
                <w:sz w:val="24"/>
                <w:szCs w:val="24"/>
              </w:rPr>
              <w:t xml:space="preserve"> </w:t>
            </w:r>
            <w:r w:rsidR="00E36997" w:rsidRPr="00E36997">
              <w:rPr>
                <w:sz w:val="24"/>
                <w:szCs w:val="24"/>
              </w:rPr>
              <w:t xml:space="preserve">Ward </w:t>
            </w:r>
            <w:r w:rsidRPr="00E36997">
              <w:rPr>
                <w:sz w:val="24"/>
                <w:szCs w:val="24"/>
              </w:rPr>
              <w:t>Councillor</w:t>
            </w:r>
            <w:r w:rsidR="00E36997">
              <w:rPr>
                <w:sz w:val="24"/>
                <w:szCs w:val="24"/>
              </w:rPr>
              <w:t>s</w:t>
            </w:r>
            <w:r w:rsidRPr="00E36997">
              <w:rPr>
                <w:sz w:val="24"/>
                <w:szCs w:val="24"/>
              </w:rPr>
              <w:t xml:space="preserve"> for</w:t>
            </w:r>
            <w:r w:rsidRPr="005338E1">
              <w:rPr>
                <w:color w:val="FF0000"/>
                <w:sz w:val="24"/>
                <w:szCs w:val="24"/>
              </w:rPr>
              <w:t xml:space="preserve"> </w:t>
            </w:r>
            <w:r w:rsidR="00E36997" w:rsidRPr="00E36997">
              <w:rPr>
                <w:sz w:val="24"/>
                <w:szCs w:val="24"/>
              </w:rPr>
              <w:t xml:space="preserve">Bathavon West, Paulton, </w:t>
            </w:r>
            <w:r w:rsidR="00FE283A">
              <w:rPr>
                <w:sz w:val="24"/>
                <w:szCs w:val="24"/>
              </w:rPr>
              <w:t>P</w:t>
            </w:r>
            <w:r w:rsidR="00E36997" w:rsidRPr="00E36997">
              <w:rPr>
                <w:sz w:val="24"/>
                <w:szCs w:val="24"/>
              </w:rPr>
              <w:t>easedown</w:t>
            </w:r>
            <w:r w:rsidR="00FE283A">
              <w:rPr>
                <w:sz w:val="24"/>
                <w:szCs w:val="24"/>
              </w:rPr>
              <w:t>,</w:t>
            </w:r>
            <w:r w:rsidR="00E36997" w:rsidRPr="00E36997">
              <w:rPr>
                <w:sz w:val="24"/>
                <w:szCs w:val="24"/>
              </w:rPr>
              <w:t xml:space="preserve"> </w:t>
            </w:r>
            <w:r w:rsidR="00E36997">
              <w:rPr>
                <w:sz w:val="24"/>
                <w:szCs w:val="24"/>
              </w:rPr>
              <w:t xml:space="preserve">Radstock </w:t>
            </w:r>
            <w:r w:rsidR="00FE283A">
              <w:rPr>
                <w:sz w:val="24"/>
                <w:szCs w:val="24"/>
              </w:rPr>
              <w:t xml:space="preserve">and Timsbury </w:t>
            </w:r>
            <w:r w:rsidR="00E36997">
              <w:rPr>
                <w:sz w:val="24"/>
                <w:szCs w:val="24"/>
              </w:rPr>
              <w:t xml:space="preserve">wards, </w:t>
            </w:r>
            <w:r w:rsidR="00262E77" w:rsidRPr="00E36997">
              <w:rPr>
                <w:sz w:val="24"/>
                <w:szCs w:val="24"/>
              </w:rPr>
              <w:t>the Parish Council</w:t>
            </w:r>
            <w:r w:rsidR="00262E77">
              <w:rPr>
                <w:sz w:val="24"/>
                <w:szCs w:val="24"/>
              </w:rPr>
              <w:t>,</w:t>
            </w:r>
            <w:r w:rsidR="00262E77" w:rsidRPr="00E36997">
              <w:rPr>
                <w:sz w:val="24"/>
                <w:szCs w:val="24"/>
              </w:rPr>
              <w:t xml:space="preserve"> </w:t>
            </w:r>
            <w:r w:rsidRPr="00E36997">
              <w:rPr>
                <w:sz w:val="24"/>
                <w:szCs w:val="24"/>
              </w:rPr>
              <w:t>Trades Unions repre</w:t>
            </w:r>
            <w:r w:rsidR="00E36997">
              <w:rPr>
                <w:sz w:val="24"/>
                <w:szCs w:val="24"/>
              </w:rPr>
              <w:t>senting all staff at the school</w:t>
            </w:r>
            <w:r w:rsidRPr="00E36997">
              <w:rPr>
                <w:sz w:val="24"/>
                <w:szCs w:val="24"/>
              </w:rPr>
              <w:t>, the Church of England Diocese</w:t>
            </w:r>
            <w:r w:rsidR="00262E77">
              <w:rPr>
                <w:sz w:val="24"/>
                <w:szCs w:val="24"/>
              </w:rPr>
              <w:t>, the Catholic Diocese,</w:t>
            </w:r>
            <w:r w:rsidRPr="005338E1">
              <w:rPr>
                <w:color w:val="FF0000"/>
                <w:sz w:val="24"/>
                <w:szCs w:val="24"/>
              </w:rPr>
              <w:t xml:space="preserve"> </w:t>
            </w:r>
            <w:r w:rsidR="00FE283A" w:rsidRPr="00FE283A">
              <w:rPr>
                <w:sz w:val="24"/>
                <w:szCs w:val="24"/>
              </w:rPr>
              <w:t>Head and Governing Body of Norton Hill, Somervale and Writhlington secondary schools,</w:t>
            </w:r>
            <w:r w:rsidR="00FE283A">
              <w:rPr>
                <w:color w:val="FF0000"/>
                <w:sz w:val="24"/>
                <w:szCs w:val="24"/>
              </w:rPr>
              <w:t xml:space="preserve"> </w:t>
            </w:r>
            <w:r w:rsidR="00FE283A" w:rsidRPr="00FE283A">
              <w:rPr>
                <w:sz w:val="24"/>
                <w:szCs w:val="24"/>
              </w:rPr>
              <w:t>Head and Governing Body of Trinity</w:t>
            </w:r>
            <w:r w:rsidR="00FE283A">
              <w:rPr>
                <w:sz w:val="24"/>
                <w:szCs w:val="24"/>
              </w:rPr>
              <w:t xml:space="preserve"> Church Primary</w:t>
            </w:r>
            <w:r w:rsidR="00FE283A" w:rsidRPr="00FE283A">
              <w:rPr>
                <w:sz w:val="24"/>
                <w:szCs w:val="24"/>
              </w:rPr>
              <w:t>, Paulton Infant, Paulton Junior</w:t>
            </w:r>
            <w:r w:rsidR="00FE283A">
              <w:rPr>
                <w:sz w:val="24"/>
                <w:szCs w:val="24"/>
              </w:rPr>
              <w:t xml:space="preserve"> and</w:t>
            </w:r>
            <w:r w:rsidR="00FE283A" w:rsidRPr="00FE283A">
              <w:rPr>
                <w:sz w:val="24"/>
                <w:szCs w:val="24"/>
              </w:rPr>
              <w:t xml:space="preserve"> High Littleton primary schools</w:t>
            </w:r>
            <w:r w:rsidR="00FE283A">
              <w:rPr>
                <w:sz w:val="24"/>
                <w:szCs w:val="24"/>
              </w:rPr>
              <w:t>,</w:t>
            </w:r>
            <w:r w:rsidRPr="00FE283A">
              <w:rPr>
                <w:sz w:val="24"/>
                <w:szCs w:val="24"/>
              </w:rPr>
              <w:t xml:space="preserve"> other Council officers.</w:t>
            </w:r>
            <w:r w:rsidRPr="005338E1">
              <w:rPr>
                <w:color w:val="FF0000"/>
                <w:sz w:val="24"/>
                <w:szCs w:val="24"/>
              </w:rPr>
              <w:t xml:space="preserve"> </w:t>
            </w:r>
          </w:p>
          <w:p w:rsidR="00E36997" w:rsidRPr="00A20E36" w:rsidRDefault="00A20E36" w:rsidP="00A20E36">
            <w:pPr>
              <w:pStyle w:val="Para-1stLevel"/>
              <w:numPr>
                <w:ilvl w:val="0"/>
                <w:numId w:val="0"/>
              </w:numPr>
              <w:ind w:left="39"/>
              <w:jc w:val="both"/>
              <w:rPr>
                <w:sz w:val="24"/>
                <w:szCs w:val="24"/>
              </w:rPr>
            </w:pPr>
            <w:r w:rsidRPr="00A20E36">
              <w:rPr>
                <w:sz w:val="24"/>
                <w:szCs w:val="24"/>
              </w:rPr>
              <w:t>Camerton Church School pupils being educated at Shoscombe were consulted.</w:t>
            </w:r>
          </w:p>
          <w:p w:rsidR="00752B24" w:rsidRPr="00752B24" w:rsidRDefault="00752B24" w:rsidP="004033F4">
            <w:pPr>
              <w:pStyle w:val="Para-1stLevel"/>
              <w:numPr>
                <w:ilvl w:val="0"/>
                <w:numId w:val="0"/>
              </w:numPr>
              <w:ind w:left="39"/>
              <w:rPr>
                <w:sz w:val="24"/>
                <w:szCs w:val="24"/>
              </w:rPr>
            </w:pPr>
            <w:r w:rsidRPr="00752B24">
              <w:rPr>
                <w:sz w:val="24"/>
                <w:szCs w:val="24"/>
              </w:rPr>
              <w:t>A public consultation meeting was held at the school.</w:t>
            </w:r>
          </w:p>
          <w:p w:rsidR="004033F4" w:rsidRPr="00752B24" w:rsidRDefault="004033F4" w:rsidP="004033F4">
            <w:pPr>
              <w:pStyle w:val="Para-1stLevel"/>
              <w:numPr>
                <w:ilvl w:val="0"/>
                <w:numId w:val="0"/>
              </w:numPr>
              <w:jc w:val="both"/>
              <w:rPr>
                <w:sz w:val="24"/>
                <w:szCs w:val="24"/>
              </w:rPr>
            </w:pPr>
            <w:r w:rsidRPr="00752B24">
              <w:rPr>
                <w:sz w:val="24"/>
                <w:szCs w:val="24"/>
              </w:rPr>
              <w:t xml:space="preserve">The </w:t>
            </w:r>
            <w:r w:rsidR="00752B24" w:rsidRPr="00752B24">
              <w:rPr>
                <w:sz w:val="24"/>
                <w:szCs w:val="24"/>
              </w:rPr>
              <w:t>document</w:t>
            </w:r>
            <w:r w:rsidRPr="00752B24">
              <w:rPr>
                <w:sz w:val="24"/>
                <w:szCs w:val="24"/>
              </w:rPr>
              <w:t xml:space="preserve"> explained how comments could be submitted to the Council. A </w:t>
            </w:r>
            <w:r w:rsidR="00752B24" w:rsidRPr="00752B24">
              <w:rPr>
                <w:sz w:val="24"/>
                <w:szCs w:val="24"/>
              </w:rPr>
              <w:t>seven</w:t>
            </w:r>
            <w:r w:rsidRPr="00752B24">
              <w:rPr>
                <w:sz w:val="24"/>
                <w:szCs w:val="24"/>
              </w:rPr>
              <w:t xml:space="preserve"> week </w:t>
            </w:r>
            <w:r w:rsidR="00752B24" w:rsidRPr="00752B24">
              <w:rPr>
                <w:sz w:val="24"/>
                <w:szCs w:val="24"/>
              </w:rPr>
              <w:t>consultation</w:t>
            </w:r>
            <w:r w:rsidRPr="00752B24">
              <w:rPr>
                <w:sz w:val="24"/>
                <w:szCs w:val="24"/>
              </w:rPr>
              <w:t xml:space="preserve"> period gave interested </w:t>
            </w:r>
            <w:r w:rsidRPr="00752B24">
              <w:rPr>
                <w:sz w:val="24"/>
                <w:szCs w:val="24"/>
              </w:rPr>
              <w:lastRenderedPageBreak/>
              <w:t>stakeholders an opportunity to comment on the proposal.</w:t>
            </w:r>
          </w:p>
          <w:p w:rsidR="002264BA" w:rsidRPr="00752B24" w:rsidRDefault="004033F4" w:rsidP="00262E77">
            <w:pPr>
              <w:numPr>
                <w:ilvl w:val="1"/>
                <w:numId w:val="0"/>
              </w:numPr>
              <w:tabs>
                <w:tab w:val="num" w:pos="574"/>
                <w:tab w:val="num" w:pos="716"/>
                <w:tab w:val="left" w:pos="851"/>
              </w:tabs>
              <w:spacing w:after="240"/>
              <w:ind w:right="176"/>
              <w:rPr>
                <w:sz w:val="24"/>
                <w:szCs w:val="24"/>
              </w:rPr>
            </w:pPr>
            <w:r w:rsidRPr="00752B24">
              <w:rPr>
                <w:sz w:val="24"/>
                <w:szCs w:val="24"/>
              </w:rPr>
              <w:t xml:space="preserve">The responses received are </w:t>
            </w:r>
            <w:r w:rsidR="00262E77">
              <w:rPr>
                <w:sz w:val="24"/>
                <w:szCs w:val="24"/>
              </w:rPr>
              <w:t>contained</w:t>
            </w:r>
            <w:r w:rsidRPr="00752B24">
              <w:rPr>
                <w:sz w:val="24"/>
                <w:szCs w:val="24"/>
              </w:rPr>
              <w:t xml:space="preserve"> in the </w:t>
            </w:r>
            <w:r w:rsidR="000D2F04" w:rsidRPr="00752B24">
              <w:rPr>
                <w:sz w:val="24"/>
                <w:szCs w:val="24"/>
              </w:rPr>
              <w:t>Consultation</w:t>
            </w:r>
            <w:r w:rsidRPr="00752B24">
              <w:rPr>
                <w:sz w:val="24"/>
                <w:szCs w:val="24"/>
              </w:rPr>
              <w:t xml:space="preserve"> Responses Report, Appendix 1 to the Cabinet report E</w:t>
            </w:r>
            <w:r w:rsidR="000D2F04" w:rsidRPr="00752B24">
              <w:rPr>
                <w:sz w:val="24"/>
                <w:szCs w:val="24"/>
              </w:rPr>
              <w:t>3005</w:t>
            </w:r>
            <w:r w:rsidRPr="00752B24">
              <w:rPr>
                <w:sz w:val="24"/>
                <w:szCs w:val="24"/>
              </w:rPr>
              <w:t>.</w:t>
            </w:r>
          </w:p>
        </w:tc>
      </w:tr>
      <w:tr w:rsidR="007F19B6" w:rsidTr="008D13A5">
        <w:trPr>
          <w:gridAfter w:val="1"/>
          <w:wAfter w:w="32" w:type="dxa"/>
        </w:trPr>
        <w:tc>
          <w:tcPr>
            <w:tcW w:w="711" w:type="dxa"/>
            <w:gridSpan w:val="2"/>
          </w:tcPr>
          <w:p w:rsidR="007F19B6" w:rsidRPr="002B3B5C" w:rsidRDefault="007F19B6">
            <w:pPr>
              <w:rPr>
                <w:b/>
                <w:sz w:val="24"/>
                <w:szCs w:val="24"/>
              </w:rPr>
            </w:pPr>
            <w:r w:rsidRPr="002B3B5C">
              <w:rPr>
                <w:b/>
                <w:sz w:val="24"/>
                <w:szCs w:val="24"/>
              </w:rPr>
              <w:lastRenderedPageBreak/>
              <w:t>2.6</w:t>
            </w:r>
          </w:p>
        </w:tc>
        <w:tc>
          <w:tcPr>
            <w:tcW w:w="5913" w:type="dxa"/>
            <w:gridSpan w:val="3"/>
          </w:tcPr>
          <w:p w:rsidR="007F19B6" w:rsidRPr="00F93043" w:rsidRDefault="007F19B6">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18" w:type="dxa"/>
            <w:gridSpan w:val="2"/>
            <w:shd w:val="clear" w:color="auto" w:fill="auto"/>
          </w:tcPr>
          <w:p w:rsidR="007F19B6" w:rsidRPr="005338E1" w:rsidRDefault="00752B24" w:rsidP="007F19B6">
            <w:pPr>
              <w:rPr>
                <w:color w:val="FF0000"/>
                <w:sz w:val="24"/>
                <w:szCs w:val="24"/>
              </w:rPr>
            </w:pPr>
            <w:r w:rsidRPr="000D2F04">
              <w:rPr>
                <w:sz w:val="24"/>
                <w:szCs w:val="24"/>
              </w:rPr>
              <w:t>If the Cabinet decide</w:t>
            </w:r>
            <w:r>
              <w:rPr>
                <w:sz w:val="24"/>
                <w:szCs w:val="24"/>
              </w:rPr>
              <w:t>s</w:t>
            </w:r>
            <w:r w:rsidRPr="000D2F04">
              <w:rPr>
                <w:sz w:val="24"/>
                <w:szCs w:val="24"/>
              </w:rPr>
              <w:t xml:space="preserve"> to proceed with the closure proposal, there will be a second opportunity for public consultation prior to a final decision being made.</w:t>
            </w:r>
            <w:r>
              <w:rPr>
                <w:sz w:val="24"/>
                <w:szCs w:val="24"/>
              </w:rPr>
              <w:t xml:space="preserve"> This would follow similar lines to the first consultation but without a meeting.</w:t>
            </w:r>
            <w:r w:rsidR="007F19B6" w:rsidRPr="005338E1">
              <w:rPr>
                <w:color w:val="FF0000"/>
                <w:sz w:val="24"/>
                <w:szCs w:val="24"/>
              </w:rPr>
              <w:t xml:space="preserve">  </w:t>
            </w:r>
          </w:p>
        </w:tc>
      </w:tr>
      <w:tr w:rsidR="007F19B6">
        <w:tc>
          <w:tcPr>
            <w:tcW w:w="14174" w:type="dxa"/>
            <w:gridSpan w:val="8"/>
            <w:shd w:val="clear" w:color="auto" w:fill="D9D9D9"/>
          </w:tcPr>
          <w:p w:rsidR="007F19B6" w:rsidRDefault="007F19B6">
            <w:pPr>
              <w:spacing w:before="40" w:after="40"/>
              <w:rPr>
                <w:b/>
                <w:bCs/>
                <w:sz w:val="28"/>
                <w:szCs w:val="28"/>
              </w:rPr>
            </w:pPr>
          </w:p>
          <w:p w:rsidR="007F19B6" w:rsidRDefault="007F19B6">
            <w:pPr>
              <w:spacing w:before="40" w:after="40"/>
              <w:rPr>
                <w:b/>
                <w:bCs/>
                <w:sz w:val="28"/>
                <w:szCs w:val="28"/>
              </w:rPr>
            </w:pPr>
            <w:r>
              <w:rPr>
                <w:b/>
                <w:bCs/>
                <w:sz w:val="28"/>
                <w:szCs w:val="28"/>
              </w:rPr>
              <w:t>3. Assessment of impact: ‘Equality analysis’</w:t>
            </w:r>
          </w:p>
          <w:p w:rsidR="007F19B6" w:rsidRDefault="007F19B6">
            <w:pPr>
              <w:spacing w:before="40" w:after="40"/>
              <w:rPr>
                <w:b/>
                <w:bCs/>
                <w:sz w:val="28"/>
                <w:szCs w:val="28"/>
              </w:rPr>
            </w:pPr>
          </w:p>
        </w:tc>
      </w:tr>
      <w:tr w:rsidR="007F19B6" w:rsidTr="008D13A5">
        <w:tc>
          <w:tcPr>
            <w:tcW w:w="684" w:type="dxa"/>
          </w:tcPr>
          <w:p w:rsidR="007F19B6" w:rsidRDefault="007F19B6">
            <w:pPr>
              <w:rPr>
                <w:b/>
                <w:sz w:val="28"/>
                <w:szCs w:val="28"/>
              </w:rPr>
            </w:pPr>
          </w:p>
        </w:tc>
        <w:tc>
          <w:tcPr>
            <w:tcW w:w="13490" w:type="dxa"/>
            <w:gridSpan w:val="7"/>
          </w:tcPr>
          <w:p w:rsidR="007F19B6" w:rsidRDefault="007F19B6">
            <w:pPr>
              <w:rPr>
                <w:sz w:val="24"/>
                <w:szCs w:val="24"/>
              </w:rPr>
            </w:pPr>
            <w:r>
              <w:rPr>
                <w:sz w:val="24"/>
                <w:szCs w:val="24"/>
              </w:rPr>
              <w:t>Based upon any data you have considered, or the results of consultation or research, use the spaces below to demonstrate you have analysed how the service or policy:</w:t>
            </w:r>
          </w:p>
          <w:p w:rsidR="007F19B6" w:rsidRDefault="007F19B6" w:rsidP="002B3B5C">
            <w:pPr>
              <w:numPr>
                <w:ilvl w:val="0"/>
                <w:numId w:val="20"/>
              </w:numPr>
              <w:rPr>
                <w:sz w:val="24"/>
                <w:szCs w:val="24"/>
              </w:rPr>
            </w:pPr>
            <w:r>
              <w:rPr>
                <w:sz w:val="24"/>
                <w:szCs w:val="24"/>
              </w:rPr>
              <w:t xml:space="preserve">Meets any particular needs of equalities groups or helps promote equality in some way.  </w:t>
            </w:r>
          </w:p>
          <w:p w:rsidR="007F19B6" w:rsidRDefault="007F19B6" w:rsidP="002B3B5C">
            <w:pPr>
              <w:numPr>
                <w:ilvl w:val="0"/>
                <w:numId w:val="20"/>
              </w:numPr>
              <w:rPr>
                <w:sz w:val="24"/>
                <w:szCs w:val="24"/>
              </w:rPr>
            </w:pPr>
            <w:r>
              <w:rPr>
                <w:sz w:val="24"/>
                <w:szCs w:val="24"/>
              </w:rPr>
              <w:t xml:space="preserve">Could have a negative or adverse impact for any of the equalities groups  </w:t>
            </w:r>
          </w:p>
        </w:tc>
      </w:tr>
      <w:tr w:rsidR="007F19B6" w:rsidTr="008D13A5">
        <w:tc>
          <w:tcPr>
            <w:tcW w:w="684" w:type="dxa"/>
          </w:tcPr>
          <w:p w:rsidR="007F19B6" w:rsidRPr="00F93043" w:rsidRDefault="007F19B6">
            <w:pPr>
              <w:rPr>
                <w:sz w:val="24"/>
                <w:szCs w:val="24"/>
              </w:rPr>
            </w:pPr>
          </w:p>
        </w:tc>
        <w:tc>
          <w:tcPr>
            <w:tcW w:w="5264" w:type="dxa"/>
            <w:gridSpan w:val="2"/>
          </w:tcPr>
          <w:p w:rsidR="007F19B6" w:rsidRPr="00F93043" w:rsidRDefault="007F19B6" w:rsidP="00C70B44">
            <w:pPr>
              <w:rPr>
                <w:sz w:val="24"/>
                <w:szCs w:val="24"/>
              </w:rPr>
            </w:pPr>
          </w:p>
        </w:tc>
        <w:tc>
          <w:tcPr>
            <w:tcW w:w="4113" w:type="dxa"/>
            <w:gridSpan w:val="3"/>
            <w:shd w:val="clear" w:color="auto" w:fill="auto"/>
          </w:tcPr>
          <w:p w:rsidR="007F19B6" w:rsidRDefault="007F19B6">
            <w:pPr>
              <w:rPr>
                <w:b/>
                <w:sz w:val="24"/>
                <w:szCs w:val="24"/>
              </w:rPr>
            </w:pPr>
          </w:p>
          <w:p w:rsidR="007F19B6" w:rsidRDefault="007F19B6">
            <w:pPr>
              <w:rPr>
                <w:b/>
                <w:sz w:val="24"/>
                <w:szCs w:val="24"/>
              </w:rPr>
            </w:pPr>
            <w:r>
              <w:rPr>
                <w:b/>
                <w:sz w:val="24"/>
                <w:szCs w:val="24"/>
              </w:rPr>
              <w:t>Examples of what the service has done to promote equality</w:t>
            </w:r>
          </w:p>
          <w:p w:rsidR="007F19B6" w:rsidRDefault="007F19B6">
            <w:pPr>
              <w:rPr>
                <w:b/>
                <w:sz w:val="24"/>
                <w:szCs w:val="24"/>
              </w:rPr>
            </w:pPr>
          </w:p>
        </w:tc>
        <w:tc>
          <w:tcPr>
            <w:tcW w:w="4113" w:type="dxa"/>
            <w:gridSpan w:val="2"/>
            <w:shd w:val="clear" w:color="auto" w:fill="auto"/>
          </w:tcPr>
          <w:p w:rsidR="007F19B6" w:rsidRPr="002B3B5C" w:rsidRDefault="007F19B6">
            <w:pPr>
              <w:rPr>
                <w:b/>
                <w:sz w:val="24"/>
                <w:szCs w:val="24"/>
              </w:rPr>
            </w:pPr>
            <w:r>
              <w:rPr>
                <w:b/>
                <w:sz w:val="24"/>
                <w:szCs w:val="24"/>
              </w:rPr>
              <w:t>Examples of actual or potential negative or adverse impact and what steps have been or could be taken to address this</w:t>
            </w:r>
          </w:p>
        </w:tc>
      </w:tr>
      <w:tr w:rsidR="007F19B6" w:rsidTr="008D13A5">
        <w:tc>
          <w:tcPr>
            <w:tcW w:w="684" w:type="dxa"/>
          </w:tcPr>
          <w:p w:rsidR="007F19B6" w:rsidRPr="002B3B5C" w:rsidRDefault="007F19B6">
            <w:pPr>
              <w:rPr>
                <w:b/>
                <w:sz w:val="24"/>
                <w:szCs w:val="24"/>
              </w:rPr>
            </w:pPr>
            <w:r w:rsidRPr="002B3B5C">
              <w:rPr>
                <w:b/>
                <w:sz w:val="24"/>
                <w:szCs w:val="24"/>
              </w:rPr>
              <w:t>3.1</w:t>
            </w:r>
          </w:p>
        </w:tc>
        <w:tc>
          <w:tcPr>
            <w:tcW w:w="5264" w:type="dxa"/>
            <w:gridSpan w:val="2"/>
          </w:tcPr>
          <w:p w:rsidR="007F19B6" w:rsidRPr="002B3B5C" w:rsidRDefault="007F19B6" w:rsidP="002C4B12">
            <w:pPr>
              <w:rPr>
                <w:sz w:val="24"/>
                <w:szCs w:val="24"/>
              </w:rPr>
            </w:pPr>
            <w:r w:rsidRPr="00F93043">
              <w:rPr>
                <w:b/>
                <w:sz w:val="24"/>
                <w:szCs w:val="24"/>
              </w:rPr>
              <w:t xml:space="preserve">Gender </w:t>
            </w:r>
            <w:r w:rsidRPr="00F93043">
              <w:rPr>
                <w:sz w:val="24"/>
                <w:szCs w:val="24"/>
              </w:rPr>
              <w:t>– identify the impact/potential impact of the policy on women</w:t>
            </w:r>
            <w:r>
              <w:rPr>
                <w:sz w:val="24"/>
                <w:szCs w:val="24"/>
              </w:rPr>
              <w:t xml:space="preserve"> and men.  </w:t>
            </w:r>
          </w:p>
        </w:tc>
        <w:tc>
          <w:tcPr>
            <w:tcW w:w="4113" w:type="dxa"/>
            <w:gridSpan w:val="3"/>
            <w:shd w:val="clear" w:color="auto" w:fill="auto"/>
          </w:tcPr>
          <w:p w:rsidR="007F19B6" w:rsidRPr="00180C7F" w:rsidRDefault="00DF3715">
            <w:pPr>
              <w:rPr>
                <w:sz w:val="24"/>
                <w:szCs w:val="24"/>
              </w:rPr>
            </w:pPr>
            <w:r w:rsidRPr="00180C7F">
              <w:rPr>
                <w:sz w:val="24"/>
                <w:szCs w:val="24"/>
              </w:rPr>
              <w:t>NA</w:t>
            </w:r>
          </w:p>
          <w:p w:rsidR="007F19B6" w:rsidRPr="00180C7F" w:rsidRDefault="007F19B6">
            <w:pPr>
              <w:rPr>
                <w:sz w:val="24"/>
                <w:szCs w:val="24"/>
              </w:rPr>
            </w:pPr>
          </w:p>
        </w:tc>
        <w:tc>
          <w:tcPr>
            <w:tcW w:w="4113" w:type="dxa"/>
            <w:gridSpan w:val="2"/>
            <w:shd w:val="clear" w:color="auto" w:fill="auto"/>
          </w:tcPr>
          <w:p w:rsidR="007F19B6" w:rsidRPr="005338E1" w:rsidRDefault="00DF3715">
            <w:pPr>
              <w:rPr>
                <w:sz w:val="24"/>
                <w:szCs w:val="24"/>
              </w:rPr>
            </w:pPr>
            <w:r w:rsidRPr="005338E1">
              <w:rPr>
                <w:sz w:val="24"/>
                <w:szCs w:val="24"/>
              </w:rPr>
              <w:t>NA</w:t>
            </w:r>
          </w:p>
          <w:p w:rsidR="007F19B6" w:rsidRPr="005338E1" w:rsidRDefault="007F19B6">
            <w:pPr>
              <w:rPr>
                <w:sz w:val="24"/>
                <w:szCs w:val="24"/>
              </w:rPr>
            </w:pPr>
          </w:p>
          <w:p w:rsidR="007F19B6" w:rsidRPr="005338E1" w:rsidRDefault="007F19B6" w:rsidP="002B3B5C">
            <w:pPr>
              <w:rPr>
                <w:sz w:val="24"/>
                <w:szCs w:val="24"/>
              </w:rPr>
            </w:pPr>
          </w:p>
        </w:tc>
      </w:tr>
      <w:tr w:rsidR="007F19B6" w:rsidTr="008D13A5">
        <w:tc>
          <w:tcPr>
            <w:tcW w:w="684" w:type="dxa"/>
          </w:tcPr>
          <w:p w:rsidR="007F19B6" w:rsidRPr="002B3B5C" w:rsidRDefault="007F19B6">
            <w:pPr>
              <w:rPr>
                <w:b/>
                <w:sz w:val="24"/>
                <w:szCs w:val="24"/>
              </w:rPr>
            </w:pPr>
            <w:r>
              <w:rPr>
                <w:b/>
                <w:sz w:val="24"/>
                <w:szCs w:val="24"/>
              </w:rPr>
              <w:t>3.2</w:t>
            </w:r>
          </w:p>
        </w:tc>
        <w:tc>
          <w:tcPr>
            <w:tcW w:w="5264" w:type="dxa"/>
            <w:gridSpan w:val="2"/>
          </w:tcPr>
          <w:p w:rsidR="007F19B6" w:rsidRDefault="007F19B6">
            <w:pPr>
              <w:rPr>
                <w:b/>
                <w:sz w:val="24"/>
                <w:szCs w:val="24"/>
              </w:rPr>
            </w:pPr>
            <w:r>
              <w:rPr>
                <w:b/>
                <w:sz w:val="24"/>
                <w:szCs w:val="24"/>
              </w:rPr>
              <w:t xml:space="preserve">Pregnancy and maternity </w:t>
            </w:r>
          </w:p>
          <w:p w:rsidR="007F19B6" w:rsidRDefault="007F19B6">
            <w:pPr>
              <w:rPr>
                <w:b/>
                <w:sz w:val="24"/>
                <w:szCs w:val="24"/>
              </w:rPr>
            </w:pPr>
          </w:p>
          <w:p w:rsidR="007F19B6" w:rsidRPr="00F93043" w:rsidRDefault="007F19B6">
            <w:pPr>
              <w:rPr>
                <w:b/>
                <w:sz w:val="24"/>
                <w:szCs w:val="24"/>
              </w:rPr>
            </w:pPr>
          </w:p>
        </w:tc>
        <w:tc>
          <w:tcPr>
            <w:tcW w:w="4113" w:type="dxa"/>
            <w:gridSpan w:val="3"/>
            <w:shd w:val="clear" w:color="auto" w:fill="auto"/>
          </w:tcPr>
          <w:p w:rsidR="007F19B6" w:rsidRPr="00180C7F" w:rsidRDefault="00DF3715">
            <w:pPr>
              <w:rPr>
                <w:sz w:val="24"/>
                <w:szCs w:val="24"/>
              </w:rPr>
            </w:pPr>
            <w:r w:rsidRPr="00180C7F">
              <w:rPr>
                <w:sz w:val="24"/>
                <w:szCs w:val="24"/>
              </w:rPr>
              <w:t>NA</w:t>
            </w:r>
          </w:p>
        </w:tc>
        <w:tc>
          <w:tcPr>
            <w:tcW w:w="4113" w:type="dxa"/>
            <w:gridSpan w:val="2"/>
            <w:shd w:val="clear" w:color="auto" w:fill="auto"/>
          </w:tcPr>
          <w:p w:rsidR="007F19B6" w:rsidRPr="005338E1" w:rsidRDefault="00DF3715">
            <w:pPr>
              <w:rPr>
                <w:sz w:val="24"/>
                <w:szCs w:val="24"/>
              </w:rPr>
            </w:pPr>
            <w:r w:rsidRPr="005338E1">
              <w:rPr>
                <w:sz w:val="24"/>
                <w:szCs w:val="24"/>
              </w:rPr>
              <w:t>NA</w:t>
            </w:r>
          </w:p>
        </w:tc>
      </w:tr>
      <w:tr w:rsidR="007F19B6" w:rsidTr="008D13A5">
        <w:tc>
          <w:tcPr>
            <w:tcW w:w="684" w:type="dxa"/>
          </w:tcPr>
          <w:p w:rsidR="007F19B6" w:rsidRPr="002B3B5C" w:rsidRDefault="007F19B6">
            <w:pPr>
              <w:rPr>
                <w:b/>
                <w:sz w:val="24"/>
                <w:szCs w:val="24"/>
              </w:rPr>
            </w:pPr>
            <w:r>
              <w:rPr>
                <w:b/>
                <w:sz w:val="24"/>
                <w:szCs w:val="24"/>
              </w:rPr>
              <w:t>3.3</w:t>
            </w:r>
          </w:p>
        </w:tc>
        <w:tc>
          <w:tcPr>
            <w:tcW w:w="5264" w:type="dxa"/>
            <w:gridSpan w:val="2"/>
          </w:tcPr>
          <w:p w:rsidR="007F19B6" w:rsidRPr="008B760D" w:rsidRDefault="007F19B6">
            <w:pPr>
              <w:rPr>
                <w:sz w:val="24"/>
                <w:szCs w:val="24"/>
              </w:rPr>
            </w:pPr>
            <w:r>
              <w:rPr>
                <w:b/>
                <w:sz w:val="24"/>
                <w:szCs w:val="24"/>
              </w:rPr>
              <w:t xml:space="preserve">Transgender – </w:t>
            </w:r>
            <w:r w:rsidRPr="00F93043">
              <w:rPr>
                <w:sz w:val="24"/>
                <w:szCs w:val="24"/>
              </w:rPr>
              <w:t>– identify the impact/potential impact of the policy on</w:t>
            </w:r>
            <w:r>
              <w:rPr>
                <w:sz w:val="24"/>
                <w:szCs w:val="24"/>
              </w:rPr>
              <w:t xml:space="preserve"> </w:t>
            </w:r>
            <w:r w:rsidRPr="00F93043">
              <w:rPr>
                <w:sz w:val="24"/>
                <w:szCs w:val="24"/>
              </w:rPr>
              <w:t>transgender peopl</w:t>
            </w:r>
            <w:r>
              <w:rPr>
                <w:sz w:val="24"/>
                <w:szCs w:val="24"/>
              </w:rPr>
              <w:t>e</w:t>
            </w:r>
          </w:p>
        </w:tc>
        <w:tc>
          <w:tcPr>
            <w:tcW w:w="4113" w:type="dxa"/>
            <w:gridSpan w:val="3"/>
            <w:shd w:val="clear" w:color="auto" w:fill="auto"/>
          </w:tcPr>
          <w:p w:rsidR="007F19B6" w:rsidRPr="00180C7F" w:rsidRDefault="00DF3715" w:rsidP="002B3B5C">
            <w:pPr>
              <w:rPr>
                <w:sz w:val="24"/>
                <w:szCs w:val="24"/>
              </w:rPr>
            </w:pPr>
            <w:r w:rsidRPr="00180C7F">
              <w:rPr>
                <w:sz w:val="24"/>
                <w:szCs w:val="24"/>
              </w:rPr>
              <w:t>NA</w:t>
            </w:r>
          </w:p>
          <w:p w:rsidR="007F19B6" w:rsidRPr="00180C7F" w:rsidRDefault="007F19B6" w:rsidP="002B3B5C">
            <w:pPr>
              <w:rPr>
                <w:sz w:val="24"/>
                <w:szCs w:val="24"/>
              </w:rPr>
            </w:pPr>
          </w:p>
          <w:p w:rsidR="007F19B6" w:rsidRPr="00180C7F" w:rsidRDefault="007F19B6" w:rsidP="002B3B5C">
            <w:pPr>
              <w:rPr>
                <w:sz w:val="24"/>
                <w:szCs w:val="24"/>
              </w:rPr>
            </w:pPr>
          </w:p>
        </w:tc>
        <w:tc>
          <w:tcPr>
            <w:tcW w:w="4113" w:type="dxa"/>
            <w:gridSpan w:val="2"/>
            <w:shd w:val="clear" w:color="auto" w:fill="auto"/>
          </w:tcPr>
          <w:p w:rsidR="007F19B6" w:rsidRPr="005338E1" w:rsidRDefault="00DF3715" w:rsidP="002B3B5C">
            <w:pPr>
              <w:rPr>
                <w:sz w:val="24"/>
                <w:szCs w:val="24"/>
              </w:rPr>
            </w:pPr>
            <w:r w:rsidRPr="005338E1">
              <w:rPr>
                <w:sz w:val="24"/>
                <w:szCs w:val="24"/>
              </w:rPr>
              <w:t>NA</w:t>
            </w:r>
          </w:p>
        </w:tc>
      </w:tr>
      <w:tr w:rsidR="007F19B6" w:rsidTr="008D13A5">
        <w:tc>
          <w:tcPr>
            <w:tcW w:w="684" w:type="dxa"/>
          </w:tcPr>
          <w:p w:rsidR="007F19B6" w:rsidRPr="002B3B5C" w:rsidRDefault="007F19B6">
            <w:pPr>
              <w:rPr>
                <w:b/>
                <w:sz w:val="24"/>
                <w:szCs w:val="24"/>
              </w:rPr>
            </w:pPr>
            <w:r>
              <w:rPr>
                <w:b/>
                <w:sz w:val="24"/>
                <w:szCs w:val="24"/>
              </w:rPr>
              <w:t>3.4</w:t>
            </w:r>
          </w:p>
        </w:tc>
        <w:tc>
          <w:tcPr>
            <w:tcW w:w="5264" w:type="dxa"/>
            <w:gridSpan w:val="2"/>
          </w:tcPr>
          <w:p w:rsidR="007F19B6" w:rsidRPr="00F93043" w:rsidRDefault="007F19B6" w:rsidP="002C4B12">
            <w:pPr>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w:t>
            </w:r>
            <w:r>
              <w:rPr>
                <w:sz w:val="24"/>
                <w:szCs w:val="24"/>
              </w:rPr>
              <w:t xml:space="preserve">both physical and mental </w:t>
            </w:r>
            <w:r>
              <w:rPr>
                <w:sz w:val="24"/>
                <w:szCs w:val="24"/>
              </w:rPr>
              <w:lastRenderedPageBreak/>
              <w:t>impairments)</w:t>
            </w:r>
          </w:p>
        </w:tc>
        <w:tc>
          <w:tcPr>
            <w:tcW w:w="4113" w:type="dxa"/>
            <w:gridSpan w:val="3"/>
            <w:shd w:val="clear" w:color="auto" w:fill="auto"/>
          </w:tcPr>
          <w:p w:rsidR="007F19B6" w:rsidRPr="000216A7" w:rsidRDefault="00752B24" w:rsidP="000216A7">
            <w:pPr>
              <w:rPr>
                <w:sz w:val="24"/>
                <w:szCs w:val="24"/>
              </w:rPr>
            </w:pPr>
            <w:r w:rsidRPr="000216A7">
              <w:rPr>
                <w:sz w:val="24"/>
                <w:szCs w:val="24"/>
              </w:rPr>
              <w:lastRenderedPageBreak/>
              <w:t>If Camerton closes, c</w:t>
            </w:r>
            <w:r w:rsidR="009067E6" w:rsidRPr="000216A7">
              <w:rPr>
                <w:sz w:val="24"/>
                <w:szCs w:val="24"/>
              </w:rPr>
              <w:t xml:space="preserve">hildren with disabilities and Special Educational Needs will be able to access a </w:t>
            </w:r>
            <w:r w:rsidR="000216A7" w:rsidRPr="000216A7">
              <w:rPr>
                <w:sz w:val="24"/>
                <w:szCs w:val="24"/>
              </w:rPr>
              <w:lastRenderedPageBreak/>
              <w:t xml:space="preserve">suitable </w:t>
            </w:r>
            <w:r w:rsidR="009067E6" w:rsidRPr="000216A7">
              <w:rPr>
                <w:sz w:val="24"/>
                <w:szCs w:val="24"/>
              </w:rPr>
              <w:t xml:space="preserve">place at </w:t>
            </w:r>
            <w:r w:rsidRPr="000216A7">
              <w:rPr>
                <w:sz w:val="24"/>
                <w:szCs w:val="24"/>
              </w:rPr>
              <w:t xml:space="preserve">a </w:t>
            </w:r>
            <w:r w:rsidR="009067E6" w:rsidRPr="000216A7">
              <w:rPr>
                <w:sz w:val="24"/>
                <w:szCs w:val="24"/>
              </w:rPr>
              <w:t>school in the same way as at present.</w:t>
            </w:r>
            <w:r w:rsidRPr="000216A7">
              <w:rPr>
                <w:sz w:val="24"/>
                <w:szCs w:val="24"/>
              </w:rPr>
              <w:t xml:space="preserve"> Camerton is not a named accessible school.</w:t>
            </w:r>
          </w:p>
        </w:tc>
        <w:tc>
          <w:tcPr>
            <w:tcW w:w="4113" w:type="dxa"/>
            <w:gridSpan w:val="2"/>
            <w:shd w:val="clear" w:color="auto" w:fill="auto"/>
          </w:tcPr>
          <w:p w:rsidR="007F19B6" w:rsidRPr="000216A7" w:rsidRDefault="00640BEE" w:rsidP="002B3B5C">
            <w:pPr>
              <w:rPr>
                <w:sz w:val="24"/>
                <w:szCs w:val="24"/>
              </w:rPr>
            </w:pPr>
            <w:r w:rsidRPr="000216A7">
              <w:rPr>
                <w:sz w:val="24"/>
                <w:szCs w:val="24"/>
              </w:rPr>
              <w:lastRenderedPageBreak/>
              <w:t>None</w:t>
            </w:r>
          </w:p>
        </w:tc>
      </w:tr>
      <w:tr w:rsidR="007F19B6" w:rsidTr="008D13A5">
        <w:tc>
          <w:tcPr>
            <w:tcW w:w="684" w:type="dxa"/>
          </w:tcPr>
          <w:p w:rsidR="007F19B6" w:rsidRPr="002B3B5C" w:rsidRDefault="007F19B6">
            <w:pPr>
              <w:rPr>
                <w:b/>
                <w:sz w:val="24"/>
                <w:szCs w:val="24"/>
              </w:rPr>
            </w:pPr>
            <w:r w:rsidRPr="002B3B5C">
              <w:rPr>
                <w:b/>
                <w:sz w:val="24"/>
                <w:szCs w:val="24"/>
              </w:rPr>
              <w:lastRenderedPageBreak/>
              <w:t>3.</w:t>
            </w:r>
            <w:r>
              <w:rPr>
                <w:b/>
                <w:sz w:val="24"/>
                <w:szCs w:val="24"/>
              </w:rPr>
              <w:t>5</w:t>
            </w:r>
          </w:p>
        </w:tc>
        <w:tc>
          <w:tcPr>
            <w:tcW w:w="5264" w:type="dxa"/>
            <w:gridSpan w:val="2"/>
          </w:tcPr>
          <w:p w:rsidR="007F19B6" w:rsidRDefault="007F19B6">
            <w:pPr>
              <w:rPr>
                <w:sz w:val="24"/>
                <w:szCs w:val="24"/>
              </w:rPr>
            </w:pPr>
            <w:r w:rsidRPr="00F93043">
              <w:rPr>
                <w:b/>
                <w:sz w:val="24"/>
                <w:szCs w:val="24"/>
              </w:rPr>
              <w:t xml:space="preserve">Age  </w:t>
            </w:r>
            <w:r w:rsidRPr="00F93043">
              <w:rPr>
                <w:sz w:val="24"/>
                <w:szCs w:val="24"/>
              </w:rPr>
              <w:t>– identify the impact/potential impact of the policy on different age groups</w:t>
            </w:r>
          </w:p>
          <w:p w:rsidR="007F19B6" w:rsidRPr="00F93043" w:rsidRDefault="007F19B6">
            <w:pPr>
              <w:rPr>
                <w:sz w:val="24"/>
                <w:szCs w:val="24"/>
              </w:rPr>
            </w:pPr>
          </w:p>
        </w:tc>
        <w:tc>
          <w:tcPr>
            <w:tcW w:w="4113" w:type="dxa"/>
            <w:gridSpan w:val="3"/>
            <w:shd w:val="clear" w:color="auto" w:fill="auto"/>
          </w:tcPr>
          <w:p w:rsidR="007F19B6" w:rsidRPr="000216A7" w:rsidRDefault="00180C7F" w:rsidP="002B3B5C">
            <w:pPr>
              <w:rPr>
                <w:sz w:val="24"/>
                <w:szCs w:val="24"/>
              </w:rPr>
            </w:pPr>
            <w:r w:rsidRPr="000216A7">
              <w:rPr>
                <w:sz w:val="24"/>
                <w:szCs w:val="24"/>
              </w:rPr>
              <w:t>NA</w:t>
            </w:r>
          </w:p>
        </w:tc>
        <w:tc>
          <w:tcPr>
            <w:tcW w:w="4113" w:type="dxa"/>
            <w:gridSpan w:val="2"/>
            <w:shd w:val="clear" w:color="auto" w:fill="auto"/>
          </w:tcPr>
          <w:p w:rsidR="007F19B6" w:rsidRPr="000216A7" w:rsidRDefault="00180C7F" w:rsidP="00EE4504">
            <w:pPr>
              <w:rPr>
                <w:sz w:val="24"/>
                <w:szCs w:val="24"/>
              </w:rPr>
            </w:pPr>
            <w:r w:rsidRPr="000216A7">
              <w:rPr>
                <w:sz w:val="24"/>
                <w:szCs w:val="24"/>
              </w:rPr>
              <w:t>NA</w:t>
            </w:r>
          </w:p>
        </w:tc>
      </w:tr>
      <w:tr w:rsidR="007F19B6" w:rsidTr="008D13A5">
        <w:trPr>
          <w:trHeight w:val="559"/>
        </w:trPr>
        <w:tc>
          <w:tcPr>
            <w:tcW w:w="684" w:type="dxa"/>
          </w:tcPr>
          <w:p w:rsidR="007F19B6" w:rsidRPr="002B3B5C" w:rsidRDefault="007F19B6">
            <w:pPr>
              <w:rPr>
                <w:b/>
                <w:sz w:val="24"/>
                <w:szCs w:val="24"/>
              </w:rPr>
            </w:pPr>
            <w:r>
              <w:rPr>
                <w:b/>
                <w:sz w:val="24"/>
                <w:szCs w:val="24"/>
              </w:rPr>
              <w:t>3.6</w:t>
            </w:r>
          </w:p>
        </w:tc>
        <w:tc>
          <w:tcPr>
            <w:tcW w:w="5264" w:type="dxa"/>
            <w:gridSpan w:val="2"/>
          </w:tcPr>
          <w:p w:rsidR="007F19B6" w:rsidRDefault="007F19B6">
            <w:pPr>
              <w:rPr>
                <w:sz w:val="24"/>
                <w:szCs w:val="24"/>
              </w:rPr>
            </w:pPr>
            <w:r w:rsidRPr="00F93043">
              <w:rPr>
                <w:b/>
                <w:sz w:val="24"/>
                <w:szCs w:val="24"/>
              </w:rPr>
              <w:t>Race</w:t>
            </w:r>
            <w:r w:rsidRPr="00F93043">
              <w:rPr>
                <w:sz w:val="24"/>
                <w:szCs w:val="24"/>
              </w:rPr>
              <w:t xml:space="preserve"> – identify the impact/potential impact on different black and minority ethnic groups </w:t>
            </w:r>
          </w:p>
          <w:p w:rsidR="007F19B6" w:rsidRPr="00F93043" w:rsidRDefault="007F19B6">
            <w:pPr>
              <w:rPr>
                <w:sz w:val="24"/>
                <w:szCs w:val="24"/>
              </w:rPr>
            </w:pPr>
          </w:p>
        </w:tc>
        <w:tc>
          <w:tcPr>
            <w:tcW w:w="4113" w:type="dxa"/>
            <w:gridSpan w:val="3"/>
            <w:shd w:val="clear" w:color="auto" w:fill="auto"/>
          </w:tcPr>
          <w:p w:rsidR="007F19B6" w:rsidRPr="005338E1" w:rsidRDefault="009067E6" w:rsidP="002B3B5C">
            <w:r w:rsidRPr="005338E1">
              <w:t>NA</w:t>
            </w:r>
          </w:p>
        </w:tc>
        <w:tc>
          <w:tcPr>
            <w:tcW w:w="4113" w:type="dxa"/>
            <w:gridSpan w:val="2"/>
            <w:shd w:val="clear" w:color="auto" w:fill="auto"/>
          </w:tcPr>
          <w:p w:rsidR="007F19B6" w:rsidRPr="005338E1" w:rsidRDefault="009067E6" w:rsidP="002B3B5C">
            <w:r w:rsidRPr="005338E1">
              <w:t>NA</w:t>
            </w:r>
          </w:p>
        </w:tc>
      </w:tr>
      <w:tr w:rsidR="007F19B6" w:rsidTr="008D13A5">
        <w:trPr>
          <w:trHeight w:val="798"/>
        </w:trPr>
        <w:tc>
          <w:tcPr>
            <w:tcW w:w="684" w:type="dxa"/>
          </w:tcPr>
          <w:p w:rsidR="007F19B6" w:rsidRPr="002B3B5C" w:rsidRDefault="007F19B6">
            <w:pPr>
              <w:rPr>
                <w:b/>
                <w:sz w:val="24"/>
                <w:szCs w:val="24"/>
              </w:rPr>
            </w:pPr>
          </w:p>
        </w:tc>
        <w:tc>
          <w:tcPr>
            <w:tcW w:w="5264" w:type="dxa"/>
            <w:gridSpan w:val="2"/>
          </w:tcPr>
          <w:p w:rsidR="007F19B6" w:rsidRPr="00F93043" w:rsidRDefault="007F19B6" w:rsidP="008D13A5">
            <w:pPr>
              <w:rPr>
                <w:b/>
                <w:sz w:val="24"/>
                <w:szCs w:val="24"/>
              </w:rPr>
            </w:pPr>
          </w:p>
        </w:tc>
        <w:tc>
          <w:tcPr>
            <w:tcW w:w="4113" w:type="dxa"/>
            <w:gridSpan w:val="3"/>
            <w:shd w:val="clear" w:color="auto" w:fill="auto"/>
          </w:tcPr>
          <w:p w:rsidR="007F19B6" w:rsidRDefault="007F19B6" w:rsidP="008D13A5">
            <w:pPr>
              <w:rPr>
                <w:b/>
                <w:sz w:val="24"/>
                <w:szCs w:val="24"/>
              </w:rPr>
            </w:pPr>
            <w:r>
              <w:rPr>
                <w:b/>
                <w:sz w:val="24"/>
                <w:szCs w:val="24"/>
              </w:rPr>
              <w:t>Examples of what the service has done to promote equality</w:t>
            </w:r>
          </w:p>
          <w:p w:rsidR="007F19B6" w:rsidRDefault="007F19B6" w:rsidP="002B3B5C"/>
        </w:tc>
        <w:tc>
          <w:tcPr>
            <w:tcW w:w="4113" w:type="dxa"/>
            <w:gridSpan w:val="2"/>
            <w:shd w:val="clear" w:color="auto" w:fill="auto"/>
          </w:tcPr>
          <w:p w:rsidR="007F19B6" w:rsidRDefault="007F19B6" w:rsidP="002B3B5C">
            <w:r>
              <w:rPr>
                <w:b/>
                <w:sz w:val="24"/>
                <w:szCs w:val="24"/>
              </w:rPr>
              <w:t>Examples of actual or potential negative or adverse impact and what steps have been or could be taken to address this</w:t>
            </w:r>
          </w:p>
        </w:tc>
      </w:tr>
      <w:tr w:rsidR="007F19B6" w:rsidTr="008D13A5">
        <w:trPr>
          <w:trHeight w:val="798"/>
        </w:trPr>
        <w:tc>
          <w:tcPr>
            <w:tcW w:w="684" w:type="dxa"/>
          </w:tcPr>
          <w:p w:rsidR="007F19B6" w:rsidRPr="002B3B5C" w:rsidRDefault="007F19B6">
            <w:pPr>
              <w:rPr>
                <w:b/>
                <w:sz w:val="24"/>
                <w:szCs w:val="24"/>
              </w:rPr>
            </w:pPr>
            <w:r w:rsidRPr="002B3B5C">
              <w:rPr>
                <w:b/>
                <w:sz w:val="24"/>
                <w:szCs w:val="24"/>
              </w:rPr>
              <w:t>3.</w:t>
            </w:r>
            <w:r>
              <w:rPr>
                <w:b/>
                <w:sz w:val="24"/>
                <w:szCs w:val="24"/>
              </w:rPr>
              <w:t>6</w:t>
            </w:r>
          </w:p>
        </w:tc>
        <w:tc>
          <w:tcPr>
            <w:tcW w:w="5264" w:type="dxa"/>
            <w:gridSpan w:val="2"/>
          </w:tcPr>
          <w:p w:rsidR="007F19B6" w:rsidRDefault="007F19B6">
            <w:pPr>
              <w:rPr>
                <w:sz w:val="24"/>
                <w:szCs w:val="24"/>
              </w:rPr>
            </w:pPr>
            <w:r w:rsidRPr="00F93043">
              <w:rPr>
                <w:b/>
                <w:sz w:val="24"/>
                <w:szCs w:val="24"/>
              </w:rPr>
              <w:t xml:space="preserve">Sexual orientation - </w:t>
            </w:r>
            <w:r w:rsidRPr="00F93043">
              <w:rPr>
                <w:sz w:val="24"/>
                <w:szCs w:val="24"/>
              </w:rPr>
              <w:t xml:space="preserve">identify the impact/potential impact of the policy on </w:t>
            </w:r>
          </w:p>
          <w:p w:rsidR="007F19B6" w:rsidRDefault="007F19B6">
            <w:pPr>
              <w:rPr>
                <w:sz w:val="24"/>
                <w:szCs w:val="24"/>
              </w:rPr>
            </w:pPr>
            <w:r w:rsidRPr="00F93043">
              <w:rPr>
                <w:sz w:val="24"/>
                <w:szCs w:val="24"/>
              </w:rPr>
              <w:t>lesbians,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p w:rsidR="007F19B6" w:rsidRPr="00F93043" w:rsidRDefault="007F19B6">
            <w:pPr>
              <w:rPr>
                <w:b/>
                <w:sz w:val="24"/>
                <w:szCs w:val="24"/>
              </w:rPr>
            </w:pPr>
            <w:r w:rsidRPr="00F93043">
              <w:rPr>
                <w:b/>
                <w:sz w:val="24"/>
                <w:szCs w:val="24"/>
              </w:rPr>
              <w:t xml:space="preserve"> </w:t>
            </w:r>
          </w:p>
        </w:tc>
        <w:tc>
          <w:tcPr>
            <w:tcW w:w="4113" w:type="dxa"/>
            <w:gridSpan w:val="3"/>
            <w:shd w:val="clear" w:color="auto" w:fill="auto"/>
          </w:tcPr>
          <w:p w:rsidR="007F19B6" w:rsidRPr="00180C7F" w:rsidRDefault="00DF3715" w:rsidP="002B3B5C">
            <w:r w:rsidRPr="00180C7F">
              <w:t>NA</w:t>
            </w:r>
          </w:p>
        </w:tc>
        <w:tc>
          <w:tcPr>
            <w:tcW w:w="4113" w:type="dxa"/>
            <w:gridSpan w:val="2"/>
            <w:shd w:val="clear" w:color="auto" w:fill="auto"/>
          </w:tcPr>
          <w:p w:rsidR="007F19B6" w:rsidRPr="00180C7F" w:rsidRDefault="00DF3715" w:rsidP="002B3B5C">
            <w:r w:rsidRPr="00180C7F">
              <w:t>NA</w:t>
            </w:r>
          </w:p>
        </w:tc>
      </w:tr>
      <w:tr w:rsidR="007F19B6" w:rsidTr="008D13A5">
        <w:trPr>
          <w:trHeight w:val="798"/>
        </w:trPr>
        <w:tc>
          <w:tcPr>
            <w:tcW w:w="684" w:type="dxa"/>
          </w:tcPr>
          <w:p w:rsidR="007F19B6" w:rsidRPr="002B3B5C" w:rsidRDefault="007F19B6">
            <w:pPr>
              <w:rPr>
                <w:b/>
                <w:sz w:val="24"/>
                <w:szCs w:val="24"/>
              </w:rPr>
            </w:pPr>
            <w:r>
              <w:rPr>
                <w:b/>
                <w:sz w:val="24"/>
                <w:szCs w:val="24"/>
              </w:rPr>
              <w:t>3.7</w:t>
            </w:r>
          </w:p>
        </w:tc>
        <w:tc>
          <w:tcPr>
            <w:tcW w:w="5264" w:type="dxa"/>
            <w:gridSpan w:val="2"/>
          </w:tcPr>
          <w:p w:rsidR="007F19B6" w:rsidRPr="002C4B12" w:rsidRDefault="007F19B6">
            <w:pPr>
              <w:rPr>
                <w:sz w:val="24"/>
                <w:szCs w:val="24"/>
              </w:rPr>
            </w:pPr>
            <w:r>
              <w:rPr>
                <w:b/>
                <w:sz w:val="24"/>
                <w:szCs w:val="24"/>
              </w:rPr>
              <w:t xml:space="preserve">Marriage and civil partnership – </w:t>
            </w:r>
            <w:r>
              <w:rPr>
                <w:sz w:val="24"/>
                <w:szCs w:val="24"/>
              </w:rPr>
              <w:t>does the policy/strategy treat married and civil partnered people equally?</w:t>
            </w:r>
          </w:p>
        </w:tc>
        <w:tc>
          <w:tcPr>
            <w:tcW w:w="4113" w:type="dxa"/>
            <w:gridSpan w:val="3"/>
            <w:shd w:val="clear" w:color="auto" w:fill="auto"/>
          </w:tcPr>
          <w:p w:rsidR="007F19B6" w:rsidRPr="00180C7F" w:rsidRDefault="00DF3715" w:rsidP="002B3B5C">
            <w:r w:rsidRPr="00180C7F">
              <w:t>NA</w:t>
            </w:r>
          </w:p>
        </w:tc>
        <w:tc>
          <w:tcPr>
            <w:tcW w:w="4113" w:type="dxa"/>
            <w:gridSpan w:val="2"/>
            <w:shd w:val="clear" w:color="auto" w:fill="auto"/>
          </w:tcPr>
          <w:p w:rsidR="007F19B6" w:rsidRPr="00180C7F" w:rsidRDefault="00DF3715" w:rsidP="002B3B5C">
            <w:r w:rsidRPr="00180C7F">
              <w:t>NA</w:t>
            </w:r>
          </w:p>
        </w:tc>
      </w:tr>
      <w:tr w:rsidR="007F19B6" w:rsidTr="008D13A5">
        <w:tc>
          <w:tcPr>
            <w:tcW w:w="684" w:type="dxa"/>
          </w:tcPr>
          <w:p w:rsidR="007F19B6" w:rsidRPr="002B3B5C" w:rsidRDefault="007F19B6">
            <w:pPr>
              <w:rPr>
                <w:b/>
                <w:sz w:val="24"/>
                <w:szCs w:val="24"/>
              </w:rPr>
            </w:pPr>
            <w:r w:rsidRPr="002B3B5C">
              <w:rPr>
                <w:b/>
                <w:sz w:val="24"/>
                <w:szCs w:val="24"/>
              </w:rPr>
              <w:t>3.</w:t>
            </w:r>
            <w:r>
              <w:rPr>
                <w:b/>
                <w:sz w:val="24"/>
                <w:szCs w:val="24"/>
              </w:rPr>
              <w:t>8</w:t>
            </w:r>
          </w:p>
        </w:tc>
        <w:tc>
          <w:tcPr>
            <w:tcW w:w="5264" w:type="dxa"/>
            <w:gridSpan w:val="2"/>
          </w:tcPr>
          <w:p w:rsidR="007F19B6" w:rsidRPr="00F93043" w:rsidRDefault="007F19B6">
            <w:pPr>
              <w:rPr>
                <w:sz w:val="24"/>
                <w:szCs w:val="24"/>
              </w:rPr>
            </w:pPr>
            <w:r w:rsidRPr="00F93043">
              <w:rPr>
                <w:b/>
                <w:sz w:val="24"/>
                <w:szCs w:val="24"/>
              </w:rPr>
              <w:t xml:space="preserve">Religion/belief </w:t>
            </w:r>
            <w:r w:rsidRPr="00F93043">
              <w:rPr>
                <w:sz w:val="24"/>
                <w:szCs w:val="24"/>
              </w:rPr>
              <w:t>– identify the impact/potential impact of the policy on people of different religious/faith groups and also upon those with no religion.</w:t>
            </w:r>
          </w:p>
        </w:tc>
        <w:tc>
          <w:tcPr>
            <w:tcW w:w="4113" w:type="dxa"/>
            <w:gridSpan w:val="3"/>
            <w:shd w:val="clear" w:color="auto" w:fill="auto"/>
          </w:tcPr>
          <w:p w:rsidR="007F19B6" w:rsidRPr="000216A7" w:rsidRDefault="000216A7" w:rsidP="000216A7">
            <w:pPr>
              <w:rPr>
                <w:sz w:val="24"/>
                <w:szCs w:val="24"/>
              </w:rPr>
            </w:pPr>
            <w:r w:rsidRPr="000216A7">
              <w:rPr>
                <w:sz w:val="24"/>
                <w:szCs w:val="24"/>
              </w:rPr>
              <w:t>Camerton is a Voluntary Controlled C of E school.</w:t>
            </w:r>
          </w:p>
        </w:tc>
        <w:tc>
          <w:tcPr>
            <w:tcW w:w="4113" w:type="dxa"/>
            <w:gridSpan w:val="2"/>
            <w:shd w:val="clear" w:color="auto" w:fill="auto"/>
          </w:tcPr>
          <w:p w:rsidR="007F19B6" w:rsidRPr="005338E1" w:rsidRDefault="000216A7" w:rsidP="00D8583D">
            <w:pPr>
              <w:rPr>
                <w:color w:val="FF0000"/>
                <w:sz w:val="24"/>
                <w:szCs w:val="24"/>
              </w:rPr>
            </w:pPr>
            <w:r>
              <w:rPr>
                <w:sz w:val="24"/>
                <w:szCs w:val="24"/>
              </w:rPr>
              <w:t xml:space="preserve">If the school does close there would be a reduction in the number of </w:t>
            </w:r>
            <w:r w:rsidR="00D8583D">
              <w:rPr>
                <w:sz w:val="24"/>
                <w:szCs w:val="24"/>
              </w:rPr>
              <w:t xml:space="preserve">church school </w:t>
            </w:r>
            <w:r>
              <w:rPr>
                <w:sz w:val="24"/>
                <w:szCs w:val="24"/>
              </w:rPr>
              <w:t>places available</w:t>
            </w:r>
            <w:r w:rsidR="00BB3B9A">
              <w:rPr>
                <w:sz w:val="24"/>
                <w:szCs w:val="24"/>
              </w:rPr>
              <w:t xml:space="preserve"> locally</w:t>
            </w:r>
            <w:r>
              <w:rPr>
                <w:sz w:val="24"/>
                <w:szCs w:val="24"/>
              </w:rPr>
              <w:t>. However</w:t>
            </w:r>
            <w:r w:rsidRPr="000216A7">
              <w:rPr>
                <w:sz w:val="24"/>
                <w:szCs w:val="24"/>
              </w:rPr>
              <w:t xml:space="preserve"> there are </w:t>
            </w:r>
            <w:r>
              <w:rPr>
                <w:sz w:val="24"/>
                <w:szCs w:val="24"/>
              </w:rPr>
              <w:t xml:space="preserve">places available in </w:t>
            </w:r>
            <w:r w:rsidRPr="000216A7">
              <w:rPr>
                <w:sz w:val="24"/>
                <w:szCs w:val="24"/>
              </w:rPr>
              <w:t xml:space="preserve">other </w:t>
            </w:r>
            <w:r>
              <w:rPr>
                <w:sz w:val="24"/>
                <w:szCs w:val="24"/>
              </w:rPr>
              <w:t>C</w:t>
            </w:r>
            <w:r w:rsidR="00FD58EE">
              <w:rPr>
                <w:sz w:val="24"/>
                <w:szCs w:val="24"/>
              </w:rPr>
              <w:t xml:space="preserve"> </w:t>
            </w:r>
            <w:r>
              <w:rPr>
                <w:sz w:val="24"/>
                <w:szCs w:val="24"/>
              </w:rPr>
              <w:t>of</w:t>
            </w:r>
            <w:r w:rsidR="00FD58EE">
              <w:rPr>
                <w:sz w:val="24"/>
                <w:szCs w:val="24"/>
              </w:rPr>
              <w:t xml:space="preserve"> </w:t>
            </w:r>
            <w:r>
              <w:rPr>
                <w:sz w:val="24"/>
                <w:szCs w:val="24"/>
              </w:rPr>
              <w:t xml:space="preserve">E </w:t>
            </w:r>
            <w:r w:rsidRPr="000216A7">
              <w:rPr>
                <w:sz w:val="24"/>
                <w:szCs w:val="24"/>
              </w:rPr>
              <w:t>schools in the local area</w:t>
            </w:r>
            <w:r w:rsidR="00D8583D">
              <w:rPr>
                <w:sz w:val="24"/>
                <w:szCs w:val="24"/>
              </w:rPr>
              <w:t xml:space="preserve"> to continue to make this option a</w:t>
            </w:r>
            <w:r w:rsidRPr="000216A7">
              <w:rPr>
                <w:sz w:val="24"/>
                <w:szCs w:val="24"/>
              </w:rPr>
              <w:t xml:space="preserve">vailable to </w:t>
            </w:r>
            <w:r>
              <w:rPr>
                <w:sz w:val="24"/>
                <w:szCs w:val="24"/>
              </w:rPr>
              <w:t xml:space="preserve">local </w:t>
            </w:r>
            <w:r w:rsidRPr="000216A7">
              <w:rPr>
                <w:sz w:val="24"/>
                <w:szCs w:val="24"/>
              </w:rPr>
              <w:t>parents.</w:t>
            </w:r>
          </w:p>
        </w:tc>
      </w:tr>
      <w:tr w:rsidR="007F19B6" w:rsidTr="008D13A5">
        <w:tc>
          <w:tcPr>
            <w:tcW w:w="684" w:type="dxa"/>
          </w:tcPr>
          <w:p w:rsidR="007F19B6" w:rsidRPr="002B3B5C" w:rsidRDefault="007F19B6">
            <w:pPr>
              <w:rPr>
                <w:b/>
                <w:sz w:val="24"/>
                <w:szCs w:val="24"/>
              </w:rPr>
            </w:pPr>
            <w:r>
              <w:rPr>
                <w:b/>
                <w:sz w:val="24"/>
                <w:szCs w:val="24"/>
              </w:rPr>
              <w:t>3.9</w:t>
            </w:r>
          </w:p>
        </w:tc>
        <w:tc>
          <w:tcPr>
            <w:tcW w:w="5264" w:type="dxa"/>
            <w:gridSpan w:val="2"/>
          </w:tcPr>
          <w:p w:rsidR="007F19B6" w:rsidRDefault="007F19B6">
            <w:pPr>
              <w:rPr>
                <w:rFonts w:cs="Arial"/>
                <w:color w:val="000000"/>
                <w:sz w:val="24"/>
                <w:szCs w:val="24"/>
              </w:rPr>
            </w:pPr>
            <w:r w:rsidRPr="002B3B5C">
              <w:rPr>
                <w:rFonts w:cs="Arial"/>
                <w:b/>
                <w:sz w:val="24"/>
                <w:szCs w:val="24"/>
              </w:rPr>
              <w:t>Socio-economically disadvantaged</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rsidR="007F19B6" w:rsidRPr="002B3B5C" w:rsidRDefault="007F19B6">
            <w:pPr>
              <w:rPr>
                <w:b/>
                <w:sz w:val="24"/>
                <w:szCs w:val="24"/>
              </w:rPr>
            </w:pPr>
          </w:p>
        </w:tc>
        <w:tc>
          <w:tcPr>
            <w:tcW w:w="4113" w:type="dxa"/>
            <w:gridSpan w:val="3"/>
            <w:shd w:val="clear" w:color="auto" w:fill="auto"/>
          </w:tcPr>
          <w:p w:rsidR="007F19B6" w:rsidRPr="00BE0221" w:rsidRDefault="00BE0221" w:rsidP="00BE0221">
            <w:pPr>
              <w:rPr>
                <w:sz w:val="24"/>
                <w:szCs w:val="24"/>
              </w:rPr>
            </w:pPr>
            <w:r w:rsidRPr="00BE0221">
              <w:rPr>
                <w:sz w:val="24"/>
                <w:szCs w:val="24"/>
              </w:rPr>
              <w:t>Possible impact on low income families living in Camerton</w:t>
            </w:r>
            <w:r>
              <w:rPr>
                <w:sz w:val="24"/>
                <w:szCs w:val="24"/>
              </w:rPr>
              <w:t xml:space="preserve"> </w:t>
            </w:r>
            <w:r w:rsidRPr="00BE0221">
              <w:rPr>
                <w:sz w:val="24"/>
                <w:szCs w:val="24"/>
              </w:rPr>
              <w:t>who</w:t>
            </w:r>
            <w:r>
              <w:rPr>
                <w:sz w:val="24"/>
                <w:szCs w:val="24"/>
              </w:rPr>
              <w:t xml:space="preserve"> would have to travel outside of Camerton to access a school place</w:t>
            </w:r>
            <w:r w:rsidRPr="00BE0221">
              <w:rPr>
                <w:sz w:val="24"/>
                <w:szCs w:val="24"/>
              </w:rPr>
              <w:t xml:space="preserve"> </w:t>
            </w:r>
            <w:r>
              <w:rPr>
                <w:sz w:val="24"/>
                <w:szCs w:val="24"/>
              </w:rPr>
              <w:t xml:space="preserve">and who do not own a </w:t>
            </w:r>
            <w:r w:rsidRPr="00BE0221">
              <w:rPr>
                <w:sz w:val="24"/>
                <w:szCs w:val="24"/>
              </w:rPr>
              <w:t>car</w:t>
            </w:r>
            <w:r>
              <w:rPr>
                <w:sz w:val="24"/>
                <w:szCs w:val="24"/>
              </w:rPr>
              <w:t>.</w:t>
            </w:r>
          </w:p>
        </w:tc>
        <w:tc>
          <w:tcPr>
            <w:tcW w:w="4113" w:type="dxa"/>
            <w:gridSpan w:val="2"/>
            <w:shd w:val="clear" w:color="auto" w:fill="auto"/>
          </w:tcPr>
          <w:p w:rsidR="007F19B6" w:rsidRPr="00BE0221" w:rsidRDefault="00546ADD" w:rsidP="00BE0221">
            <w:pPr>
              <w:rPr>
                <w:sz w:val="24"/>
                <w:szCs w:val="24"/>
              </w:rPr>
            </w:pPr>
            <w:r w:rsidRPr="00BE0221">
              <w:rPr>
                <w:sz w:val="24"/>
                <w:szCs w:val="24"/>
              </w:rPr>
              <w:t xml:space="preserve">If </w:t>
            </w:r>
            <w:r w:rsidR="00D45637" w:rsidRPr="00BE0221">
              <w:rPr>
                <w:sz w:val="24"/>
                <w:szCs w:val="24"/>
              </w:rPr>
              <w:t>the school</w:t>
            </w:r>
            <w:r w:rsidR="00BB3B9A" w:rsidRPr="00BE0221">
              <w:rPr>
                <w:sz w:val="24"/>
                <w:szCs w:val="24"/>
              </w:rPr>
              <w:t xml:space="preserve"> does close</w:t>
            </w:r>
            <w:r w:rsidRPr="00BE0221">
              <w:rPr>
                <w:sz w:val="24"/>
                <w:szCs w:val="24"/>
              </w:rPr>
              <w:t xml:space="preserve">, </w:t>
            </w:r>
            <w:r w:rsidR="00BE0221" w:rsidRPr="00BE0221">
              <w:rPr>
                <w:sz w:val="24"/>
                <w:szCs w:val="24"/>
              </w:rPr>
              <w:t xml:space="preserve">parents qualifying </w:t>
            </w:r>
            <w:r w:rsidR="00D45637" w:rsidRPr="00BE0221">
              <w:rPr>
                <w:sz w:val="24"/>
                <w:szCs w:val="24"/>
              </w:rPr>
              <w:t xml:space="preserve">under the </w:t>
            </w:r>
            <w:r w:rsidR="00BE0221" w:rsidRPr="00BE0221">
              <w:rPr>
                <w:sz w:val="24"/>
                <w:szCs w:val="24"/>
              </w:rPr>
              <w:t>Low Income Family policy which is part of the</w:t>
            </w:r>
            <w:r w:rsidR="00D45637" w:rsidRPr="00BE0221">
              <w:rPr>
                <w:sz w:val="24"/>
                <w:szCs w:val="24"/>
              </w:rPr>
              <w:t xml:space="preserve"> Home to School Transport Policy </w:t>
            </w:r>
            <w:r w:rsidR="00BB3B9A" w:rsidRPr="00BE0221">
              <w:rPr>
                <w:sz w:val="24"/>
                <w:szCs w:val="24"/>
              </w:rPr>
              <w:t xml:space="preserve">would </w:t>
            </w:r>
            <w:r w:rsidR="00530545" w:rsidRPr="00BE0221">
              <w:rPr>
                <w:sz w:val="24"/>
                <w:szCs w:val="24"/>
              </w:rPr>
              <w:t>have transport provided</w:t>
            </w:r>
            <w:r w:rsidR="009214F5" w:rsidRPr="00BE0221">
              <w:rPr>
                <w:sz w:val="24"/>
                <w:szCs w:val="24"/>
              </w:rPr>
              <w:t xml:space="preserve"> </w:t>
            </w:r>
            <w:r w:rsidR="00BE0221">
              <w:rPr>
                <w:sz w:val="24"/>
                <w:szCs w:val="24"/>
              </w:rPr>
              <w:t xml:space="preserve">by the Council </w:t>
            </w:r>
            <w:r w:rsidR="00BE0221" w:rsidRPr="00BE0221">
              <w:rPr>
                <w:sz w:val="24"/>
                <w:szCs w:val="24"/>
              </w:rPr>
              <w:t xml:space="preserve">to access a place at </w:t>
            </w:r>
            <w:r w:rsidR="00BE0221" w:rsidRPr="00BE0221">
              <w:rPr>
                <w:sz w:val="24"/>
                <w:szCs w:val="24"/>
              </w:rPr>
              <w:lastRenderedPageBreak/>
              <w:t>their closest available school.</w:t>
            </w:r>
          </w:p>
        </w:tc>
      </w:tr>
      <w:tr w:rsidR="007F19B6" w:rsidTr="008D13A5">
        <w:tc>
          <w:tcPr>
            <w:tcW w:w="684" w:type="dxa"/>
          </w:tcPr>
          <w:p w:rsidR="007F19B6" w:rsidRPr="002B3B5C" w:rsidRDefault="007F19B6">
            <w:pPr>
              <w:rPr>
                <w:b/>
                <w:sz w:val="24"/>
                <w:szCs w:val="24"/>
              </w:rPr>
            </w:pPr>
            <w:r>
              <w:rPr>
                <w:b/>
                <w:sz w:val="24"/>
                <w:szCs w:val="24"/>
              </w:rPr>
              <w:lastRenderedPageBreak/>
              <w:t>3.10</w:t>
            </w:r>
          </w:p>
        </w:tc>
        <w:tc>
          <w:tcPr>
            <w:tcW w:w="5264" w:type="dxa"/>
            <w:gridSpan w:val="2"/>
          </w:tcPr>
          <w:p w:rsidR="007F19B6" w:rsidRDefault="007F19B6">
            <w:pPr>
              <w:rPr>
                <w:rFonts w:cs="Arial"/>
                <w:sz w:val="24"/>
                <w:szCs w:val="24"/>
              </w:rPr>
            </w:pPr>
            <w:r w:rsidRPr="002B3B5C">
              <w:rPr>
                <w:rFonts w:cs="Arial"/>
                <w:b/>
                <w:sz w:val="24"/>
                <w:szCs w:val="24"/>
              </w:rPr>
              <w:t>Rural communities</w:t>
            </w:r>
            <w:r w:rsidRPr="002B3B5C">
              <w:rPr>
                <w:rFonts w:cs="Arial"/>
                <w:sz w:val="24"/>
                <w:szCs w:val="24"/>
              </w:rPr>
              <w:t xml:space="preserve"> – identify the impact / potential impact on people living in rural communities</w:t>
            </w:r>
          </w:p>
          <w:p w:rsidR="007F19B6" w:rsidRPr="002B3B5C" w:rsidRDefault="007F19B6">
            <w:pPr>
              <w:rPr>
                <w:b/>
                <w:sz w:val="24"/>
                <w:szCs w:val="24"/>
              </w:rPr>
            </w:pPr>
          </w:p>
        </w:tc>
        <w:tc>
          <w:tcPr>
            <w:tcW w:w="4113" w:type="dxa"/>
            <w:gridSpan w:val="3"/>
            <w:shd w:val="clear" w:color="auto" w:fill="auto"/>
          </w:tcPr>
          <w:p w:rsidR="007F19B6" w:rsidRPr="00D45637" w:rsidRDefault="00592541" w:rsidP="00D45637">
            <w:pPr>
              <w:rPr>
                <w:sz w:val="24"/>
                <w:szCs w:val="24"/>
              </w:rPr>
            </w:pPr>
            <w:r w:rsidRPr="00D45637">
              <w:rPr>
                <w:sz w:val="24"/>
                <w:szCs w:val="24"/>
              </w:rPr>
              <w:t xml:space="preserve">Camerton is a rural school. If it was to close, the village would no longer have a school. </w:t>
            </w:r>
          </w:p>
        </w:tc>
        <w:tc>
          <w:tcPr>
            <w:tcW w:w="4113" w:type="dxa"/>
            <w:gridSpan w:val="2"/>
            <w:shd w:val="clear" w:color="auto" w:fill="auto"/>
          </w:tcPr>
          <w:p w:rsidR="007F19B6" w:rsidRPr="00D45637" w:rsidRDefault="00592541" w:rsidP="00592541">
            <w:r w:rsidRPr="00D45637">
              <w:rPr>
                <w:sz w:val="24"/>
                <w:szCs w:val="24"/>
              </w:rPr>
              <w:t xml:space="preserve">There are projected to be sufficient places available in other local schools to accommodate primary age pupils living in Camerton. </w:t>
            </w:r>
            <w:r w:rsidR="00D45637" w:rsidRPr="00D45637">
              <w:rPr>
                <w:sz w:val="24"/>
                <w:szCs w:val="24"/>
              </w:rPr>
              <w:t>The next closest schools would be St Mary’s C</w:t>
            </w:r>
            <w:r w:rsidR="00FD58EE">
              <w:rPr>
                <w:sz w:val="24"/>
                <w:szCs w:val="24"/>
              </w:rPr>
              <w:t xml:space="preserve"> </w:t>
            </w:r>
            <w:r w:rsidR="00D45637" w:rsidRPr="00D45637">
              <w:rPr>
                <w:sz w:val="24"/>
                <w:szCs w:val="24"/>
              </w:rPr>
              <w:t>of</w:t>
            </w:r>
            <w:r w:rsidR="00FD58EE">
              <w:rPr>
                <w:sz w:val="24"/>
                <w:szCs w:val="24"/>
              </w:rPr>
              <w:t xml:space="preserve"> </w:t>
            </w:r>
            <w:r w:rsidR="00D45637" w:rsidRPr="00D45637">
              <w:rPr>
                <w:sz w:val="24"/>
                <w:szCs w:val="24"/>
              </w:rPr>
              <w:t>E Primary school Timsbury and Peasedown St John Primary school in Peasedown St John.</w:t>
            </w:r>
            <w:r w:rsidRPr="00D45637">
              <w:rPr>
                <w:sz w:val="24"/>
                <w:szCs w:val="24"/>
              </w:rPr>
              <w:t xml:space="preserve"> As stated above, under current policy the Council would provide home to school transport for pupils living in Camerton attending their closest school</w:t>
            </w:r>
            <w:r w:rsidR="00D45637">
              <w:t>.</w:t>
            </w:r>
            <w:r w:rsidRPr="00D45637">
              <w:t xml:space="preserve"> </w:t>
            </w:r>
          </w:p>
        </w:tc>
      </w:tr>
    </w:tbl>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smartTag w:uri="urn:schemas-microsoft-com:office:smarttags" w:element="City">
        <w:r w:rsidR="00163C4F">
          <w:rPr>
            <w:b/>
            <w:sz w:val="32"/>
            <w:szCs w:val="32"/>
          </w:rPr>
          <w:t>Bath</w:t>
        </w:r>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8D13A5" w:rsidRPr="00163C4F" w:rsidRDefault="008D13A5"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tc>
          <w:tcPr>
            <w:tcW w:w="3794" w:type="dxa"/>
            <w:shd w:val="clear" w:color="auto" w:fill="D9D9D9"/>
            <w:vAlign w:val="center"/>
          </w:tcPr>
          <w:p w:rsidR="006B2DF8" w:rsidRDefault="00163C4F">
            <w:pPr>
              <w:rPr>
                <w:b/>
                <w:sz w:val="24"/>
                <w:szCs w:val="24"/>
              </w:rPr>
            </w:pPr>
            <w:r>
              <w:rPr>
                <w:b/>
                <w:sz w:val="24"/>
                <w:szCs w:val="24"/>
              </w:rPr>
              <w:t>Issues identified</w:t>
            </w:r>
          </w:p>
        </w:tc>
        <w:tc>
          <w:tcPr>
            <w:tcW w:w="3544"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3794" w:type="dxa"/>
          </w:tcPr>
          <w:p w:rsidR="002B3B5C" w:rsidRPr="00085382" w:rsidRDefault="00DF3715">
            <w:pPr>
              <w:rPr>
                <w:sz w:val="24"/>
                <w:szCs w:val="24"/>
              </w:rPr>
            </w:pPr>
            <w:r w:rsidRPr="00085382">
              <w:rPr>
                <w:sz w:val="24"/>
                <w:szCs w:val="24"/>
              </w:rPr>
              <w:t>None</w:t>
            </w:r>
            <w:r w:rsidR="00085382">
              <w:rPr>
                <w:sz w:val="24"/>
                <w:szCs w:val="24"/>
              </w:rPr>
              <w:t xml:space="preserve"> unless school does close</w:t>
            </w:r>
          </w:p>
          <w:p w:rsidR="006B2DF8" w:rsidRPr="00085382" w:rsidRDefault="006B2DF8">
            <w:pPr>
              <w:rPr>
                <w:sz w:val="24"/>
                <w:szCs w:val="24"/>
              </w:rPr>
            </w:pPr>
          </w:p>
        </w:tc>
        <w:tc>
          <w:tcPr>
            <w:tcW w:w="3544" w:type="dxa"/>
          </w:tcPr>
          <w:p w:rsidR="0028243B" w:rsidRPr="00085382" w:rsidRDefault="00DF3715">
            <w:pPr>
              <w:rPr>
                <w:sz w:val="24"/>
                <w:szCs w:val="24"/>
              </w:rPr>
            </w:pPr>
            <w:r w:rsidRPr="00085382">
              <w:rPr>
                <w:sz w:val="24"/>
                <w:szCs w:val="24"/>
              </w:rPr>
              <w:t>None</w:t>
            </w:r>
          </w:p>
        </w:tc>
        <w:tc>
          <w:tcPr>
            <w:tcW w:w="3822" w:type="dxa"/>
          </w:tcPr>
          <w:p w:rsidR="0028243B" w:rsidRPr="00085382" w:rsidRDefault="00DF3715">
            <w:pPr>
              <w:rPr>
                <w:sz w:val="24"/>
                <w:szCs w:val="24"/>
              </w:rPr>
            </w:pPr>
            <w:r w:rsidRPr="00085382">
              <w:rPr>
                <w:sz w:val="24"/>
                <w:szCs w:val="24"/>
              </w:rPr>
              <w:t>None</w:t>
            </w:r>
          </w:p>
        </w:tc>
        <w:tc>
          <w:tcPr>
            <w:tcW w:w="1564" w:type="dxa"/>
          </w:tcPr>
          <w:p w:rsidR="006B2DF8" w:rsidRPr="00085382" w:rsidRDefault="00DF3715">
            <w:pPr>
              <w:rPr>
                <w:sz w:val="24"/>
                <w:szCs w:val="24"/>
              </w:rPr>
            </w:pPr>
            <w:r w:rsidRPr="00085382">
              <w:rPr>
                <w:sz w:val="24"/>
                <w:szCs w:val="24"/>
              </w:rPr>
              <w:t>None</w:t>
            </w:r>
          </w:p>
        </w:tc>
        <w:tc>
          <w:tcPr>
            <w:tcW w:w="1450" w:type="dxa"/>
          </w:tcPr>
          <w:p w:rsidR="006B2DF8" w:rsidRPr="00085382" w:rsidRDefault="00DF3715">
            <w:pPr>
              <w:rPr>
                <w:sz w:val="24"/>
                <w:szCs w:val="24"/>
              </w:rPr>
            </w:pPr>
            <w:r w:rsidRPr="00085382">
              <w:rPr>
                <w:sz w:val="24"/>
                <w:szCs w:val="24"/>
              </w:rPr>
              <w:t>None</w:t>
            </w:r>
          </w:p>
        </w:tc>
      </w:tr>
    </w:tbl>
    <w:p w:rsidR="006B2DF8" w:rsidRDefault="006B2DF8"/>
    <w:p w:rsidR="002B3B5C" w:rsidRDefault="002B3B5C">
      <w:pPr>
        <w:rPr>
          <w:b/>
          <w:sz w:val="32"/>
          <w:szCs w:val="32"/>
        </w:rPr>
      </w:pPr>
      <w:r w:rsidRPr="002B3B5C">
        <w:rPr>
          <w:b/>
          <w:sz w:val="32"/>
          <w:szCs w:val="32"/>
        </w:rPr>
        <w:t>5. Sign off and publishing</w:t>
      </w: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hyperlink r:id="rId8"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F12530"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008551CF">
        <w:rPr>
          <w:sz w:val="28"/>
          <w:szCs w:val="28"/>
        </w:rPr>
        <w:t>Margaret Simmon</w:t>
      </w:r>
      <w:r w:rsidR="00180C7F" w:rsidRPr="00180C7F">
        <w:rPr>
          <w:sz w:val="28"/>
          <w:szCs w:val="28"/>
        </w:rPr>
        <w:t>s-Bird</w:t>
      </w:r>
      <w:r w:rsidRPr="00180C7F">
        <w:rPr>
          <w:sz w:val="28"/>
          <w:szCs w:val="28"/>
        </w:rPr>
        <w:tab/>
      </w:r>
      <w:r w:rsidRPr="00F12530">
        <w:rPr>
          <w:sz w:val="28"/>
          <w:szCs w:val="28"/>
        </w:rPr>
        <w:tab/>
      </w:r>
      <w:r w:rsidR="00180C7F">
        <w:rPr>
          <w:sz w:val="28"/>
          <w:szCs w:val="28"/>
        </w:rPr>
        <w:t xml:space="preserve">          </w:t>
      </w:r>
      <w:r w:rsidRPr="00F12530">
        <w:rPr>
          <w:sz w:val="28"/>
          <w:szCs w:val="28"/>
        </w:rPr>
        <w:tab/>
        <w:t>(Divisional Director or nominated senior officer)</w:t>
      </w:r>
    </w:p>
    <w:p w:rsidR="002B3B5C" w:rsidRPr="008A0F1B" w:rsidRDefault="002B3B5C" w:rsidP="00543922">
      <w:pPr>
        <w:rPr>
          <w:sz w:val="28"/>
          <w:szCs w:val="28"/>
        </w:rPr>
      </w:pPr>
      <w:r w:rsidRPr="00F12530">
        <w:rPr>
          <w:b/>
          <w:sz w:val="28"/>
          <w:szCs w:val="28"/>
        </w:rPr>
        <w:t>Date</w:t>
      </w:r>
      <w:r w:rsidRPr="008A0F1B">
        <w:rPr>
          <w:sz w:val="28"/>
          <w:szCs w:val="28"/>
        </w:rPr>
        <w:t>:</w:t>
      </w:r>
      <w:r w:rsidR="00F96596" w:rsidRPr="008A0F1B">
        <w:rPr>
          <w:sz w:val="28"/>
          <w:szCs w:val="28"/>
        </w:rPr>
        <w:t xml:space="preserve"> </w:t>
      </w:r>
      <w:r w:rsidR="00CF3722" w:rsidRPr="00CF3722">
        <w:rPr>
          <w:sz w:val="28"/>
          <w:szCs w:val="28"/>
        </w:rPr>
        <w:t>10th</w:t>
      </w:r>
      <w:r w:rsidR="00180C7F" w:rsidRPr="00CF3722">
        <w:rPr>
          <w:sz w:val="28"/>
          <w:szCs w:val="28"/>
        </w:rPr>
        <w:t xml:space="preserve"> </w:t>
      </w:r>
      <w:r w:rsidR="005338E1" w:rsidRPr="00CF3722">
        <w:rPr>
          <w:sz w:val="28"/>
          <w:szCs w:val="28"/>
        </w:rPr>
        <w:t>November</w:t>
      </w:r>
      <w:r w:rsidR="00180C7F" w:rsidRPr="005338E1">
        <w:rPr>
          <w:sz w:val="28"/>
          <w:szCs w:val="28"/>
        </w:rPr>
        <w:t xml:space="preserve"> 2017</w:t>
      </w:r>
    </w:p>
    <w:sectPr w:rsidR="002B3B5C" w:rsidRPr="008A0F1B" w:rsidSect="002B3B5C">
      <w:footerReference w:type="default" r:id="rId9"/>
      <w:headerReference w:type="first" r:id="rId10"/>
      <w:footerReference w:type="first" r:id="rId11"/>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43" w:rsidRDefault="00BB6343">
      <w:r>
        <w:separator/>
      </w:r>
    </w:p>
    <w:p w:rsidR="00BB6343" w:rsidRDefault="00BB6343"/>
    <w:p w:rsidR="00BB6343" w:rsidRDefault="00BB6343"/>
  </w:endnote>
  <w:endnote w:type="continuationSeparator" w:id="0">
    <w:p w:rsidR="00BB6343" w:rsidRDefault="00BB6343">
      <w:r>
        <w:continuationSeparator/>
      </w:r>
    </w:p>
    <w:p w:rsidR="00BB6343" w:rsidRDefault="00BB6343"/>
    <w:p w:rsidR="00BB6343" w:rsidRDefault="00BB6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93" w:rsidRDefault="001F5B93">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D4F3C">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D4F3C">
      <w:rPr>
        <w:noProof/>
        <w:snapToGrid w:val="0"/>
      </w:rPr>
      <w:t>8</w:t>
    </w:r>
    <w:r>
      <w:rPr>
        <w:snapToGrid w:val="0"/>
      </w:rPr>
      <w:fldChar w:fldCharType="end"/>
    </w:r>
    <w:r>
      <w:rPr>
        <w:snapToGrid w:val="0"/>
      </w:rPr>
      <w:t xml:space="preserve">          </w:t>
    </w:r>
    <w:smartTag w:uri="urn:schemas-microsoft-com:office:smarttags" w:element="City">
      <w:r>
        <w:rPr>
          <w:snapToGrid w:val="0"/>
        </w:rPr>
        <w:t>Bath</w:t>
      </w:r>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93" w:rsidRDefault="001F5B93">
    <w:pPr>
      <w:pStyle w:val="Footer"/>
    </w:pPr>
    <w:r w:rsidRPr="002E7EF8">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43" w:rsidRDefault="00BB6343">
      <w:r>
        <w:separator/>
      </w:r>
    </w:p>
    <w:p w:rsidR="00BB6343" w:rsidRDefault="00BB6343"/>
    <w:p w:rsidR="00BB6343" w:rsidRDefault="00BB6343"/>
  </w:footnote>
  <w:footnote w:type="continuationSeparator" w:id="0">
    <w:p w:rsidR="00BB6343" w:rsidRDefault="00BB6343">
      <w:r>
        <w:continuationSeparator/>
      </w:r>
    </w:p>
    <w:p w:rsidR="00BB6343" w:rsidRDefault="00BB6343"/>
    <w:p w:rsidR="00BB6343" w:rsidRDefault="00BB63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93" w:rsidRPr="002E7EF8" w:rsidRDefault="001F5B93">
    <w:pPr>
      <w:pStyle w:val="Header"/>
      <w:rPr>
        <w:sz w:val="56"/>
        <w:szCs w:val="56"/>
      </w:rPr>
    </w:pPr>
    <w:r>
      <w:rPr>
        <w:sz w:val="56"/>
        <w:szCs w:val="56"/>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107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C37D3C"/>
    <w:multiLevelType w:val="multilevel"/>
    <w:tmpl w:val="4E7EAE10"/>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b w:val="0"/>
        <w:color w:val="auto"/>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18">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18"/>
  </w:num>
  <w:num w:numId="5">
    <w:abstractNumId w:val="20"/>
  </w:num>
  <w:num w:numId="6">
    <w:abstractNumId w:val="16"/>
  </w:num>
  <w:num w:numId="7">
    <w:abstractNumId w:val="19"/>
  </w:num>
  <w:num w:numId="8">
    <w:abstractNumId w:val="12"/>
  </w:num>
  <w:num w:numId="9">
    <w:abstractNumId w:val="3"/>
  </w:num>
  <w:num w:numId="10">
    <w:abstractNumId w:val="13"/>
  </w:num>
  <w:num w:numId="11">
    <w:abstractNumId w:val="5"/>
  </w:num>
  <w:num w:numId="12">
    <w:abstractNumId w:val="2"/>
  </w:num>
  <w:num w:numId="13">
    <w:abstractNumId w:val="11"/>
  </w:num>
  <w:num w:numId="14">
    <w:abstractNumId w:val="14"/>
  </w:num>
  <w:num w:numId="15">
    <w:abstractNumId w:val="6"/>
  </w:num>
  <w:num w:numId="16">
    <w:abstractNumId w:val="21"/>
  </w:num>
  <w:num w:numId="17">
    <w:abstractNumId w:val="9"/>
  </w:num>
  <w:num w:numId="18">
    <w:abstractNumId w:val="0"/>
  </w:num>
  <w:num w:numId="19">
    <w:abstractNumId w:val="1"/>
  </w:num>
  <w:num w:numId="20">
    <w:abstractNumId w:val="4"/>
  </w:num>
  <w:num w:numId="21">
    <w:abstractNumId w:val="7"/>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159C8"/>
    <w:rsid w:val="000216A7"/>
    <w:rsid w:val="000231C6"/>
    <w:rsid w:val="00037611"/>
    <w:rsid w:val="00053428"/>
    <w:rsid w:val="000722BB"/>
    <w:rsid w:val="00085382"/>
    <w:rsid w:val="0009484C"/>
    <w:rsid w:val="000A184F"/>
    <w:rsid w:val="000A35B3"/>
    <w:rsid w:val="000B5439"/>
    <w:rsid w:val="000D2F04"/>
    <w:rsid w:val="000D494E"/>
    <w:rsid w:val="000D67C3"/>
    <w:rsid w:val="000D7903"/>
    <w:rsid w:val="000E51CA"/>
    <w:rsid w:val="000E7510"/>
    <w:rsid w:val="00100744"/>
    <w:rsid w:val="0010752D"/>
    <w:rsid w:val="001611CD"/>
    <w:rsid w:val="00163C4F"/>
    <w:rsid w:val="001734E3"/>
    <w:rsid w:val="00180C7F"/>
    <w:rsid w:val="00195C8F"/>
    <w:rsid w:val="001B78C4"/>
    <w:rsid w:val="001F5B93"/>
    <w:rsid w:val="00223636"/>
    <w:rsid w:val="00224788"/>
    <w:rsid w:val="002264BA"/>
    <w:rsid w:val="00230F50"/>
    <w:rsid w:val="0023292D"/>
    <w:rsid w:val="0023474C"/>
    <w:rsid w:val="00256E5A"/>
    <w:rsid w:val="00262E77"/>
    <w:rsid w:val="00272C3A"/>
    <w:rsid w:val="00281181"/>
    <w:rsid w:val="0028243B"/>
    <w:rsid w:val="00284270"/>
    <w:rsid w:val="002A17F4"/>
    <w:rsid w:val="002B3B5C"/>
    <w:rsid w:val="002B53E5"/>
    <w:rsid w:val="002C0763"/>
    <w:rsid w:val="002C1B75"/>
    <w:rsid w:val="002C4B12"/>
    <w:rsid w:val="002D33D2"/>
    <w:rsid w:val="002E7EF8"/>
    <w:rsid w:val="00307CB7"/>
    <w:rsid w:val="00324AB0"/>
    <w:rsid w:val="00335B99"/>
    <w:rsid w:val="00362518"/>
    <w:rsid w:val="003706AC"/>
    <w:rsid w:val="00381E3F"/>
    <w:rsid w:val="00391EBA"/>
    <w:rsid w:val="003A0A1D"/>
    <w:rsid w:val="003C3057"/>
    <w:rsid w:val="003D031B"/>
    <w:rsid w:val="003D5896"/>
    <w:rsid w:val="004001AB"/>
    <w:rsid w:val="004033F4"/>
    <w:rsid w:val="00405994"/>
    <w:rsid w:val="0041018B"/>
    <w:rsid w:val="00431237"/>
    <w:rsid w:val="00446395"/>
    <w:rsid w:val="004860A1"/>
    <w:rsid w:val="004B6706"/>
    <w:rsid w:val="004C318C"/>
    <w:rsid w:val="004D37A7"/>
    <w:rsid w:val="004E0961"/>
    <w:rsid w:val="004E418F"/>
    <w:rsid w:val="004F5AC9"/>
    <w:rsid w:val="00500300"/>
    <w:rsid w:val="00530545"/>
    <w:rsid w:val="00532357"/>
    <w:rsid w:val="005338E1"/>
    <w:rsid w:val="0053446A"/>
    <w:rsid w:val="005365D0"/>
    <w:rsid w:val="00543922"/>
    <w:rsid w:val="00546ADD"/>
    <w:rsid w:val="00565025"/>
    <w:rsid w:val="00573640"/>
    <w:rsid w:val="00592541"/>
    <w:rsid w:val="005A0B86"/>
    <w:rsid w:val="005A4AA2"/>
    <w:rsid w:val="005B5E76"/>
    <w:rsid w:val="005C278E"/>
    <w:rsid w:val="005D7C5F"/>
    <w:rsid w:val="005E0695"/>
    <w:rsid w:val="005F46E5"/>
    <w:rsid w:val="00603419"/>
    <w:rsid w:val="00640BEE"/>
    <w:rsid w:val="00647737"/>
    <w:rsid w:val="00655378"/>
    <w:rsid w:val="006629D1"/>
    <w:rsid w:val="006651F7"/>
    <w:rsid w:val="00675FB6"/>
    <w:rsid w:val="006B2DF8"/>
    <w:rsid w:val="006D0E8C"/>
    <w:rsid w:val="006F0C5A"/>
    <w:rsid w:val="006F22A8"/>
    <w:rsid w:val="00713445"/>
    <w:rsid w:val="00724863"/>
    <w:rsid w:val="00726336"/>
    <w:rsid w:val="00732E58"/>
    <w:rsid w:val="007370BE"/>
    <w:rsid w:val="00744837"/>
    <w:rsid w:val="00752B24"/>
    <w:rsid w:val="007822C9"/>
    <w:rsid w:val="007A2E46"/>
    <w:rsid w:val="007C694D"/>
    <w:rsid w:val="007D076A"/>
    <w:rsid w:val="007E2562"/>
    <w:rsid w:val="007F19B6"/>
    <w:rsid w:val="007F4533"/>
    <w:rsid w:val="008034F8"/>
    <w:rsid w:val="008075D3"/>
    <w:rsid w:val="0082170A"/>
    <w:rsid w:val="00842686"/>
    <w:rsid w:val="00844682"/>
    <w:rsid w:val="008551CF"/>
    <w:rsid w:val="00875BF1"/>
    <w:rsid w:val="00897896"/>
    <w:rsid w:val="008A0F1B"/>
    <w:rsid w:val="008A69B4"/>
    <w:rsid w:val="008B760D"/>
    <w:rsid w:val="008C4D5A"/>
    <w:rsid w:val="008D13A5"/>
    <w:rsid w:val="008D66CD"/>
    <w:rsid w:val="008E0EE9"/>
    <w:rsid w:val="008F7911"/>
    <w:rsid w:val="009067E6"/>
    <w:rsid w:val="00916473"/>
    <w:rsid w:val="009171DA"/>
    <w:rsid w:val="009214F5"/>
    <w:rsid w:val="00922FEE"/>
    <w:rsid w:val="0093521F"/>
    <w:rsid w:val="00943384"/>
    <w:rsid w:val="00945A80"/>
    <w:rsid w:val="00946D77"/>
    <w:rsid w:val="00960186"/>
    <w:rsid w:val="0096291D"/>
    <w:rsid w:val="00967CDC"/>
    <w:rsid w:val="009B5A08"/>
    <w:rsid w:val="009C431B"/>
    <w:rsid w:val="009C4D42"/>
    <w:rsid w:val="009D4F3C"/>
    <w:rsid w:val="009E2862"/>
    <w:rsid w:val="009E4239"/>
    <w:rsid w:val="009E6A77"/>
    <w:rsid w:val="00A125C2"/>
    <w:rsid w:val="00A1449C"/>
    <w:rsid w:val="00A20E36"/>
    <w:rsid w:val="00A22FB5"/>
    <w:rsid w:val="00A26DC2"/>
    <w:rsid w:val="00A806B1"/>
    <w:rsid w:val="00A90FFD"/>
    <w:rsid w:val="00AA1B1B"/>
    <w:rsid w:val="00AC23BA"/>
    <w:rsid w:val="00AD63C0"/>
    <w:rsid w:val="00AF1F77"/>
    <w:rsid w:val="00AF3E20"/>
    <w:rsid w:val="00B07A05"/>
    <w:rsid w:val="00B142A3"/>
    <w:rsid w:val="00B51359"/>
    <w:rsid w:val="00B53DA5"/>
    <w:rsid w:val="00B75105"/>
    <w:rsid w:val="00B82DA1"/>
    <w:rsid w:val="00B8565F"/>
    <w:rsid w:val="00B86FBE"/>
    <w:rsid w:val="00B94585"/>
    <w:rsid w:val="00BB3B9A"/>
    <w:rsid w:val="00BB6343"/>
    <w:rsid w:val="00BC0B1B"/>
    <w:rsid w:val="00BC3E3F"/>
    <w:rsid w:val="00BD1C09"/>
    <w:rsid w:val="00BD339B"/>
    <w:rsid w:val="00BE0221"/>
    <w:rsid w:val="00BF2BCC"/>
    <w:rsid w:val="00C045BC"/>
    <w:rsid w:val="00C14271"/>
    <w:rsid w:val="00C163FE"/>
    <w:rsid w:val="00C42998"/>
    <w:rsid w:val="00C56843"/>
    <w:rsid w:val="00C64D7C"/>
    <w:rsid w:val="00C70B44"/>
    <w:rsid w:val="00CB3CD8"/>
    <w:rsid w:val="00CB514F"/>
    <w:rsid w:val="00CE1089"/>
    <w:rsid w:val="00CE5566"/>
    <w:rsid w:val="00CF282A"/>
    <w:rsid w:val="00CF3722"/>
    <w:rsid w:val="00CF58BA"/>
    <w:rsid w:val="00D04E5C"/>
    <w:rsid w:val="00D26959"/>
    <w:rsid w:val="00D34F21"/>
    <w:rsid w:val="00D36EE9"/>
    <w:rsid w:val="00D45637"/>
    <w:rsid w:val="00D8583D"/>
    <w:rsid w:val="00DA09FD"/>
    <w:rsid w:val="00DF3715"/>
    <w:rsid w:val="00E23519"/>
    <w:rsid w:val="00E36997"/>
    <w:rsid w:val="00E41F95"/>
    <w:rsid w:val="00E4699F"/>
    <w:rsid w:val="00E54AC2"/>
    <w:rsid w:val="00E62C69"/>
    <w:rsid w:val="00E65651"/>
    <w:rsid w:val="00E67B1F"/>
    <w:rsid w:val="00EA7774"/>
    <w:rsid w:val="00EB1334"/>
    <w:rsid w:val="00EB64A7"/>
    <w:rsid w:val="00ED5CED"/>
    <w:rsid w:val="00EE1489"/>
    <w:rsid w:val="00EE20BF"/>
    <w:rsid w:val="00EE4504"/>
    <w:rsid w:val="00EE50F5"/>
    <w:rsid w:val="00EF61CE"/>
    <w:rsid w:val="00F04381"/>
    <w:rsid w:val="00F12530"/>
    <w:rsid w:val="00F43499"/>
    <w:rsid w:val="00F5157B"/>
    <w:rsid w:val="00F60057"/>
    <w:rsid w:val="00F67000"/>
    <w:rsid w:val="00F81308"/>
    <w:rsid w:val="00F93043"/>
    <w:rsid w:val="00F96596"/>
    <w:rsid w:val="00FB1656"/>
    <w:rsid w:val="00FB3089"/>
    <w:rsid w:val="00FB5E93"/>
    <w:rsid w:val="00FC4A1E"/>
    <w:rsid w:val="00FD58EE"/>
    <w:rsid w:val="00FE283A"/>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paragraph" w:customStyle="1" w:styleId="CharChar">
    <w:name w:val="Char Char"/>
    <w:basedOn w:val="Normal"/>
    <w:rsid w:val="007F19B6"/>
    <w:pPr>
      <w:spacing w:after="160" w:line="240" w:lineRule="exact"/>
    </w:pPr>
    <w:rPr>
      <w:rFonts w:ascii="Verdana" w:hAnsi="Verdana" w:cs="Verdana"/>
      <w:sz w:val="20"/>
      <w:szCs w:val="20"/>
      <w:lang w:val="en-US"/>
    </w:rPr>
  </w:style>
  <w:style w:type="paragraph" w:customStyle="1" w:styleId="Para-1stLevel">
    <w:name w:val="Para - 1st Level"/>
    <w:basedOn w:val="Normal"/>
    <w:uiPriority w:val="99"/>
    <w:rsid w:val="004033F4"/>
    <w:pPr>
      <w:numPr>
        <w:ilvl w:val="1"/>
        <w:numId w:val="22"/>
      </w:numPr>
      <w:spacing w:after="240"/>
      <w:ind w:right="176"/>
    </w:pPr>
    <w:rPr>
      <w:rFonts w:cs="Arial"/>
      <w:lang w:eastAsia="en-GB"/>
    </w:rPr>
  </w:style>
  <w:style w:type="paragraph" w:customStyle="1" w:styleId="ReportHeading">
    <w:name w:val="Report Heading"/>
    <w:basedOn w:val="Normal"/>
    <w:next w:val="Para-1stLevel"/>
    <w:uiPriority w:val="99"/>
    <w:rsid w:val="004033F4"/>
    <w:pPr>
      <w:numPr>
        <w:numId w:val="22"/>
      </w:numPr>
      <w:spacing w:after="240"/>
      <w:ind w:right="170"/>
    </w:pPr>
    <w:rPr>
      <w:rFonts w:cs="Arial"/>
      <w:b/>
      <w:bCs/>
      <w:caps/>
      <w:lang w:eastAsia="en-GB"/>
    </w:rPr>
  </w:style>
  <w:style w:type="paragraph" w:customStyle="1" w:styleId="Para-2ndlevel">
    <w:name w:val="Para - 2nd level"/>
    <w:basedOn w:val="Para-1stLevel"/>
    <w:uiPriority w:val="99"/>
    <w:rsid w:val="004033F4"/>
    <w:pPr>
      <w:numPr>
        <w:ilvl w:val="2"/>
      </w:numPr>
    </w:pPr>
  </w:style>
  <w:style w:type="paragraph" w:customStyle="1" w:styleId="Para-3rdlevel">
    <w:name w:val="Para - 3rd level"/>
    <w:basedOn w:val="Para-2ndlevel"/>
    <w:autoRedefine/>
    <w:uiPriority w:val="99"/>
    <w:rsid w:val="004033F4"/>
    <w:pPr>
      <w:numPr>
        <w:ilvl w:val="3"/>
      </w:num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2136">
      <w:bodyDiv w:val="1"/>
      <w:marLeft w:val="0"/>
      <w:marRight w:val="0"/>
      <w:marTop w:val="0"/>
      <w:marBottom w:val="0"/>
      <w:divBdr>
        <w:top w:val="none" w:sz="0" w:space="0" w:color="auto"/>
        <w:left w:val="none" w:sz="0" w:space="0" w:color="auto"/>
        <w:bottom w:val="none" w:sz="0" w:space="0" w:color="auto"/>
        <w:right w:val="none" w:sz="0" w:space="0" w:color="auto"/>
      </w:divBdr>
    </w:div>
    <w:div w:id="620452848">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quality@bathn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2151-8EA9-4CDC-8589-EDEC8CD5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BC15B201.dotm</Template>
  <TotalTime>0</TotalTime>
  <Pages>8</Pages>
  <Words>1630</Words>
  <Characters>9297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EIA toolkit </vt:lpstr>
    </vt:vector>
  </TitlesOfParts>
  <Company>GBC</Company>
  <LinksUpToDate>false</LinksUpToDate>
  <CharactersWithSpaces>10906</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creator>robin.daly</dc:creator>
  <cp:lastModifiedBy>Louise Murphy</cp:lastModifiedBy>
  <cp:revision>2</cp:revision>
  <cp:lastPrinted>2008-09-11T09:20:00Z</cp:lastPrinted>
  <dcterms:created xsi:type="dcterms:W3CDTF">2017-11-13T15:25:00Z</dcterms:created>
  <dcterms:modified xsi:type="dcterms:W3CDTF">2017-11-13T15:25:00Z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