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63" w:rsidRPr="00073B63" w:rsidRDefault="00073B63" w:rsidP="00073B63">
      <w:pPr>
        <w:rPr>
          <w:rFonts w:ascii="Arial" w:hAnsi="Arial" w:cs="Arial"/>
          <w:sz w:val="24"/>
          <w:szCs w:val="24"/>
        </w:rPr>
      </w:pPr>
    </w:p>
    <w:p w:rsidR="00964727" w:rsidRDefault="00073B63" w:rsidP="009C4ECE">
      <w:pPr>
        <w:autoSpaceDE w:val="0"/>
        <w:autoSpaceDN w:val="0"/>
        <w:adjustRightInd w:val="0"/>
        <w:spacing w:after="0" w:line="240" w:lineRule="auto"/>
        <w:rPr>
          <w:rFonts w:ascii="Arial" w:hAnsi="Arial" w:cs="Arial"/>
          <w:sz w:val="24"/>
          <w:szCs w:val="24"/>
        </w:rPr>
      </w:pPr>
      <w:r w:rsidRPr="00073B63">
        <w:rPr>
          <w:rFonts w:ascii="Arial" w:hAnsi="Arial" w:cs="Arial"/>
          <w:sz w:val="24"/>
          <w:szCs w:val="24"/>
        </w:rPr>
        <w:t xml:space="preserve"> </w:t>
      </w:r>
    </w:p>
    <w:p w:rsidR="00964727" w:rsidRDefault="00964727" w:rsidP="009C4ECE">
      <w:pPr>
        <w:autoSpaceDE w:val="0"/>
        <w:autoSpaceDN w:val="0"/>
        <w:adjustRightInd w:val="0"/>
        <w:spacing w:after="0" w:line="240" w:lineRule="auto"/>
        <w:rPr>
          <w:rFonts w:ascii="Arial" w:hAnsi="Arial" w:cs="Arial"/>
          <w:sz w:val="24"/>
          <w:szCs w:val="24"/>
        </w:rPr>
      </w:pPr>
    </w:p>
    <w:p w:rsidR="009C4ECE" w:rsidRDefault="00EA4436"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What is Health Scrutiny? </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 key aim of Health Overview and Scrutiny is to make recommendations that improve health service</w:t>
      </w:r>
      <w:r w:rsidR="00890486">
        <w:rPr>
          <w:rFonts w:ascii="Helvetica" w:hAnsi="Helvetica" w:cs="Helvetica"/>
          <w:sz w:val="24"/>
          <w:szCs w:val="24"/>
        </w:rPr>
        <w:t>s. It focuses on the planning and</w:t>
      </w:r>
      <w:r>
        <w:rPr>
          <w:rFonts w:ascii="Helvetica" w:hAnsi="Helvetica" w:cs="Helvetica"/>
          <w:sz w:val="24"/>
          <w:szCs w:val="24"/>
        </w:rPr>
        <w:t xml:space="preserve"> provision of local health services for Bath &amp; North East Somerset residents. It also increases the accountability of NHS organisations, therefore reducing health inequality and supporting the improvement of health in the area.</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w:t>
      </w:r>
      <w:r w:rsidR="00A540EB">
        <w:rPr>
          <w:rFonts w:ascii="Helvetica" w:hAnsi="Helvetica" w:cs="Helvetica"/>
          <w:sz w:val="24"/>
          <w:szCs w:val="24"/>
        </w:rPr>
        <w:t xml:space="preserve">he way health scrutiny works </w:t>
      </w:r>
      <w:r>
        <w:rPr>
          <w:rFonts w:ascii="Helvetica" w:hAnsi="Helvetica" w:cs="Helvetica"/>
          <w:sz w:val="24"/>
          <w:szCs w:val="24"/>
        </w:rPr>
        <w:t>chan</w:t>
      </w:r>
      <w:r w:rsidR="00A540EB">
        <w:rPr>
          <w:rFonts w:ascii="Helvetica" w:hAnsi="Helvetica" w:cs="Helvetica"/>
          <w:sz w:val="24"/>
          <w:szCs w:val="24"/>
        </w:rPr>
        <w:t>ged</w:t>
      </w:r>
      <w:r>
        <w:rPr>
          <w:rFonts w:ascii="Helvetica" w:hAnsi="Helvetica" w:cs="Helvetica"/>
          <w:sz w:val="24"/>
          <w:szCs w:val="24"/>
        </w:rPr>
        <w:t xml:space="preserve"> following the </w:t>
      </w:r>
      <w:r>
        <w:rPr>
          <w:rFonts w:ascii="Helvetica" w:hAnsi="Helvetica" w:cs="Helvetica"/>
          <w:i/>
          <w:sz w:val="24"/>
          <w:szCs w:val="24"/>
        </w:rPr>
        <w:t>Health and Social Care Act (2012).</w:t>
      </w:r>
      <w:r w:rsidR="00A540EB">
        <w:rPr>
          <w:rFonts w:ascii="Helvetica" w:hAnsi="Helvetica" w:cs="Helvetica"/>
          <w:sz w:val="24"/>
          <w:szCs w:val="24"/>
        </w:rPr>
        <w:t xml:space="preserve"> This Act made</w:t>
      </w:r>
      <w:r>
        <w:rPr>
          <w:rFonts w:ascii="Helvetica" w:hAnsi="Helvetica" w:cs="Helvetica"/>
          <w:sz w:val="24"/>
          <w:szCs w:val="24"/>
        </w:rPr>
        <w:t xml:space="preserve"> a number of changes to the way health and social care services will be provided in the future</w:t>
      </w:r>
      <w:r w:rsidR="00890486">
        <w:rPr>
          <w:rFonts w:ascii="Helvetica" w:hAnsi="Helvetica" w:cs="Helvetica"/>
          <w:sz w:val="24"/>
          <w:szCs w:val="24"/>
        </w:rPr>
        <w:t>,</w:t>
      </w:r>
      <w:r>
        <w:rPr>
          <w:rFonts w:ascii="Helvetica" w:hAnsi="Helvetica" w:cs="Helvetica"/>
          <w:sz w:val="24"/>
          <w:szCs w:val="24"/>
        </w:rPr>
        <w:t xml:space="preserve"> although health scrutiny will still play an important role in monitoring the work of health organisations and holding decision makers to account.</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What does the Panel with responsibility for Health Scrutiny do?</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Panel is able to:</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Pr="001253D5" w:rsidRDefault="009C4ECE" w:rsidP="009C4ECE">
      <w:pPr>
        <w:pStyle w:val="ListParagraph"/>
        <w:numPr>
          <w:ilvl w:val="0"/>
          <w:numId w:val="3"/>
        </w:numPr>
        <w:autoSpaceDE w:val="0"/>
        <w:autoSpaceDN w:val="0"/>
        <w:adjustRightInd w:val="0"/>
        <w:spacing w:after="0" w:line="240" w:lineRule="auto"/>
        <w:rPr>
          <w:rFonts w:ascii="Helvetica" w:hAnsi="Helvetica" w:cs="Helvetica"/>
          <w:sz w:val="24"/>
          <w:szCs w:val="24"/>
        </w:rPr>
      </w:pPr>
      <w:r w:rsidRPr="001253D5">
        <w:rPr>
          <w:rFonts w:ascii="Helvetica" w:hAnsi="Helvetica" w:cs="Helvetica"/>
          <w:sz w:val="24"/>
          <w:szCs w:val="24"/>
        </w:rPr>
        <w:t>Hold local health services to account</w:t>
      </w:r>
    </w:p>
    <w:p w:rsidR="009C4ECE" w:rsidRPr="001253D5" w:rsidRDefault="009C4ECE" w:rsidP="009C4ECE">
      <w:pPr>
        <w:pStyle w:val="ListParagraph"/>
        <w:numPr>
          <w:ilvl w:val="0"/>
          <w:numId w:val="3"/>
        </w:numPr>
        <w:autoSpaceDE w:val="0"/>
        <w:autoSpaceDN w:val="0"/>
        <w:adjustRightInd w:val="0"/>
        <w:spacing w:after="0" w:line="240" w:lineRule="auto"/>
        <w:rPr>
          <w:rFonts w:ascii="Helvetica" w:hAnsi="Helvetica" w:cs="Helvetica"/>
          <w:sz w:val="24"/>
          <w:szCs w:val="24"/>
        </w:rPr>
      </w:pPr>
      <w:r w:rsidRPr="001253D5">
        <w:rPr>
          <w:rFonts w:ascii="Helvetica" w:hAnsi="Helvetica" w:cs="Helvetica"/>
          <w:sz w:val="24"/>
          <w:szCs w:val="24"/>
        </w:rPr>
        <w:t>Hold the Cabinet to account by reviewing Council policies and decisions that may relate to or impact on the health of the local community</w:t>
      </w:r>
    </w:p>
    <w:p w:rsidR="009C4ECE" w:rsidRPr="001253D5" w:rsidRDefault="009C4ECE" w:rsidP="009C4ECE">
      <w:pPr>
        <w:pStyle w:val="ListParagraph"/>
        <w:numPr>
          <w:ilvl w:val="0"/>
          <w:numId w:val="3"/>
        </w:numPr>
        <w:autoSpaceDE w:val="0"/>
        <w:autoSpaceDN w:val="0"/>
        <w:adjustRightInd w:val="0"/>
        <w:spacing w:after="0" w:line="240" w:lineRule="auto"/>
        <w:rPr>
          <w:rFonts w:ascii="Helvetica" w:hAnsi="Helvetica" w:cs="Helvetica"/>
          <w:sz w:val="24"/>
          <w:szCs w:val="24"/>
        </w:rPr>
      </w:pPr>
      <w:r w:rsidRPr="001253D5">
        <w:rPr>
          <w:rFonts w:ascii="Helvetica" w:hAnsi="Helvetica" w:cs="Helvetica"/>
          <w:sz w:val="24"/>
          <w:szCs w:val="24"/>
        </w:rPr>
        <w:t>Undertake policy development on behalf of the Cabinet or Council</w:t>
      </w:r>
    </w:p>
    <w:p w:rsidR="009C4ECE" w:rsidRPr="001253D5" w:rsidRDefault="009C4ECE" w:rsidP="009C4ECE">
      <w:pPr>
        <w:pStyle w:val="ListParagraph"/>
        <w:numPr>
          <w:ilvl w:val="0"/>
          <w:numId w:val="3"/>
        </w:numPr>
        <w:autoSpaceDE w:val="0"/>
        <w:autoSpaceDN w:val="0"/>
        <w:adjustRightInd w:val="0"/>
        <w:spacing w:after="0" w:line="240" w:lineRule="auto"/>
        <w:rPr>
          <w:rFonts w:ascii="Helvetica" w:hAnsi="Helvetica" w:cs="Helvetica"/>
          <w:sz w:val="24"/>
          <w:szCs w:val="24"/>
        </w:rPr>
      </w:pPr>
      <w:r w:rsidRPr="001253D5">
        <w:rPr>
          <w:rFonts w:ascii="Helvetica" w:hAnsi="Helvetica" w:cs="Helvetica"/>
          <w:sz w:val="24"/>
          <w:szCs w:val="24"/>
        </w:rPr>
        <w:t>Work with communities to promote and investigate issues of concern</w:t>
      </w:r>
    </w:p>
    <w:p w:rsidR="009C4ECE" w:rsidRPr="001253D5" w:rsidRDefault="009C4ECE" w:rsidP="009C4ECE">
      <w:pPr>
        <w:pStyle w:val="ListParagraph"/>
        <w:numPr>
          <w:ilvl w:val="0"/>
          <w:numId w:val="3"/>
        </w:numPr>
        <w:autoSpaceDE w:val="0"/>
        <w:autoSpaceDN w:val="0"/>
        <w:adjustRightInd w:val="0"/>
        <w:spacing w:after="0" w:line="240" w:lineRule="auto"/>
        <w:rPr>
          <w:rFonts w:ascii="Helvetica" w:hAnsi="Helvetica" w:cs="Helvetica"/>
          <w:sz w:val="24"/>
          <w:szCs w:val="24"/>
        </w:rPr>
      </w:pPr>
      <w:r w:rsidRPr="001253D5">
        <w:rPr>
          <w:rFonts w:ascii="Helvetica" w:hAnsi="Helvetica" w:cs="Helvetica"/>
          <w:sz w:val="24"/>
          <w:szCs w:val="24"/>
        </w:rPr>
        <w:t>NHS organisations may be invited to meetings of the Panel to give presentations on their areas.</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In this way the Panel is kept updated about current policy, performance and informed of any proposed changes. The Panel may also invite health organisations to respond to specific requests for information about issues arising.</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areas of work that the Panel undertakes can cover a broad range of issues, whether reactive (such as possible changes or proactive (such as reviewing local health issues e.g. how and why services are commissioned and access to services). The Panel also looks at health and fitness promotion (e.g. tackling issues such as obesity or smoking).</w:t>
      </w:r>
    </w:p>
    <w:p w:rsidR="009C4ECE" w:rsidRDefault="009C4ECE" w:rsidP="009C4ECE">
      <w:pPr>
        <w:autoSpaceDE w:val="0"/>
        <w:autoSpaceDN w:val="0"/>
        <w:adjustRightInd w:val="0"/>
        <w:spacing w:after="0" w:line="240" w:lineRule="auto"/>
        <w:rPr>
          <w:rFonts w:ascii="Helvetica" w:hAnsi="Helvetica" w:cs="Helvetica"/>
          <w:sz w:val="24"/>
          <w:szCs w:val="24"/>
        </w:rPr>
      </w:pPr>
    </w:p>
    <w:p w:rsidR="00964727" w:rsidRDefault="00964727">
      <w:pPr>
        <w:rPr>
          <w:rFonts w:ascii="Helvetica-Bold" w:hAnsi="Helvetica-Bold" w:cs="Helvetica-Bold"/>
          <w:b/>
          <w:bCs/>
          <w:sz w:val="24"/>
          <w:szCs w:val="24"/>
        </w:rPr>
      </w:pPr>
      <w:r>
        <w:rPr>
          <w:rFonts w:ascii="Helvetica-Bold" w:hAnsi="Helvetica-Bold" w:cs="Helvetica-Bold"/>
          <w:b/>
          <w:bCs/>
          <w:sz w:val="24"/>
          <w:szCs w:val="24"/>
        </w:rPr>
        <w:br w:type="page"/>
      </w:r>
    </w:p>
    <w:p w:rsidR="00964727" w:rsidRDefault="00964727" w:rsidP="009C4ECE">
      <w:pPr>
        <w:autoSpaceDE w:val="0"/>
        <w:autoSpaceDN w:val="0"/>
        <w:adjustRightInd w:val="0"/>
        <w:spacing w:after="0" w:line="240" w:lineRule="auto"/>
        <w:rPr>
          <w:rFonts w:ascii="Helvetica-Bold" w:hAnsi="Helvetica-Bold" w:cs="Helvetica-Bold"/>
          <w:b/>
          <w:bCs/>
          <w:sz w:val="24"/>
          <w:szCs w:val="24"/>
        </w:rPr>
      </w:pPr>
    </w:p>
    <w:p w:rsidR="009C4ECE" w:rsidRDefault="009C4ECE"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Which health organisations are involved?</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In the past the Panel has worked regularly with both regional and national bodies including: </w:t>
      </w:r>
    </w:p>
    <w:p w:rsidR="009C4ECE" w:rsidRDefault="009C4ECE" w:rsidP="009C4ECE">
      <w:pPr>
        <w:autoSpaceDE w:val="0"/>
        <w:autoSpaceDN w:val="0"/>
        <w:adjustRightInd w:val="0"/>
        <w:spacing w:after="0" w:line="240" w:lineRule="auto"/>
        <w:rPr>
          <w:rFonts w:ascii="Helvetica" w:hAnsi="Helvetica" w:cs="Helvetica"/>
          <w:sz w:val="24"/>
          <w:szCs w:val="24"/>
        </w:rPr>
      </w:pPr>
    </w:p>
    <w:p w:rsidR="00A540EB" w:rsidRDefault="00195437" w:rsidP="009C4ECE">
      <w:pPr>
        <w:pStyle w:val="ListParagraph"/>
        <w:numPr>
          <w:ilvl w:val="0"/>
          <w:numId w:val="4"/>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Our partners the </w:t>
      </w:r>
      <w:r w:rsidR="00A540EB">
        <w:rPr>
          <w:rFonts w:ascii="Helvetica" w:hAnsi="Helvetica" w:cs="Helvetica"/>
          <w:sz w:val="24"/>
          <w:szCs w:val="24"/>
        </w:rPr>
        <w:t>Clini</w:t>
      </w:r>
      <w:r w:rsidR="00EC2566">
        <w:rPr>
          <w:rFonts w:ascii="Helvetica" w:hAnsi="Helvetica" w:cs="Helvetica"/>
          <w:sz w:val="24"/>
          <w:szCs w:val="24"/>
        </w:rPr>
        <w:t>cal Commissioning Group (CCG) B&amp;</w:t>
      </w:r>
      <w:r w:rsidR="00A540EB">
        <w:rPr>
          <w:rFonts w:ascii="Helvetica" w:hAnsi="Helvetica" w:cs="Helvetica"/>
          <w:sz w:val="24"/>
          <w:szCs w:val="24"/>
        </w:rPr>
        <w:t>NES and the local Health &amp; Wellbeing Board. Both of these organisations were introduced after health service re-structuring in April 2013</w:t>
      </w:r>
      <w:r w:rsidR="00FB5C2D">
        <w:rPr>
          <w:rFonts w:ascii="Helvetica" w:hAnsi="Helvetica" w:cs="Helvetica"/>
          <w:sz w:val="24"/>
          <w:szCs w:val="24"/>
        </w:rPr>
        <w:t xml:space="preserve"> (see description later)</w:t>
      </w:r>
      <w:r w:rsidR="00A540EB">
        <w:rPr>
          <w:rFonts w:ascii="Helvetica" w:hAnsi="Helvetica" w:cs="Helvetica"/>
          <w:sz w:val="24"/>
          <w:szCs w:val="24"/>
        </w:rPr>
        <w:t>.</w:t>
      </w:r>
    </w:p>
    <w:p w:rsidR="009C4ECE" w:rsidRDefault="009C4ECE" w:rsidP="009C4ECE">
      <w:pPr>
        <w:pStyle w:val="ListParagraph"/>
        <w:numPr>
          <w:ilvl w:val="0"/>
          <w:numId w:val="4"/>
        </w:numPr>
        <w:autoSpaceDE w:val="0"/>
        <w:autoSpaceDN w:val="0"/>
        <w:adjustRightInd w:val="0"/>
        <w:spacing w:after="0" w:line="240" w:lineRule="auto"/>
        <w:rPr>
          <w:rFonts w:ascii="Helvetica" w:hAnsi="Helvetica" w:cs="Helvetica"/>
          <w:sz w:val="24"/>
          <w:szCs w:val="24"/>
        </w:rPr>
      </w:pPr>
      <w:r w:rsidRPr="00103B1E">
        <w:rPr>
          <w:rFonts w:ascii="Helvetica" w:hAnsi="Helvetica" w:cs="Helvetica"/>
          <w:sz w:val="24"/>
          <w:szCs w:val="24"/>
        </w:rPr>
        <w:t>Avon &amp; Wiltshire Mental</w:t>
      </w:r>
      <w:r w:rsidR="00A540EB">
        <w:rPr>
          <w:rFonts w:ascii="Helvetica" w:hAnsi="Helvetica" w:cs="Helvetica"/>
          <w:sz w:val="24"/>
          <w:szCs w:val="24"/>
        </w:rPr>
        <w:t xml:space="preserve"> Health Partnership (AWP) and the South West</w:t>
      </w:r>
      <w:r w:rsidR="008B12CB">
        <w:rPr>
          <w:rFonts w:ascii="Helvetica" w:hAnsi="Helvetica" w:cs="Helvetica"/>
          <w:sz w:val="24"/>
          <w:szCs w:val="24"/>
        </w:rPr>
        <w:t>ern</w:t>
      </w:r>
      <w:r w:rsidR="00A540EB">
        <w:rPr>
          <w:rFonts w:ascii="Helvetica" w:hAnsi="Helvetica" w:cs="Helvetica"/>
          <w:sz w:val="24"/>
          <w:szCs w:val="24"/>
        </w:rPr>
        <w:t xml:space="preserve"> Ambulance Service (S</w:t>
      </w:r>
      <w:r w:rsidRPr="00103B1E">
        <w:rPr>
          <w:rFonts w:ascii="Helvetica" w:hAnsi="Helvetica" w:cs="Helvetica"/>
          <w:sz w:val="24"/>
          <w:szCs w:val="24"/>
        </w:rPr>
        <w:t>WAS)</w:t>
      </w:r>
    </w:p>
    <w:p w:rsidR="00EA4436" w:rsidRPr="00A540EB" w:rsidRDefault="009C4ECE" w:rsidP="00A540EB">
      <w:pPr>
        <w:pStyle w:val="ListParagraph"/>
        <w:numPr>
          <w:ilvl w:val="0"/>
          <w:numId w:val="4"/>
        </w:numPr>
        <w:autoSpaceDE w:val="0"/>
        <w:autoSpaceDN w:val="0"/>
        <w:adjustRightInd w:val="0"/>
        <w:spacing w:after="0" w:line="240" w:lineRule="auto"/>
        <w:rPr>
          <w:rFonts w:ascii="Helvetica" w:hAnsi="Helvetica" w:cs="Helvetica"/>
          <w:sz w:val="24"/>
          <w:szCs w:val="24"/>
        </w:rPr>
      </w:pPr>
      <w:r w:rsidRPr="00A540EB">
        <w:rPr>
          <w:rFonts w:ascii="Helvetica" w:hAnsi="Helvetica" w:cs="Helvetica"/>
          <w:sz w:val="24"/>
          <w:szCs w:val="24"/>
        </w:rPr>
        <w:t xml:space="preserve">Hospital Trusts (Royal United Hospital, Royal National Hospital for </w:t>
      </w:r>
    </w:p>
    <w:p w:rsidR="009C4ECE" w:rsidRDefault="009C4ECE" w:rsidP="00EA4436">
      <w:pPr>
        <w:pStyle w:val="ListParagraph"/>
        <w:autoSpaceDE w:val="0"/>
        <w:autoSpaceDN w:val="0"/>
        <w:adjustRightInd w:val="0"/>
        <w:spacing w:after="0" w:line="240" w:lineRule="auto"/>
        <w:rPr>
          <w:rFonts w:ascii="Helvetica" w:hAnsi="Helvetica" w:cs="Helvetica"/>
          <w:sz w:val="24"/>
          <w:szCs w:val="24"/>
        </w:rPr>
      </w:pPr>
      <w:r w:rsidRPr="00103B1E">
        <w:rPr>
          <w:rFonts w:ascii="Helvetica" w:hAnsi="Helvetica" w:cs="Helvetica"/>
          <w:sz w:val="24"/>
          <w:szCs w:val="24"/>
        </w:rPr>
        <w:t>Rheumatic Diseases). Other Hospital Trusts may also be included where they provide services to Bath and North East Somerset residents</w:t>
      </w:r>
    </w:p>
    <w:p w:rsidR="009C4ECE" w:rsidRDefault="00A540EB" w:rsidP="009C4ECE">
      <w:pPr>
        <w:pStyle w:val="ListParagraph"/>
        <w:numPr>
          <w:ilvl w:val="0"/>
          <w:numId w:val="4"/>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local Healthwatch </w:t>
      </w:r>
      <w:r w:rsidR="009C4ECE" w:rsidRPr="00103B1E">
        <w:rPr>
          <w:rFonts w:ascii="Helvetica" w:hAnsi="Helvetica" w:cs="Helvetica"/>
          <w:sz w:val="24"/>
          <w:szCs w:val="24"/>
        </w:rPr>
        <w:t xml:space="preserve">who monitor local health services and social care. </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What powers does the Panel have?</w:t>
      </w: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NHS bodies must consult the Panel on any major changes they propose for their services. This is in addition to the duty of those bodies to ‘consult and involve’ patients and the public whilst these proposals are being developed. Where the Panel considers the change to be ‘substantial’, it h</w:t>
      </w:r>
      <w:r w:rsidR="002A505E">
        <w:rPr>
          <w:rFonts w:ascii="Helvetica" w:hAnsi="Helvetica" w:cs="Helvetica"/>
          <w:sz w:val="24"/>
          <w:szCs w:val="24"/>
        </w:rPr>
        <w:t xml:space="preserve">as the power to require </w:t>
      </w:r>
      <w:r>
        <w:rPr>
          <w:rFonts w:ascii="Helvetica" w:hAnsi="Helvetica" w:cs="Helvetica"/>
          <w:sz w:val="24"/>
          <w:szCs w:val="24"/>
        </w:rPr>
        <w:t>further consultation. It also advises on the quality and timing of it and considers the results.</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What happens when a health issue affects more than one Council area?</w:t>
      </w: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Some health issues will be specific to Bath and North East Somerset while others (e.g. performance of large hospitals or regional health services) will extend beyond local Council boundaries. In such cases, where substantial change is decided, the Panel is obliged to undertake joint working with the relevant Council’s Health Overview and Scrutiny Panels.</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What changes </w:t>
      </w:r>
      <w:r w:rsidR="007E5F19">
        <w:rPr>
          <w:rFonts w:ascii="Helvetica-Bold" w:hAnsi="Helvetica-Bold" w:cs="Helvetica-Bold"/>
          <w:b/>
          <w:bCs/>
          <w:sz w:val="24"/>
          <w:szCs w:val="24"/>
        </w:rPr>
        <w:t>were made with</w:t>
      </w:r>
      <w:r>
        <w:rPr>
          <w:rFonts w:ascii="Helvetica-Bold" w:hAnsi="Helvetica-Bold" w:cs="Helvetica-Bold"/>
          <w:b/>
          <w:bCs/>
          <w:sz w:val="24"/>
          <w:szCs w:val="24"/>
        </w:rPr>
        <w:t xml:space="preserve"> </w:t>
      </w:r>
      <w:r w:rsidRPr="00C05B38">
        <w:rPr>
          <w:rFonts w:ascii="Helvetica-Bold" w:hAnsi="Helvetica-Bold" w:cs="Helvetica-Bold"/>
          <w:b/>
          <w:bCs/>
          <w:sz w:val="24"/>
          <w:szCs w:val="24"/>
        </w:rPr>
        <w:t>the Health and Social Care Act (2012)?</w:t>
      </w:r>
      <w:r>
        <w:rPr>
          <w:rFonts w:ascii="Helvetica-Bold" w:hAnsi="Helvetica-Bold" w:cs="Helvetica-Bold"/>
          <w:b/>
          <w:bCs/>
          <w:i/>
          <w:sz w:val="24"/>
          <w:szCs w:val="24"/>
        </w:rPr>
        <w:t xml:space="preserve"> </w:t>
      </w:r>
    </w:p>
    <w:p w:rsidR="009C4ECE" w:rsidRPr="001253D5" w:rsidRDefault="009C4ECE" w:rsidP="009C4ECE">
      <w:pPr>
        <w:autoSpaceDE w:val="0"/>
        <w:autoSpaceDN w:val="0"/>
        <w:adjustRightInd w:val="0"/>
        <w:spacing w:after="0" w:line="240" w:lineRule="auto"/>
        <w:rPr>
          <w:rFonts w:ascii="Helvetica-BoldOblique" w:hAnsi="Helvetica-BoldOblique" w:cs="Helvetica-BoldOblique"/>
          <w:b/>
          <w:bCs/>
          <w:i/>
          <w:iCs/>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w:t>
      </w:r>
      <w:r>
        <w:rPr>
          <w:rFonts w:ascii="Helvetica" w:hAnsi="Helvetica" w:cs="Helvetica"/>
          <w:i/>
          <w:sz w:val="24"/>
          <w:szCs w:val="24"/>
        </w:rPr>
        <w:t>Health and Social Care Act (2012)</w:t>
      </w:r>
      <w:r>
        <w:rPr>
          <w:rFonts w:ascii="Helvetica" w:hAnsi="Helvetica" w:cs="Helvetica"/>
          <w:sz w:val="24"/>
          <w:szCs w:val="24"/>
        </w:rPr>
        <w:t xml:space="preserve"> result</w:t>
      </w:r>
      <w:r w:rsidR="002A505E">
        <w:rPr>
          <w:rFonts w:ascii="Helvetica" w:hAnsi="Helvetica" w:cs="Helvetica"/>
          <w:sz w:val="24"/>
          <w:szCs w:val="24"/>
        </w:rPr>
        <w:t>ed</w:t>
      </w:r>
      <w:r w:rsidR="00FB5C2D">
        <w:rPr>
          <w:rFonts w:ascii="Helvetica" w:hAnsi="Helvetica" w:cs="Helvetica"/>
          <w:sz w:val="24"/>
          <w:szCs w:val="24"/>
        </w:rPr>
        <w:t xml:space="preserve"> in a </w:t>
      </w:r>
      <w:r>
        <w:rPr>
          <w:rFonts w:ascii="Helvetica" w:hAnsi="Helvetica" w:cs="Helvetica"/>
          <w:sz w:val="24"/>
          <w:szCs w:val="24"/>
        </w:rPr>
        <w:t>variety of changes to the health care system. These include</w:t>
      </w:r>
      <w:r w:rsidR="002A505E">
        <w:rPr>
          <w:rFonts w:ascii="Helvetica" w:hAnsi="Helvetica" w:cs="Helvetica"/>
          <w:sz w:val="24"/>
          <w:szCs w:val="24"/>
        </w:rPr>
        <w:t>d</w:t>
      </w:r>
      <w:r>
        <w:rPr>
          <w:rFonts w:ascii="Helvetica" w:hAnsi="Helvetica" w:cs="Helvetica"/>
          <w:sz w:val="24"/>
          <w:szCs w:val="24"/>
        </w:rPr>
        <w:t xml:space="preserve">: </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removal of:</w:t>
      </w:r>
    </w:p>
    <w:p w:rsidR="009C4ECE" w:rsidRPr="009A34B5" w:rsidRDefault="009C4ECE" w:rsidP="009C4ECE">
      <w:pPr>
        <w:pStyle w:val="ListParagraph"/>
        <w:numPr>
          <w:ilvl w:val="0"/>
          <w:numId w:val="5"/>
        </w:numPr>
        <w:autoSpaceDE w:val="0"/>
        <w:autoSpaceDN w:val="0"/>
        <w:adjustRightInd w:val="0"/>
        <w:spacing w:after="0" w:line="240" w:lineRule="auto"/>
        <w:rPr>
          <w:rFonts w:ascii="Helvetica" w:hAnsi="Helvetica" w:cs="Helvetica"/>
          <w:sz w:val="24"/>
          <w:szCs w:val="24"/>
        </w:rPr>
      </w:pPr>
      <w:r w:rsidRPr="009A34B5">
        <w:rPr>
          <w:rFonts w:ascii="Helvetica" w:hAnsi="Helvetica" w:cs="Helvetica"/>
          <w:sz w:val="24"/>
          <w:szCs w:val="24"/>
        </w:rPr>
        <w:t>Primary Ca</w:t>
      </w:r>
      <w:r w:rsidR="00FB5C2D">
        <w:rPr>
          <w:rFonts w:ascii="Helvetica" w:hAnsi="Helvetica" w:cs="Helvetica"/>
          <w:sz w:val="24"/>
          <w:szCs w:val="24"/>
        </w:rPr>
        <w:t xml:space="preserve">re Trusts (PCT’s) who </w:t>
      </w:r>
      <w:r w:rsidRPr="009A34B5">
        <w:rPr>
          <w:rFonts w:ascii="Helvetica" w:hAnsi="Helvetica" w:cs="Helvetica"/>
          <w:sz w:val="24"/>
          <w:szCs w:val="24"/>
        </w:rPr>
        <w:t>commission</w:t>
      </w:r>
      <w:r w:rsidR="00FB5C2D">
        <w:rPr>
          <w:rFonts w:ascii="Helvetica" w:hAnsi="Helvetica" w:cs="Helvetica"/>
          <w:sz w:val="24"/>
          <w:szCs w:val="24"/>
        </w:rPr>
        <w:t>ed</w:t>
      </w:r>
      <w:r w:rsidRPr="009A34B5">
        <w:rPr>
          <w:rFonts w:ascii="Helvetica" w:hAnsi="Helvetica" w:cs="Helvetica"/>
          <w:sz w:val="24"/>
          <w:szCs w:val="24"/>
        </w:rPr>
        <w:t xml:space="preserve"> health services for local areas e.g. hospitals, dentists, mental health trusts etc</w:t>
      </w:r>
    </w:p>
    <w:p w:rsidR="009C4ECE" w:rsidRPr="009A34B5" w:rsidRDefault="009C4ECE" w:rsidP="009C4ECE">
      <w:pPr>
        <w:pStyle w:val="ListParagraph"/>
        <w:numPr>
          <w:ilvl w:val="0"/>
          <w:numId w:val="5"/>
        </w:numPr>
        <w:autoSpaceDE w:val="0"/>
        <w:autoSpaceDN w:val="0"/>
        <w:adjustRightInd w:val="0"/>
        <w:spacing w:after="0" w:line="240" w:lineRule="auto"/>
        <w:rPr>
          <w:rFonts w:ascii="Helvetica" w:hAnsi="Helvetica" w:cs="Helvetica"/>
          <w:sz w:val="24"/>
          <w:szCs w:val="24"/>
        </w:rPr>
      </w:pPr>
      <w:r w:rsidRPr="009A34B5">
        <w:rPr>
          <w:rFonts w:ascii="Helvetica" w:hAnsi="Helvetica" w:cs="Helvetica"/>
          <w:sz w:val="24"/>
          <w:szCs w:val="24"/>
        </w:rPr>
        <w:t>Strategic Health Authorities (SHA’s) who manage</w:t>
      </w:r>
      <w:r w:rsidR="00FB5C2D">
        <w:rPr>
          <w:rFonts w:ascii="Helvetica" w:hAnsi="Helvetica" w:cs="Helvetica"/>
          <w:sz w:val="24"/>
          <w:szCs w:val="24"/>
        </w:rPr>
        <w:t>d</w:t>
      </w:r>
      <w:r w:rsidRPr="009A34B5">
        <w:rPr>
          <w:rFonts w:ascii="Helvetica" w:hAnsi="Helvetica" w:cs="Helvetica"/>
          <w:sz w:val="24"/>
          <w:szCs w:val="24"/>
        </w:rPr>
        <w:t xml:space="preserve"> the NHS on behalf of the Secretary of State by monitoring performance and developing plans to improve health services in local areas</w:t>
      </w:r>
    </w:p>
    <w:p w:rsidR="00964727" w:rsidRDefault="00964727">
      <w:pPr>
        <w:rPr>
          <w:rFonts w:ascii="Helvetica" w:hAnsi="Helvetica" w:cs="Helvetica"/>
          <w:sz w:val="24"/>
          <w:szCs w:val="24"/>
        </w:rPr>
      </w:pPr>
      <w:r>
        <w:rPr>
          <w:rFonts w:ascii="Helvetica" w:hAnsi="Helvetica" w:cs="Helvetica"/>
          <w:sz w:val="24"/>
          <w:szCs w:val="24"/>
        </w:rPr>
        <w:br w:type="page"/>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2A505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These bodies were</w:t>
      </w:r>
      <w:r w:rsidR="009C4ECE">
        <w:rPr>
          <w:rFonts w:ascii="Helvetica" w:hAnsi="Helvetica" w:cs="Helvetica"/>
          <w:sz w:val="24"/>
          <w:szCs w:val="24"/>
        </w:rPr>
        <w:t xml:space="preserve"> replaced by: </w:t>
      </w:r>
    </w:p>
    <w:p w:rsidR="009C4ECE" w:rsidRDefault="009C4ECE" w:rsidP="009C4ECE">
      <w:pPr>
        <w:pStyle w:val="ListParagraph"/>
        <w:numPr>
          <w:ilvl w:val="0"/>
          <w:numId w:val="6"/>
        </w:numPr>
        <w:autoSpaceDE w:val="0"/>
        <w:autoSpaceDN w:val="0"/>
        <w:adjustRightInd w:val="0"/>
        <w:spacing w:after="0" w:line="240" w:lineRule="auto"/>
        <w:rPr>
          <w:rFonts w:ascii="Helvetica" w:hAnsi="Helvetica" w:cs="Helvetica"/>
          <w:sz w:val="24"/>
          <w:szCs w:val="24"/>
        </w:rPr>
      </w:pPr>
      <w:r w:rsidRPr="009A34B5">
        <w:rPr>
          <w:rFonts w:ascii="Helvetica" w:hAnsi="Helvetica" w:cs="Helvetica"/>
          <w:sz w:val="24"/>
          <w:szCs w:val="24"/>
        </w:rPr>
        <w:t>NHS</w:t>
      </w:r>
      <w:r w:rsidR="002A505E">
        <w:rPr>
          <w:rFonts w:ascii="Helvetica" w:hAnsi="Helvetica" w:cs="Helvetica"/>
          <w:sz w:val="24"/>
          <w:szCs w:val="24"/>
        </w:rPr>
        <w:t xml:space="preserve"> Commissioning Boards which are </w:t>
      </w:r>
      <w:r w:rsidRPr="009A34B5">
        <w:rPr>
          <w:rFonts w:ascii="Helvetica" w:hAnsi="Helvetica" w:cs="Helvetica"/>
          <w:sz w:val="24"/>
          <w:szCs w:val="24"/>
        </w:rPr>
        <w:t>made up of multi-professi</w:t>
      </w:r>
      <w:r w:rsidR="002A505E">
        <w:rPr>
          <w:rFonts w:ascii="Helvetica" w:hAnsi="Helvetica" w:cs="Helvetica"/>
          <w:sz w:val="24"/>
          <w:szCs w:val="24"/>
        </w:rPr>
        <w:t>onal clinical groups and are</w:t>
      </w:r>
      <w:r w:rsidRPr="009A34B5">
        <w:rPr>
          <w:rFonts w:ascii="Helvetica" w:hAnsi="Helvetica" w:cs="Helvetica"/>
          <w:sz w:val="24"/>
          <w:szCs w:val="24"/>
        </w:rPr>
        <w:t xml:space="preserve"> responsible for making sure certain health services are provided across the country e.g. specialist services such as children’s heart surgery, dental services, pharmacy services and NHS eyesight tests</w:t>
      </w:r>
    </w:p>
    <w:p w:rsidR="009C4ECE" w:rsidRPr="009A34B5" w:rsidRDefault="009C4ECE" w:rsidP="009C4ECE">
      <w:pPr>
        <w:pStyle w:val="ListParagraph"/>
        <w:numPr>
          <w:ilvl w:val="0"/>
          <w:numId w:val="6"/>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Clinical </w:t>
      </w:r>
      <w:r w:rsidRPr="009A34B5">
        <w:rPr>
          <w:rFonts w:ascii="Helvetica" w:hAnsi="Helvetica" w:cs="Helvetica"/>
          <w:sz w:val="24"/>
          <w:szCs w:val="24"/>
        </w:rPr>
        <w:t xml:space="preserve">Commissioning </w:t>
      </w:r>
      <w:r>
        <w:rPr>
          <w:rFonts w:ascii="Helvetica" w:hAnsi="Helvetica" w:cs="Helvetica"/>
          <w:sz w:val="24"/>
          <w:szCs w:val="24"/>
        </w:rPr>
        <w:t>Groups</w:t>
      </w:r>
      <w:r w:rsidRPr="009A34B5">
        <w:rPr>
          <w:rFonts w:ascii="Helvetica" w:hAnsi="Helvetica" w:cs="Helvetica"/>
          <w:sz w:val="24"/>
          <w:szCs w:val="24"/>
        </w:rPr>
        <w:t xml:space="preserve"> </w:t>
      </w:r>
      <w:r>
        <w:rPr>
          <w:rFonts w:ascii="Helvetica" w:hAnsi="Helvetica" w:cs="Helvetica"/>
          <w:sz w:val="24"/>
          <w:szCs w:val="24"/>
        </w:rPr>
        <w:t>who</w:t>
      </w:r>
      <w:r w:rsidR="002A505E">
        <w:rPr>
          <w:rFonts w:ascii="Helvetica" w:hAnsi="Helvetica" w:cs="Helvetica"/>
          <w:sz w:val="24"/>
          <w:szCs w:val="24"/>
        </w:rPr>
        <w:t xml:space="preserve"> are</w:t>
      </w:r>
      <w:r w:rsidRPr="009A34B5">
        <w:rPr>
          <w:rFonts w:ascii="Helvetica" w:hAnsi="Helvetica" w:cs="Helvetica"/>
          <w:sz w:val="24"/>
          <w:szCs w:val="24"/>
        </w:rPr>
        <w:t xml:space="preserve"> responsible </w:t>
      </w:r>
      <w:r w:rsidR="002A505E">
        <w:rPr>
          <w:rFonts w:ascii="Helvetica" w:hAnsi="Helvetica" w:cs="Helvetica"/>
          <w:sz w:val="24"/>
          <w:szCs w:val="24"/>
        </w:rPr>
        <w:t xml:space="preserve">for </w:t>
      </w:r>
      <w:r w:rsidRPr="009A34B5">
        <w:rPr>
          <w:rFonts w:ascii="Helvetica" w:hAnsi="Helvetica" w:cs="Helvetica"/>
          <w:sz w:val="24"/>
          <w:szCs w:val="24"/>
        </w:rPr>
        <w:t xml:space="preserve">purchasing the majority of health services across local areas e.g. mental health services, maternity services, ambulances and A&amp;E. These </w:t>
      </w:r>
      <w:r>
        <w:rPr>
          <w:rFonts w:ascii="Helvetica" w:hAnsi="Helvetica" w:cs="Helvetica"/>
          <w:sz w:val="24"/>
          <w:szCs w:val="24"/>
        </w:rPr>
        <w:t>groups</w:t>
      </w:r>
      <w:r w:rsidRPr="009A34B5">
        <w:rPr>
          <w:rFonts w:ascii="Helvetica" w:hAnsi="Helvetica" w:cs="Helvetica"/>
          <w:sz w:val="24"/>
          <w:szCs w:val="24"/>
        </w:rPr>
        <w:t xml:space="preserve"> </w:t>
      </w:r>
      <w:r w:rsidR="002A505E">
        <w:rPr>
          <w:rFonts w:ascii="Helvetica" w:hAnsi="Helvetica" w:cs="Helvetica"/>
          <w:sz w:val="24"/>
          <w:szCs w:val="24"/>
        </w:rPr>
        <w:t>are</w:t>
      </w:r>
      <w:r w:rsidRPr="009A34B5">
        <w:rPr>
          <w:rFonts w:ascii="Helvetica" w:hAnsi="Helvetica" w:cs="Helvetica"/>
          <w:sz w:val="24"/>
          <w:szCs w:val="24"/>
        </w:rPr>
        <w:t xml:space="preserve"> primarily made-up of GPs but they </w:t>
      </w:r>
      <w:r w:rsidR="002A505E">
        <w:rPr>
          <w:rFonts w:ascii="Helvetica" w:hAnsi="Helvetica" w:cs="Helvetica"/>
          <w:sz w:val="24"/>
          <w:szCs w:val="24"/>
        </w:rPr>
        <w:t>can</w:t>
      </w:r>
      <w:r w:rsidRPr="009A34B5">
        <w:rPr>
          <w:rFonts w:ascii="Helvetica" w:hAnsi="Helvetica" w:cs="Helvetica"/>
          <w:sz w:val="24"/>
          <w:szCs w:val="24"/>
        </w:rPr>
        <w:t xml:space="preserve"> seek advice from ‘clinical senates’ (groups made up of healthcare professionals including nurses, surgeons and clinicians) on their commissioning strategies</w:t>
      </w:r>
    </w:p>
    <w:p w:rsidR="009C4ECE" w:rsidRDefault="009C4ECE" w:rsidP="009C4ECE">
      <w:pPr>
        <w:autoSpaceDE w:val="0"/>
        <w:autoSpaceDN w:val="0"/>
        <w:adjustRightInd w:val="0"/>
        <w:spacing w:after="0" w:line="240" w:lineRule="auto"/>
        <w:rPr>
          <w:rFonts w:ascii="Symbol" w:hAnsi="Symbol" w:cs="Symbol"/>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Local Involvement Networks</w:t>
      </w:r>
      <w:r w:rsidR="00EA4436">
        <w:rPr>
          <w:rFonts w:ascii="Helvetica" w:hAnsi="Helvetica" w:cs="Helvetica"/>
          <w:sz w:val="24"/>
          <w:szCs w:val="24"/>
        </w:rPr>
        <w:t xml:space="preserve"> (LINks)</w:t>
      </w:r>
      <w:r>
        <w:rPr>
          <w:rFonts w:ascii="Helvetica" w:hAnsi="Helvetica" w:cs="Helvetica"/>
          <w:sz w:val="24"/>
          <w:szCs w:val="24"/>
        </w:rPr>
        <w:t xml:space="preserve"> </w:t>
      </w:r>
      <w:r w:rsidR="002A505E">
        <w:rPr>
          <w:rFonts w:ascii="Helvetica" w:hAnsi="Helvetica" w:cs="Helvetica"/>
          <w:sz w:val="24"/>
          <w:szCs w:val="24"/>
        </w:rPr>
        <w:t>have</w:t>
      </w:r>
      <w:r>
        <w:rPr>
          <w:rFonts w:ascii="Helvetica" w:hAnsi="Helvetica" w:cs="Helvetica"/>
          <w:sz w:val="24"/>
          <w:szCs w:val="24"/>
        </w:rPr>
        <w:t xml:space="preserve"> evolve</w:t>
      </w:r>
      <w:r w:rsidR="002A505E">
        <w:rPr>
          <w:rFonts w:ascii="Helvetica" w:hAnsi="Helvetica" w:cs="Helvetica"/>
          <w:sz w:val="24"/>
          <w:szCs w:val="24"/>
        </w:rPr>
        <w:t>d</w:t>
      </w:r>
      <w:r>
        <w:rPr>
          <w:rFonts w:ascii="Helvetica" w:hAnsi="Helvetica" w:cs="Helvetica"/>
          <w:sz w:val="24"/>
          <w:szCs w:val="24"/>
        </w:rPr>
        <w:t xml:space="preserve"> into a new organisation called Healthwatch.</w:t>
      </w:r>
      <w:r w:rsidR="00964727">
        <w:rPr>
          <w:rFonts w:ascii="Helvetica" w:hAnsi="Helvetica" w:cs="Helvetica"/>
          <w:sz w:val="24"/>
          <w:szCs w:val="24"/>
        </w:rPr>
        <w:t xml:space="preserve"> </w:t>
      </w:r>
      <w:r>
        <w:rPr>
          <w:rFonts w:ascii="Helvetica" w:hAnsi="Helvetica" w:cs="Helvetica"/>
          <w:sz w:val="24"/>
          <w:szCs w:val="24"/>
        </w:rPr>
        <w:t xml:space="preserve">There </w:t>
      </w:r>
      <w:r w:rsidR="002A505E">
        <w:rPr>
          <w:rFonts w:ascii="Helvetica" w:hAnsi="Helvetica" w:cs="Helvetica"/>
          <w:sz w:val="24"/>
          <w:szCs w:val="24"/>
        </w:rPr>
        <w:t>is</w:t>
      </w:r>
      <w:r>
        <w:rPr>
          <w:rFonts w:ascii="Helvetica" w:hAnsi="Helvetica" w:cs="Helvetica"/>
          <w:sz w:val="24"/>
          <w:szCs w:val="24"/>
        </w:rPr>
        <w:t xml:space="preserve"> a national body (Healthwatch Engla</w:t>
      </w:r>
      <w:r w:rsidR="002A505E">
        <w:rPr>
          <w:rFonts w:ascii="Helvetica" w:hAnsi="Helvetica" w:cs="Helvetica"/>
          <w:sz w:val="24"/>
          <w:szCs w:val="24"/>
        </w:rPr>
        <w:t xml:space="preserve">nd) and a local body. They </w:t>
      </w:r>
      <w:r>
        <w:rPr>
          <w:rFonts w:ascii="Helvetica" w:hAnsi="Helvetica" w:cs="Helvetica"/>
          <w:sz w:val="24"/>
          <w:szCs w:val="24"/>
        </w:rPr>
        <w:t>have two primary roles, acting as patient advocates and providing an effective challenge to the working of the Clinical Commissioning Group and Health and Wellbeing Boards. These will be funde</w:t>
      </w:r>
      <w:r w:rsidR="00330931">
        <w:rPr>
          <w:rFonts w:ascii="Helvetica" w:hAnsi="Helvetica" w:cs="Helvetica"/>
          <w:sz w:val="24"/>
          <w:szCs w:val="24"/>
        </w:rPr>
        <w:t>d by the local authority and two</w:t>
      </w:r>
      <w:r>
        <w:rPr>
          <w:rFonts w:ascii="Helvetica" w:hAnsi="Helvetica" w:cs="Helvetica"/>
          <w:sz w:val="24"/>
          <w:szCs w:val="24"/>
        </w:rPr>
        <w:t xml:space="preserve"> member</w:t>
      </w:r>
      <w:r w:rsidR="00330931">
        <w:rPr>
          <w:rFonts w:ascii="Helvetica" w:hAnsi="Helvetica" w:cs="Helvetica"/>
          <w:sz w:val="24"/>
          <w:szCs w:val="24"/>
        </w:rPr>
        <w:t>s</w:t>
      </w:r>
      <w:r>
        <w:rPr>
          <w:rFonts w:ascii="Helvetica" w:hAnsi="Helvetica" w:cs="Helvetica"/>
          <w:sz w:val="24"/>
          <w:szCs w:val="24"/>
        </w:rPr>
        <w:t xml:space="preserve"> of the local branch of Healthwatch will have a place on the local Health and Wellbeing Board. </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w:t>
      </w:r>
      <w:r w:rsidR="002A505E">
        <w:rPr>
          <w:rFonts w:ascii="Helvetica" w:hAnsi="Helvetica" w:cs="Helvetica"/>
          <w:sz w:val="24"/>
          <w:szCs w:val="24"/>
        </w:rPr>
        <w:t xml:space="preserve">ealth and Wellbeing Boards </w:t>
      </w:r>
      <w:r>
        <w:rPr>
          <w:rFonts w:ascii="Helvetica" w:hAnsi="Helvetica" w:cs="Helvetica"/>
          <w:sz w:val="24"/>
          <w:szCs w:val="24"/>
        </w:rPr>
        <w:t>contain members of the local authority’s Cabinet; senior local authority officers; Clinical Commissioning Group</w:t>
      </w:r>
      <w:r w:rsidR="00E55DD2">
        <w:rPr>
          <w:rFonts w:ascii="Helvetica" w:hAnsi="Helvetica" w:cs="Helvetica"/>
          <w:sz w:val="24"/>
          <w:szCs w:val="24"/>
        </w:rPr>
        <w:t>; NHS Commissioning Board</w:t>
      </w:r>
      <w:r>
        <w:rPr>
          <w:rFonts w:ascii="Helvetica" w:hAnsi="Helvetica" w:cs="Helvetica"/>
          <w:sz w:val="24"/>
          <w:szCs w:val="24"/>
        </w:rPr>
        <w:t xml:space="preserve"> and patient rep</w:t>
      </w:r>
      <w:r w:rsidR="00E55DD2">
        <w:rPr>
          <w:rFonts w:ascii="Helvetica" w:hAnsi="Helvetica" w:cs="Helvetica"/>
          <w:sz w:val="24"/>
          <w:szCs w:val="24"/>
        </w:rPr>
        <w:t>resentatives (including</w:t>
      </w:r>
      <w:r>
        <w:rPr>
          <w:rFonts w:ascii="Helvetica" w:hAnsi="Helvetica" w:cs="Helvetica"/>
          <w:sz w:val="24"/>
          <w:szCs w:val="24"/>
        </w:rPr>
        <w:t xml:space="preserve"> Healthwatch). The </w:t>
      </w:r>
      <w:r w:rsidR="002A505E">
        <w:rPr>
          <w:rFonts w:ascii="Helvetica" w:hAnsi="Helvetica" w:cs="Helvetica"/>
          <w:sz w:val="24"/>
          <w:szCs w:val="24"/>
        </w:rPr>
        <w:t>Health and Wellbeing Board are</w:t>
      </w:r>
      <w:r>
        <w:rPr>
          <w:rFonts w:ascii="Helvetica" w:hAnsi="Helvetica" w:cs="Helvetica"/>
          <w:sz w:val="24"/>
          <w:szCs w:val="24"/>
        </w:rPr>
        <w:t xml:space="preserve"> responsible for developing a Joint Strategic Needs Assessment (JSNA) and developing a joint health and wellbeing strategy for the local area to improve health services.</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64727"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Health Scrutiny has</w:t>
      </w:r>
      <w:r w:rsidR="009C4ECE">
        <w:rPr>
          <w:rFonts w:ascii="Helvetica" w:hAnsi="Helvetica" w:cs="Helvetica"/>
          <w:sz w:val="24"/>
          <w:szCs w:val="24"/>
        </w:rPr>
        <w:t xml:space="preserve"> the powers to scrutinise the working of the new Clinical Commissioning Group and any providers of healthcare services, however they must do this by working closely </w:t>
      </w:r>
      <w:r>
        <w:rPr>
          <w:rFonts w:ascii="Helvetica" w:hAnsi="Helvetica" w:cs="Helvetica"/>
          <w:sz w:val="24"/>
          <w:szCs w:val="24"/>
        </w:rPr>
        <w:t xml:space="preserve">with Healthwatch. </w:t>
      </w:r>
      <w:r w:rsidR="00941E78">
        <w:rPr>
          <w:rFonts w:ascii="Helvetica" w:hAnsi="Helvetica" w:cs="Helvetica"/>
          <w:sz w:val="24"/>
          <w:szCs w:val="24"/>
        </w:rPr>
        <w:t>The legislation also suggests that any substantial variations to services would need to be referred through Full Council</w:t>
      </w:r>
      <w:r w:rsidR="00941E78" w:rsidRPr="00F3632E">
        <w:rPr>
          <w:rFonts w:ascii="Helvetica" w:hAnsi="Helvetica" w:cs="Helvetica"/>
          <w:sz w:val="24"/>
          <w:szCs w:val="24"/>
        </w:rPr>
        <w:t xml:space="preserve"> but can be delegated however the Full council sees fit. In Bath &amp; North East Somerset Council, the function is delegated to the </w:t>
      </w:r>
      <w:r w:rsidR="00E364B1">
        <w:rPr>
          <w:rFonts w:ascii="Helvetica" w:hAnsi="Helvetica" w:cs="Helvetica"/>
          <w:sz w:val="24"/>
          <w:szCs w:val="24"/>
        </w:rPr>
        <w:t xml:space="preserve">Health &amp; </w:t>
      </w:r>
      <w:r w:rsidR="00941E78" w:rsidRPr="00F3632E">
        <w:rPr>
          <w:rFonts w:ascii="Helvetica" w:hAnsi="Helvetica" w:cs="Helvetica"/>
          <w:sz w:val="24"/>
          <w:szCs w:val="24"/>
        </w:rPr>
        <w:t>Wellbeing</w:t>
      </w:r>
      <w:r w:rsidR="00E364B1">
        <w:rPr>
          <w:rFonts w:ascii="Helvetica" w:hAnsi="Helvetica" w:cs="Helvetica"/>
          <w:sz w:val="24"/>
          <w:szCs w:val="24"/>
        </w:rPr>
        <w:t xml:space="preserve"> Select Committee</w:t>
      </w:r>
      <w:r w:rsidR="00941E78" w:rsidRPr="00F3632E">
        <w:rPr>
          <w:rFonts w:ascii="Helvetica" w:hAnsi="Helvetica" w:cs="Helvetica"/>
          <w:sz w:val="24"/>
          <w:szCs w:val="24"/>
        </w:rPr>
        <w:t xml:space="preserve">. Councillors on the </w:t>
      </w:r>
      <w:r w:rsidR="00E364B1">
        <w:rPr>
          <w:rFonts w:ascii="Helvetica" w:hAnsi="Helvetica" w:cs="Helvetica"/>
          <w:sz w:val="24"/>
          <w:szCs w:val="24"/>
        </w:rPr>
        <w:t xml:space="preserve">Health &amp; </w:t>
      </w:r>
      <w:r w:rsidR="00E364B1" w:rsidRPr="00F3632E">
        <w:rPr>
          <w:rFonts w:ascii="Helvetica" w:hAnsi="Helvetica" w:cs="Helvetica"/>
          <w:sz w:val="24"/>
          <w:szCs w:val="24"/>
        </w:rPr>
        <w:t>Wellbeing</w:t>
      </w:r>
      <w:r w:rsidR="00E364B1">
        <w:rPr>
          <w:rFonts w:ascii="Helvetica" w:hAnsi="Helvetica" w:cs="Helvetica"/>
          <w:sz w:val="24"/>
          <w:szCs w:val="24"/>
        </w:rPr>
        <w:t xml:space="preserve"> Select Committee </w:t>
      </w:r>
      <w:r w:rsidR="00941E78" w:rsidRPr="00F3632E">
        <w:rPr>
          <w:rFonts w:ascii="Helvetica" w:hAnsi="Helvetica" w:cs="Helvetica"/>
          <w:sz w:val="24"/>
          <w:szCs w:val="24"/>
        </w:rPr>
        <w:t xml:space="preserve">therefore have a role, as representatives of the public, to hold to account local Health organisations when they are making decisions about the future of health care provision in Bath &amp; North East Somerset.   </w:t>
      </w: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Scrutiny will also have an important role in monitoring the Health and Wellbeing Boards performance against the Joint Strategic Needs Assessment and Health and Wellbeing Strategy. </w:t>
      </w:r>
    </w:p>
    <w:p w:rsidR="003F1912" w:rsidRDefault="003F1912" w:rsidP="009C4ECE">
      <w:pPr>
        <w:autoSpaceDE w:val="0"/>
        <w:autoSpaceDN w:val="0"/>
        <w:adjustRightInd w:val="0"/>
        <w:spacing w:after="0" w:line="240" w:lineRule="auto"/>
        <w:rPr>
          <w:rFonts w:ascii="Helvetica" w:hAnsi="Helvetica" w:cs="Helvetica"/>
          <w:sz w:val="24"/>
          <w:szCs w:val="24"/>
        </w:rPr>
      </w:pPr>
    </w:p>
    <w:p w:rsidR="007A4F84" w:rsidRDefault="007A4F84">
      <w:pPr>
        <w:rPr>
          <w:rFonts w:ascii="Helvetica" w:hAnsi="Helvetica" w:cs="Helvetica"/>
          <w:sz w:val="24"/>
          <w:szCs w:val="24"/>
        </w:rPr>
      </w:pPr>
      <w:r>
        <w:rPr>
          <w:rFonts w:ascii="Helvetica" w:hAnsi="Helvetica" w:cs="Helvetica"/>
          <w:sz w:val="24"/>
          <w:szCs w:val="24"/>
        </w:rPr>
        <w:br w:type="page"/>
      </w:r>
    </w:p>
    <w:p w:rsidR="007A4F84" w:rsidRDefault="007A4F84" w:rsidP="009C4ECE">
      <w:pPr>
        <w:autoSpaceDE w:val="0"/>
        <w:autoSpaceDN w:val="0"/>
        <w:adjustRightInd w:val="0"/>
        <w:spacing w:after="0" w:line="240" w:lineRule="auto"/>
        <w:rPr>
          <w:rFonts w:ascii="Helvetica" w:hAnsi="Helvetica" w:cs="Helvetica"/>
          <w:sz w:val="24"/>
          <w:szCs w:val="24"/>
        </w:rPr>
      </w:pPr>
    </w:p>
    <w:p w:rsidR="007A4F84" w:rsidRDefault="007A4F84" w:rsidP="009C4ECE">
      <w:pPr>
        <w:autoSpaceDE w:val="0"/>
        <w:autoSpaceDN w:val="0"/>
        <w:adjustRightInd w:val="0"/>
        <w:spacing w:after="0" w:line="240" w:lineRule="auto"/>
        <w:rPr>
          <w:rFonts w:ascii="Helvetica" w:hAnsi="Helvetica" w:cs="Helvetica"/>
          <w:sz w:val="24"/>
          <w:szCs w:val="24"/>
        </w:rPr>
      </w:pPr>
    </w:p>
    <w:p w:rsidR="003F1912" w:rsidRDefault="003F1912" w:rsidP="009C4ECE">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differences between the Health &amp; Wellbeing Board and the </w:t>
      </w:r>
      <w:r w:rsidR="00E364B1">
        <w:rPr>
          <w:rFonts w:ascii="Helvetica" w:hAnsi="Helvetica" w:cs="Helvetica"/>
          <w:sz w:val="24"/>
          <w:szCs w:val="24"/>
        </w:rPr>
        <w:t xml:space="preserve">Health &amp; </w:t>
      </w:r>
      <w:r w:rsidR="00E364B1" w:rsidRPr="00F3632E">
        <w:rPr>
          <w:rFonts w:ascii="Helvetica" w:hAnsi="Helvetica" w:cs="Helvetica"/>
          <w:sz w:val="24"/>
          <w:szCs w:val="24"/>
        </w:rPr>
        <w:t>Wellbeing</w:t>
      </w:r>
      <w:r w:rsidR="00E364B1">
        <w:rPr>
          <w:rFonts w:ascii="Helvetica" w:hAnsi="Helvetica" w:cs="Helvetica"/>
          <w:sz w:val="24"/>
          <w:szCs w:val="24"/>
        </w:rPr>
        <w:t xml:space="preserve"> Select Committee</w:t>
      </w:r>
      <w:r w:rsidR="00E364B1" w:rsidRPr="00F3632E">
        <w:rPr>
          <w:rFonts w:ascii="Helvetica" w:hAnsi="Helvetica" w:cs="Helvetica"/>
          <w:sz w:val="24"/>
          <w:szCs w:val="24"/>
        </w:rPr>
        <w:t>.</w:t>
      </w:r>
      <w:r>
        <w:rPr>
          <w:rFonts w:ascii="Helvetica" w:hAnsi="Helvetica" w:cs="Helvetica"/>
          <w:sz w:val="24"/>
          <w:szCs w:val="24"/>
        </w:rPr>
        <w:t>:</w:t>
      </w:r>
    </w:p>
    <w:p w:rsidR="003F1912" w:rsidRDefault="003F1912" w:rsidP="009C4ECE">
      <w:pPr>
        <w:autoSpaceDE w:val="0"/>
        <w:autoSpaceDN w:val="0"/>
        <w:adjustRightInd w:val="0"/>
        <w:spacing w:after="0" w:line="240" w:lineRule="auto"/>
        <w:rPr>
          <w:rFonts w:ascii="Helvetica" w:hAnsi="Helvetica" w:cs="Helvetica"/>
          <w:sz w:val="24"/>
          <w:szCs w:val="24"/>
        </w:rPr>
      </w:pPr>
    </w:p>
    <w:tbl>
      <w:tblPr>
        <w:tblStyle w:val="TableGrid"/>
        <w:tblW w:w="0" w:type="auto"/>
        <w:tblLook w:val="04A0" w:firstRow="1" w:lastRow="0" w:firstColumn="1" w:lastColumn="0" w:noHBand="0" w:noVBand="1"/>
      </w:tblPr>
      <w:tblGrid>
        <w:gridCol w:w="4621"/>
        <w:gridCol w:w="4621"/>
      </w:tblGrid>
      <w:tr w:rsidR="003F1912" w:rsidTr="003F1912">
        <w:tc>
          <w:tcPr>
            <w:tcW w:w="4621" w:type="dxa"/>
          </w:tcPr>
          <w:p w:rsidR="003F1912" w:rsidRPr="00A9494A" w:rsidRDefault="003F1912" w:rsidP="009C4ECE">
            <w:pPr>
              <w:autoSpaceDE w:val="0"/>
              <w:autoSpaceDN w:val="0"/>
              <w:adjustRightInd w:val="0"/>
              <w:spacing w:after="200" w:line="276" w:lineRule="auto"/>
              <w:rPr>
                <w:rFonts w:ascii="Helvetica" w:hAnsi="Helvetica" w:cs="Helvetica"/>
                <w:b/>
                <w:sz w:val="24"/>
                <w:szCs w:val="24"/>
              </w:rPr>
            </w:pPr>
            <w:r w:rsidRPr="00A9494A">
              <w:rPr>
                <w:rFonts w:ascii="Helvetica" w:hAnsi="Helvetica" w:cs="Helvetica"/>
                <w:b/>
                <w:sz w:val="24"/>
                <w:szCs w:val="24"/>
              </w:rPr>
              <w:t>Health &amp; Wellbeing Board</w:t>
            </w:r>
          </w:p>
        </w:tc>
        <w:tc>
          <w:tcPr>
            <w:tcW w:w="4621" w:type="dxa"/>
          </w:tcPr>
          <w:p w:rsidR="003F1912" w:rsidRPr="00A9494A" w:rsidRDefault="00E364B1" w:rsidP="009C4ECE">
            <w:pPr>
              <w:autoSpaceDE w:val="0"/>
              <w:autoSpaceDN w:val="0"/>
              <w:adjustRightInd w:val="0"/>
              <w:spacing w:after="200" w:line="276" w:lineRule="auto"/>
              <w:rPr>
                <w:rFonts w:ascii="Helvetica" w:hAnsi="Helvetica" w:cs="Helvetica"/>
                <w:b/>
                <w:sz w:val="24"/>
                <w:szCs w:val="24"/>
              </w:rPr>
            </w:pPr>
            <w:r>
              <w:rPr>
                <w:rFonts w:ascii="Helvetica" w:hAnsi="Helvetica" w:cs="Helvetica"/>
                <w:sz w:val="24"/>
                <w:szCs w:val="24"/>
              </w:rPr>
              <w:t xml:space="preserve">Health &amp; </w:t>
            </w:r>
            <w:r w:rsidRPr="00F3632E">
              <w:rPr>
                <w:rFonts w:ascii="Helvetica" w:hAnsi="Helvetica" w:cs="Helvetica"/>
                <w:sz w:val="24"/>
                <w:szCs w:val="24"/>
              </w:rPr>
              <w:t>Wellbeing</w:t>
            </w:r>
            <w:r>
              <w:rPr>
                <w:rFonts w:ascii="Helvetica" w:hAnsi="Helvetica" w:cs="Helvetica"/>
                <w:sz w:val="24"/>
                <w:szCs w:val="24"/>
              </w:rPr>
              <w:t xml:space="preserve"> Select Committee</w:t>
            </w:r>
            <w:r w:rsidRPr="00F3632E">
              <w:rPr>
                <w:rFonts w:ascii="Helvetica" w:hAnsi="Helvetica" w:cs="Helvetica"/>
                <w:sz w:val="24"/>
                <w:szCs w:val="24"/>
              </w:rPr>
              <w:t>.</w:t>
            </w:r>
          </w:p>
        </w:tc>
      </w:tr>
      <w:tr w:rsidR="003F1912" w:rsidTr="003F1912">
        <w:tc>
          <w:tcPr>
            <w:tcW w:w="4621" w:type="dxa"/>
          </w:tcPr>
          <w:p w:rsidR="003F1912" w:rsidRDefault="003F1912" w:rsidP="003F1912">
            <w:pPr>
              <w:autoSpaceDE w:val="0"/>
              <w:autoSpaceDN w:val="0"/>
              <w:adjustRightInd w:val="0"/>
              <w:rPr>
                <w:rFonts w:ascii="Helvetica" w:hAnsi="Helvetica" w:cs="Helvetica"/>
                <w:sz w:val="24"/>
                <w:szCs w:val="24"/>
              </w:rPr>
            </w:pPr>
            <w:r>
              <w:rPr>
                <w:rFonts w:ascii="Helvetica" w:hAnsi="Helvetica" w:cs="Helvetica"/>
                <w:sz w:val="24"/>
                <w:szCs w:val="24"/>
              </w:rPr>
              <w:t>Members comprise senior Council officers, Cabinet Members, H</w:t>
            </w:r>
            <w:r w:rsidR="000E2E6B">
              <w:rPr>
                <w:rFonts w:ascii="Helvetica" w:hAnsi="Helvetica" w:cs="Helvetica"/>
                <w:sz w:val="24"/>
                <w:szCs w:val="24"/>
              </w:rPr>
              <w:t xml:space="preserve">ealthwatch, </w:t>
            </w:r>
            <w:r>
              <w:rPr>
                <w:rFonts w:ascii="Helvetica" w:hAnsi="Helvetica" w:cs="Helvetica"/>
                <w:sz w:val="24"/>
                <w:szCs w:val="24"/>
              </w:rPr>
              <w:t xml:space="preserve"> NHS England and the local Clinical Commissioning Group</w:t>
            </w:r>
          </w:p>
        </w:tc>
        <w:tc>
          <w:tcPr>
            <w:tcW w:w="4621" w:type="dxa"/>
          </w:tcPr>
          <w:p w:rsidR="003F1912" w:rsidRDefault="003F1912" w:rsidP="009C4ECE">
            <w:pPr>
              <w:autoSpaceDE w:val="0"/>
              <w:autoSpaceDN w:val="0"/>
              <w:adjustRightInd w:val="0"/>
              <w:rPr>
                <w:rFonts w:ascii="Helvetica" w:hAnsi="Helvetica" w:cs="Helvetica"/>
                <w:sz w:val="24"/>
                <w:szCs w:val="24"/>
              </w:rPr>
            </w:pPr>
            <w:r>
              <w:rPr>
                <w:rFonts w:ascii="Helvetica" w:hAnsi="Helvetica" w:cs="Helvetica"/>
                <w:sz w:val="24"/>
                <w:szCs w:val="24"/>
              </w:rPr>
              <w:t>Members are non-Cabinet Councillors.</w:t>
            </w:r>
          </w:p>
        </w:tc>
      </w:tr>
      <w:tr w:rsidR="003F1912" w:rsidTr="003F1912">
        <w:tc>
          <w:tcPr>
            <w:tcW w:w="4621" w:type="dxa"/>
          </w:tcPr>
          <w:p w:rsidR="003F1912" w:rsidRDefault="002D7989" w:rsidP="002D7989">
            <w:pPr>
              <w:autoSpaceDE w:val="0"/>
              <w:autoSpaceDN w:val="0"/>
              <w:adjustRightInd w:val="0"/>
              <w:rPr>
                <w:rFonts w:ascii="Helvetica" w:hAnsi="Helvetica" w:cs="Helvetica"/>
                <w:sz w:val="24"/>
                <w:szCs w:val="24"/>
              </w:rPr>
            </w:pPr>
            <w:r>
              <w:rPr>
                <w:rFonts w:ascii="Helvetica" w:hAnsi="Helvetica" w:cs="Helvetica"/>
                <w:sz w:val="24"/>
                <w:szCs w:val="24"/>
              </w:rPr>
              <w:t>Undertakes</w:t>
            </w:r>
            <w:r w:rsidR="003F1912">
              <w:rPr>
                <w:rFonts w:ascii="Helvetica" w:hAnsi="Helvetica" w:cs="Helvetica"/>
                <w:sz w:val="24"/>
                <w:szCs w:val="24"/>
              </w:rPr>
              <w:t xml:space="preserve"> a Joint Strategic Needs Assessment</w:t>
            </w:r>
            <w:r>
              <w:rPr>
                <w:rFonts w:ascii="Helvetica" w:hAnsi="Helvetica" w:cs="Helvetica"/>
                <w:sz w:val="24"/>
                <w:szCs w:val="24"/>
              </w:rPr>
              <w:t xml:space="preserve"> and then sets the local Health &amp; Wellbeing Strategy</w:t>
            </w:r>
          </w:p>
        </w:tc>
        <w:tc>
          <w:tcPr>
            <w:tcW w:w="4621" w:type="dxa"/>
          </w:tcPr>
          <w:p w:rsidR="003F1912" w:rsidRDefault="002D7989" w:rsidP="002D7989">
            <w:pPr>
              <w:autoSpaceDE w:val="0"/>
              <w:autoSpaceDN w:val="0"/>
              <w:adjustRightInd w:val="0"/>
              <w:rPr>
                <w:rFonts w:ascii="Helvetica" w:hAnsi="Helvetica" w:cs="Helvetica"/>
                <w:sz w:val="24"/>
                <w:szCs w:val="24"/>
              </w:rPr>
            </w:pPr>
            <w:r>
              <w:rPr>
                <w:rFonts w:ascii="Helvetica" w:hAnsi="Helvetica" w:cs="Helvetica"/>
                <w:sz w:val="24"/>
                <w:szCs w:val="24"/>
              </w:rPr>
              <w:t>The panel d</w:t>
            </w:r>
            <w:r w:rsidR="000E2E6B">
              <w:rPr>
                <w:rFonts w:ascii="Helvetica" w:hAnsi="Helvetica" w:cs="Helvetica"/>
                <w:sz w:val="24"/>
                <w:szCs w:val="24"/>
              </w:rPr>
              <w:t xml:space="preserve">oes not make decisions. </w:t>
            </w:r>
            <w:r>
              <w:rPr>
                <w:rFonts w:ascii="Helvetica" w:hAnsi="Helvetica" w:cs="Helvetica"/>
                <w:sz w:val="24"/>
                <w:szCs w:val="24"/>
              </w:rPr>
              <w:t>It s</w:t>
            </w:r>
            <w:r w:rsidR="000E2E6B">
              <w:rPr>
                <w:rFonts w:ascii="Helvetica" w:hAnsi="Helvetica" w:cs="Helvetica"/>
                <w:sz w:val="24"/>
                <w:szCs w:val="24"/>
              </w:rPr>
              <w:t>eeks to take</w:t>
            </w:r>
            <w:r w:rsidR="003F1912">
              <w:rPr>
                <w:rFonts w:ascii="Helvetica" w:hAnsi="Helvetica" w:cs="Helvetica"/>
                <w:sz w:val="24"/>
                <w:szCs w:val="24"/>
              </w:rPr>
              <w:t xml:space="preserve"> an overview of services</w:t>
            </w:r>
            <w:r>
              <w:rPr>
                <w:rFonts w:ascii="Helvetica" w:hAnsi="Helvetica" w:cs="Helvetica"/>
                <w:sz w:val="24"/>
                <w:szCs w:val="24"/>
              </w:rPr>
              <w:t xml:space="preserve"> and in doing so, may suggest</w:t>
            </w:r>
            <w:r w:rsidR="003F1912">
              <w:rPr>
                <w:rFonts w:ascii="Helvetica" w:hAnsi="Helvetica" w:cs="Helvetica"/>
                <w:sz w:val="24"/>
                <w:szCs w:val="24"/>
              </w:rPr>
              <w:t xml:space="preserve"> policy developments.</w:t>
            </w:r>
            <w:r w:rsidR="00B23A0D">
              <w:rPr>
                <w:rFonts w:ascii="Helvetica" w:hAnsi="Helvetica" w:cs="Helvetica"/>
                <w:sz w:val="24"/>
                <w:szCs w:val="24"/>
              </w:rPr>
              <w:t xml:space="preserve"> The panel can </w:t>
            </w:r>
            <w:r>
              <w:rPr>
                <w:rFonts w:ascii="Helvetica" w:hAnsi="Helvetica" w:cs="Helvetica"/>
                <w:sz w:val="24"/>
                <w:szCs w:val="24"/>
              </w:rPr>
              <w:t xml:space="preserve">however </w:t>
            </w:r>
            <w:r w:rsidR="00B23A0D">
              <w:rPr>
                <w:rFonts w:ascii="Helvetica" w:hAnsi="Helvetica" w:cs="Helvetica"/>
                <w:sz w:val="24"/>
                <w:szCs w:val="24"/>
              </w:rPr>
              <w:t>make recommendations for</w:t>
            </w:r>
            <w:r>
              <w:rPr>
                <w:rFonts w:ascii="Helvetica" w:hAnsi="Helvetica" w:cs="Helvetica"/>
                <w:sz w:val="24"/>
                <w:szCs w:val="24"/>
              </w:rPr>
              <w:t xml:space="preserve"> Cabinet members to respond to</w:t>
            </w:r>
            <w:r w:rsidR="00B23A0D">
              <w:rPr>
                <w:rFonts w:ascii="Helvetica" w:hAnsi="Helvetica" w:cs="Helvetica"/>
                <w:sz w:val="24"/>
                <w:szCs w:val="24"/>
              </w:rPr>
              <w:t>.</w:t>
            </w:r>
          </w:p>
        </w:tc>
      </w:tr>
      <w:tr w:rsidR="003F1912" w:rsidTr="003F1912">
        <w:tc>
          <w:tcPr>
            <w:tcW w:w="4621" w:type="dxa"/>
          </w:tcPr>
          <w:p w:rsidR="003F1912" w:rsidRDefault="003F1912" w:rsidP="009C4ECE">
            <w:pPr>
              <w:autoSpaceDE w:val="0"/>
              <w:autoSpaceDN w:val="0"/>
              <w:adjustRightInd w:val="0"/>
              <w:rPr>
                <w:rFonts w:ascii="Helvetica" w:hAnsi="Helvetica" w:cs="Helvetica"/>
                <w:sz w:val="24"/>
                <w:szCs w:val="24"/>
              </w:rPr>
            </w:pPr>
            <w:r>
              <w:rPr>
                <w:rFonts w:ascii="Helvetica" w:hAnsi="Helvetica" w:cs="Helvetica"/>
                <w:sz w:val="24"/>
                <w:szCs w:val="24"/>
              </w:rPr>
              <w:t>Creates the higher level vision for local health and care services</w:t>
            </w:r>
          </w:p>
        </w:tc>
        <w:tc>
          <w:tcPr>
            <w:tcW w:w="4621" w:type="dxa"/>
          </w:tcPr>
          <w:p w:rsidR="003F1912" w:rsidRDefault="002D7989" w:rsidP="002D7989">
            <w:pPr>
              <w:autoSpaceDE w:val="0"/>
              <w:autoSpaceDN w:val="0"/>
              <w:adjustRightInd w:val="0"/>
              <w:rPr>
                <w:rFonts w:ascii="Helvetica" w:hAnsi="Helvetica" w:cs="Helvetica"/>
                <w:sz w:val="24"/>
                <w:szCs w:val="24"/>
              </w:rPr>
            </w:pPr>
            <w:r>
              <w:rPr>
                <w:rFonts w:ascii="Helvetica" w:hAnsi="Helvetica" w:cs="Helvetica"/>
                <w:sz w:val="24"/>
                <w:szCs w:val="24"/>
              </w:rPr>
              <w:t xml:space="preserve">The panel also has </w:t>
            </w:r>
            <w:r w:rsidR="00B23A0D">
              <w:rPr>
                <w:rFonts w:ascii="Helvetica" w:hAnsi="Helvetica" w:cs="Helvetica"/>
                <w:sz w:val="24"/>
                <w:szCs w:val="24"/>
              </w:rPr>
              <w:t>the right</w:t>
            </w:r>
            <w:r w:rsidR="003F1912">
              <w:rPr>
                <w:rFonts w:ascii="Helvetica" w:hAnsi="Helvetica" w:cs="Helvetica"/>
                <w:sz w:val="24"/>
                <w:szCs w:val="24"/>
              </w:rPr>
              <w:t xml:space="preserve"> to </w:t>
            </w:r>
            <w:r w:rsidR="000E2E6B">
              <w:rPr>
                <w:rFonts w:ascii="Helvetica" w:hAnsi="Helvetica" w:cs="Helvetica"/>
                <w:sz w:val="24"/>
                <w:szCs w:val="24"/>
              </w:rPr>
              <w:t>call service providers</w:t>
            </w:r>
            <w:r>
              <w:rPr>
                <w:rFonts w:ascii="Helvetica" w:hAnsi="Helvetica" w:cs="Helvetica"/>
                <w:sz w:val="24"/>
                <w:szCs w:val="24"/>
              </w:rPr>
              <w:t>, council officers and Cabinet M</w:t>
            </w:r>
            <w:r w:rsidR="00B23A0D">
              <w:rPr>
                <w:rFonts w:ascii="Helvetica" w:hAnsi="Helvetica" w:cs="Helvetica"/>
                <w:sz w:val="24"/>
                <w:szCs w:val="24"/>
              </w:rPr>
              <w:t>embers</w:t>
            </w:r>
            <w:r w:rsidR="000E2E6B">
              <w:rPr>
                <w:rFonts w:ascii="Helvetica" w:hAnsi="Helvetica" w:cs="Helvetica"/>
                <w:sz w:val="24"/>
                <w:szCs w:val="24"/>
              </w:rPr>
              <w:t xml:space="preserve"> to appear before the panel </w:t>
            </w:r>
          </w:p>
        </w:tc>
      </w:tr>
      <w:tr w:rsidR="003F1912" w:rsidTr="003F1912">
        <w:tc>
          <w:tcPr>
            <w:tcW w:w="4621" w:type="dxa"/>
          </w:tcPr>
          <w:p w:rsidR="003F1912" w:rsidRDefault="003F1912" w:rsidP="009C4ECE">
            <w:pPr>
              <w:autoSpaceDE w:val="0"/>
              <w:autoSpaceDN w:val="0"/>
              <w:adjustRightInd w:val="0"/>
              <w:rPr>
                <w:rFonts w:ascii="Helvetica" w:hAnsi="Helvetica" w:cs="Helvetica"/>
                <w:sz w:val="24"/>
                <w:szCs w:val="24"/>
              </w:rPr>
            </w:pPr>
          </w:p>
        </w:tc>
        <w:tc>
          <w:tcPr>
            <w:tcW w:w="4621" w:type="dxa"/>
          </w:tcPr>
          <w:p w:rsidR="003F1912" w:rsidRDefault="002D7989" w:rsidP="000E2E6B">
            <w:pPr>
              <w:autoSpaceDE w:val="0"/>
              <w:autoSpaceDN w:val="0"/>
              <w:adjustRightInd w:val="0"/>
              <w:rPr>
                <w:rFonts w:ascii="Helvetica" w:hAnsi="Helvetica" w:cs="Helvetica"/>
                <w:sz w:val="24"/>
                <w:szCs w:val="24"/>
              </w:rPr>
            </w:pPr>
            <w:r>
              <w:rPr>
                <w:rFonts w:ascii="Helvetica" w:hAnsi="Helvetica" w:cs="Helvetica"/>
                <w:sz w:val="24"/>
                <w:szCs w:val="24"/>
              </w:rPr>
              <w:t>The panel can</w:t>
            </w:r>
            <w:r w:rsidR="000E2E6B">
              <w:rPr>
                <w:rFonts w:ascii="Helvetica" w:hAnsi="Helvetica" w:cs="Helvetica"/>
                <w:sz w:val="24"/>
                <w:szCs w:val="24"/>
              </w:rPr>
              <w:t xml:space="preserve"> scrutinise substantial changes in health services</w:t>
            </w:r>
            <w:r w:rsidR="00B23A0D">
              <w:rPr>
                <w:rFonts w:ascii="Helvetica" w:hAnsi="Helvetica" w:cs="Helvetica"/>
                <w:sz w:val="24"/>
                <w:szCs w:val="24"/>
              </w:rPr>
              <w:t>. In particular circumstances the panel may make a refer</w:t>
            </w:r>
            <w:r w:rsidR="00A9494A">
              <w:rPr>
                <w:rFonts w:ascii="Helvetica" w:hAnsi="Helvetica" w:cs="Helvetica"/>
                <w:sz w:val="24"/>
                <w:szCs w:val="24"/>
              </w:rPr>
              <w:t>r</w:t>
            </w:r>
            <w:r w:rsidR="00B23A0D">
              <w:rPr>
                <w:rFonts w:ascii="Helvetica" w:hAnsi="Helvetica" w:cs="Helvetica"/>
                <w:sz w:val="24"/>
                <w:szCs w:val="24"/>
              </w:rPr>
              <w:t>al to the Secretary of State</w:t>
            </w:r>
          </w:p>
        </w:tc>
      </w:tr>
      <w:tr w:rsidR="003F1912" w:rsidTr="003F1912">
        <w:tc>
          <w:tcPr>
            <w:tcW w:w="4621" w:type="dxa"/>
          </w:tcPr>
          <w:p w:rsidR="003F1912" w:rsidRDefault="003F1912" w:rsidP="009C4ECE">
            <w:pPr>
              <w:autoSpaceDE w:val="0"/>
              <w:autoSpaceDN w:val="0"/>
              <w:adjustRightInd w:val="0"/>
              <w:rPr>
                <w:rFonts w:ascii="Helvetica" w:hAnsi="Helvetica" w:cs="Helvetica"/>
                <w:sz w:val="24"/>
                <w:szCs w:val="24"/>
              </w:rPr>
            </w:pPr>
          </w:p>
        </w:tc>
        <w:tc>
          <w:tcPr>
            <w:tcW w:w="4621" w:type="dxa"/>
          </w:tcPr>
          <w:p w:rsidR="003F1912" w:rsidRDefault="00B23A0D" w:rsidP="009C4ECE">
            <w:pPr>
              <w:autoSpaceDE w:val="0"/>
              <w:autoSpaceDN w:val="0"/>
              <w:adjustRightInd w:val="0"/>
              <w:rPr>
                <w:rFonts w:ascii="Helvetica" w:hAnsi="Helvetica" w:cs="Helvetica"/>
                <w:sz w:val="24"/>
                <w:szCs w:val="24"/>
              </w:rPr>
            </w:pPr>
            <w:r>
              <w:rPr>
                <w:rFonts w:ascii="Helvetica" w:hAnsi="Helvetica" w:cs="Helvetica"/>
                <w:sz w:val="24"/>
                <w:szCs w:val="24"/>
              </w:rPr>
              <w:t>Can scrutinise the HWB’s work</w:t>
            </w:r>
          </w:p>
        </w:tc>
      </w:tr>
    </w:tbl>
    <w:p w:rsidR="003F1912" w:rsidRDefault="003F1912" w:rsidP="009C4ECE">
      <w:pPr>
        <w:autoSpaceDE w:val="0"/>
        <w:autoSpaceDN w:val="0"/>
        <w:adjustRightInd w:val="0"/>
        <w:spacing w:after="0" w:line="240" w:lineRule="auto"/>
        <w:rPr>
          <w:rFonts w:ascii="Helvetica" w:hAnsi="Helvetica" w:cs="Helvetica"/>
          <w:sz w:val="24"/>
          <w:szCs w:val="24"/>
        </w:rPr>
      </w:pPr>
    </w:p>
    <w:p w:rsidR="009C4ECE" w:rsidRDefault="009C4ECE" w:rsidP="009C4ECE">
      <w:pPr>
        <w:autoSpaceDE w:val="0"/>
        <w:autoSpaceDN w:val="0"/>
        <w:adjustRightInd w:val="0"/>
        <w:spacing w:after="0" w:line="240" w:lineRule="auto"/>
        <w:rPr>
          <w:rFonts w:ascii="Helvetica" w:hAnsi="Helvetica" w:cs="Helvetica"/>
          <w:sz w:val="24"/>
          <w:szCs w:val="24"/>
        </w:rPr>
      </w:pPr>
    </w:p>
    <w:p w:rsidR="009C4ECE" w:rsidRPr="00964727" w:rsidRDefault="00E364B1" w:rsidP="009C4ECE">
      <w:pPr>
        <w:rPr>
          <w:i/>
        </w:rPr>
      </w:pPr>
      <w:r>
        <w:rPr>
          <w:rFonts w:ascii="Helvetica" w:hAnsi="Helvetica" w:cs="Helvetica"/>
          <w:i/>
          <w:sz w:val="24"/>
          <w:szCs w:val="24"/>
        </w:rPr>
        <w:t>June 2015</w:t>
      </w:r>
    </w:p>
    <w:p w:rsidR="00073B63" w:rsidRPr="00073B63" w:rsidRDefault="00073B63" w:rsidP="009C4ECE">
      <w:pPr>
        <w:rPr>
          <w:rFonts w:ascii="Arial" w:hAnsi="Arial" w:cs="Arial"/>
          <w:b/>
          <w:sz w:val="24"/>
          <w:szCs w:val="24"/>
        </w:rPr>
      </w:pPr>
    </w:p>
    <w:p w:rsidR="00281434" w:rsidRPr="00073B63" w:rsidRDefault="00281434">
      <w:pPr>
        <w:rPr>
          <w:rFonts w:ascii="Arial" w:hAnsi="Arial" w:cs="Arial"/>
          <w:sz w:val="24"/>
          <w:szCs w:val="24"/>
        </w:rPr>
      </w:pPr>
    </w:p>
    <w:sectPr w:rsidR="00281434" w:rsidRPr="00073B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5E" w:rsidRDefault="00CD515E" w:rsidP="00073B63">
      <w:pPr>
        <w:spacing w:after="0" w:line="240" w:lineRule="auto"/>
      </w:pPr>
      <w:r>
        <w:separator/>
      </w:r>
    </w:p>
  </w:endnote>
  <w:endnote w:type="continuationSeparator" w:id="0">
    <w:p w:rsidR="00CD515E" w:rsidRDefault="00CD515E" w:rsidP="0007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78" w:rsidRDefault="00941E78">
    <w:pPr>
      <w:pStyle w:val="Footer"/>
    </w:pPr>
    <w:r>
      <w:rPr>
        <w:noProof/>
        <w:lang w:eastAsia="en-GB"/>
      </w:rPr>
      <mc:AlternateContent>
        <mc:Choice Requires="wps">
          <w:drawing>
            <wp:anchor distT="0" distB="0" distL="114300" distR="114300" simplePos="0" relativeHeight="251660288" behindDoc="1" locked="0" layoutInCell="1" allowOverlap="1" wp14:anchorId="1BD5FDA9" wp14:editId="7B70F496">
              <wp:simplePos x="0" y="0"/>
              <wp:positionH relativeFrom="column">
                <wp:posOffset>5547995</wp:posOffset>
              </wp:positionH>
              <wp:positionV relativeFrom="page">
                <wp:posOffset>8693785</wp:posOffset>
              </wp:positionV>
              <wp:extent cx="914400" cy="914400"/>
              <wp:effectExtent l="0" t="0" r="0" b="0"/>
              <wp:wrapSquare wrapText="bothSides"/>
              <wp:docPr id="4"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436.85pt;margin-top:684.55pt;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" fillcolor="#36f" stroked="f">
              <w10:wrap type="square" anchory="page"/>
            </v:shape>
          </w:pict>
        </mc:Fallback>
      </mc:AlternateContent>
    </w:r>
  </w:p>
  <w:p w:rsidR="00941E78" w:rsidRPr="00073B63" w:rsidRDefault="00941E78" w:rsidP="00073B63">
    <w:pPr>
      <w:pStyle w:val="Footer"/>
      <w:tabs>
        <w:tab w:val="clear" w:pos="4513"/>
        <w:tab w:val="clear" w:pos="9026"/>
        <w:tab w:val="left" w:pos="3818"/>
      </w:tabs>
      <w:ind w:left="3600"/>
      <w:jc w:val="right"/>
      <w:rPr>
        <w:rFonts w:ascii="Helvetica" w:hAnsi="Helvetica" w:cs="Helvetica"/>
        <w:color w:val="FFFFFF" w:themeColor="background1"/>
        <w:sz w:val="28"/>
        <w:szCs w:val="28"/>
      </w:rPr>
    </w:pPr>
    <w:r>
      <w:rPr>
        <w:noProof/>
        <w:lang w:eastAsia="en-GB"/>
      </w:rPr>
      <mc:AlternateContent>
        <mc:Choice Requires="wps">
          <w:drawing>
            <wp:anchor distT="0" distB="0" distL="114300" distR="114300" simplePos="0" relativeHeight="251659264" behindDoc="1" locked="0" layoutInCell="1" allowOverlap="1" wp14:anchorId="7EE31FF0" wp14:editId="6A4D4687">
              <wp:simplePos x="0" y="0"/>
              <wp:positionH relativeFrom="column">
                <wp:posOffset>4445</wp:posOffset>
              </wp:positionH>
              <wp:positionV relativeFrom="page">
                <wp:posOffset>9600565</wp:posOffset>
              </wp:positionV>
              <wp:extent cx="7886700" cy="1090930"/>
              <wp:effectExtent l="4445" t="3810" r="0" b="63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90930"/>
                      </a:xfrm>
                      <a:prstGeom prst="rect">
                        <a:avLst/>
                      </a:prstGeom>
                      <a:solidFill>
                        <a:srgbClr val="3366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pt;margin-top:755.95pt;width:621pt;height: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" fillcolor="#36f" stroked="f" strokecolor="blue">
              <w10:wrap type="square" anchory="page"/>
            </v:rect>
          </w:pict>
        </mc:Fallback>
      </mc:AlternateContent>
    </w:r>
    <w:r>
      <w:tab/>
    </w:r>
    <w:r w:rsidRPr="00073B63">
      <w:rPr>
        <w:rFonts w:ascii="Helvetica" w:hAnsi="Helvetica" w:cs="Helvetica"/>
        <w:color w:val="FFFFFF" w:themeColor="background1"/>
        <w:sz w:val="28"/>
        <w:szCs w:val="28"/>
      </w:rPr>
      <w:t xml:space="preserve">Making Bath and North East Somerset an </w:t>
    </w:r>
    <w:r w:rsidRPr="00073B63">
      <w:rPr>
        <w:rFonts w:ascii="Helvetica" w:hAnsi="Helvetica" w:cs="Helvetica"/>
        <w:b/>
        <w:color w:val="FFFFFF" w:themeColor="background1"/>
        <w:sz w:val="28"/>
        <w:szCs w:val="28"/>
      </w:rPr>
      <w:t>even</w:t>
    </w:r>
    <w:r w:rsidRPr="00073B63">
      <w:rPr>
        <w:rFonts w:ascii="Helvetica" w:hAnsi="Helvetica" w:cs="Helvetica"/>
        <w:color w:val="FFFFFF" w:themeColor="background1"/>
        <w:sz w:val="28"/>
        <w:szCs w:val="28"/>
      </w:rPr>
      <w:t xml:space="preserve"> better place to live</w:t>
    </w:r>
    <w:r>
      <w:rPr>
        <w:rFonts w:ascii="Helvetica" w:hAnsi="Helvetica" w:cs="Helvetica"/>
        <w:color w:val="FFFFFF" w:themeColor="background1"/>
        <w:sz w:val="28"/>
        <w:szCs w:val="28"/>
      </w:rPr>
      <w:t>,</w:t>
    </w:r>
    <w:r w:rsidRPr="00073B63">
      <w:rPr>
        <w:rFonts w:ascii="Helvetica" w:hAnsi="Helvetica" w:cs="Helvetica"/>
        <w:color w:val="FFFFFF" w:themeColor="background1"/>
        <w:sz w:val="28"/>
        <w:szCs w:val="28"/>
      </w:rPr>
      <w:t xml:space="preserve"> work and visit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5E" w:rsidRDefault="00CD515E" w:rsidP="00073B63">
      <w:pPr>
        <w:spacing w:after="0" w:line="240" w:lineRule="auto"/>
      </w:pPr>
      <w:r>
        <w:separator/>
      </w:r>
    </w:p>
  </w:footnote>
  <w:footnote w:type="continuationSeparator" w:id="0">
    <w:p w:rsidR="00CD515E" w:rsidRDefault="00CD515E" w:rsidP="00073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78" w:rsidRDefault="00941E78">
    <w:pPr>
      <w:pStyle w:val="Header"/>
    </w:pPr>
    <w:r>
      <w:rPr>
        <w:noProof/>
        <w:lang w:eastAsia="en-GB"/>
      </w:rPr>
      <w:drawing>
        <wp:anchor distT="0" distB="0" distL="114300" distR="114300" simplePos="0" relativeHeight="251658240" behindDoc="0" locked="1" layoutInCell="1" allowOverlap="1">
          <wp:simplePos x="0" y="0"/>
          <wp:positionH relativeFrom="column">
            <wp:posOffset>-799465</wp:posOffset>
          </wp:positionH>
          <wp:positionV relativeFrom="page">
            <wp:posOffset>99060</wp:posOffset>
          </wp:positionV>
          <wp:extent cx="2579370" cy="977265"/>
          <wp:effectExtent l="0" t="0" r="0" b="0"/>
          <wp:wrapSquare wrapText="bothSides"/>
          <wp:docPr id="1" name="Picture 1" descr="BNES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ES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370" cy="977265"/>
                  </a:xfrm>
                  <a:prstGeom prst="rect">
                    <a:avLst/>
                  </a:prstGeom>
                  <a:noFill/>
                </pic:spPr>
              </pic:pic>
            </a:graphicData>
          </a:graphic>
          <wp14:sizeRelH relativeFrom="page">
            <wp14:pctWidth>0</wp14:pctWidth>
          </wp14:sizeRelH>
          <wp14:sizeRelV relativeFrom="page">
            <wp14:pctHeight>0</wp14:pctHeight>
          </wp14:sizeRelV>
        </wp:anchor>
      </w:drawing>
    </w:r>
  </w:p>
  <w:p w:rsidR="00941E78" w:rsidRDefault="00941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9E2"/>
    <w:multiLevelType w:val="hybridMultilevel"/>
    <w:tmpl w:val="7C6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460CA6"/>
    <w:multiLevelType w:val="hybridMultilevel"/>
    <w:tmpl w:val="D39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EB1557"/>
    <w:multiLevelType w:val="hybridMultilevel"/>
    <w:tmpl w:val="C7A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A36E39"/>
    <w:multiLevelType w:val="hybridMultilevel"/>
    <w:tmpl w:val="1D9C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6D481C"/>
    <w:multiLevelType w:val="hybridMultilevel"/>
    <w:tmpl w:val="3742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3657B7"/>
    <w:multiLevelType w:val="hybridMultilevel"/>
    <w:tmpl w:val="909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63"/>
    <w:rsid w:val="00073B63"/>
    <w:rsid w:val="000E2E6B"/>
    <w:rsid w:val="00195437"/>
    <w:rsid w:val="00281434"/>
    <w:rsid w:val="0028583E"/>
    <w:rsid w:val="002A505E"/>
    <w:rsid w:val="002D7989"/>
    <w:rsid w:val="00330931"/>
    <w:rsid w:val="003F1912"/>
    <w:rsid w:val="004004AE"/>
    <w:rsid w:val="005710DD"/>
    <w:rsid w:val="00593D11"/>
    <w:rsid w:val="005C743D"/>
    <w:rsid w:val="00692787"/>
    <w:rsid w:val="007A48BB"/>
    <w:rsid w:val="007A4F84"/>
    <w:rsid w:val="007E5F19"/>
    <w:rsid w:val="00890486"/>
    <w:rsid w:val="008B12CB"/>
    <w:rsid w:val="00941E78"/>
    <w:rsid w:val="00964727"/>
    <w:rsid w:val="009C4ECE"/>
    <w:rsid w:val="00A540EB"/>
    <w:rsid w:val="00A9494A"/>
    <w:rsid w:val="00B2356A"/>
    <w:rsid w:val="00B23A0D"/>
    <w:rsid w:val="00B61C3B"/>
    <w:rsid w:val="00BB2507"/>
    <w:rsid w:val="00C05B38"/>
    <w:rsid w:val="00CC60C1"/>
    <w:rsid w:val="00CD515E"/>
    <w:rsid w:val="00E364B1"/>
    <w:rsid w:val="00E55DD2"/>
    <w:rsid w:val="00EA4436"/>
    <w:rsid w:val="00EC2566"/>
    <w:rsid w:val="00F3632E"/>
    <w:rsid w:val="00FB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63"/>
    <w:pPr>
      <w:ind w:left="720"/>
      <w:contextualSpacing/>
    </w:pPr>
  </w:style>
  <w:style w:type="table" w:styleId="TableGrid">
    <w:name w:val="Table Grid"/>
    <w:basedOn w:val="TableNormal"/>
    <w:uiPriority w:val="59"/>
    <w:rsid w:val="000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63"/>
  </w:style>
  <w:style w:type="paragraph" w:styleId="Footer">
    <w:name w:val="footer"/>
    <w:basedOn w:val="Normal"/>
    <w:link w:val="FooterChar"/>
    <w:uiPriority w:val="99"/>
    <w:unhideWhenUsed/>
    <w:rsid w:val="0007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63"/>
  </w:style>
  <w:style w:type="paragraph" w:styleId="BalloonText">
    <w:name w:val="Balloon Text"/>
    <w:basedOn w:val="Normal"/>
    <w:link w:val="BalloonTextChar"/>
    <w:uiPriority w:val="99"/>
    <w:semiHidden/>
    <w:unhideWhenUsed/>
    <w:rsid w:val="0007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63"/>
    <w:pPr>
      <w:ind w:left="720"/>
      <w:contextualSpacing/>
    </w:pPr>
  </w:style>
  <w:style w:type="table" w:styleId="TableGrid">
    <w:name w:val="Table Grid"/>
    <w:basedOn w:val="TableNormal"/>
    <w:uiPriority w:val="59"/>
    <w:rsid w:val="000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63"/>
  </w:style>
  <w:style w:type="paragraph" w:styleId="Footer">
    <w:name w:val="footer"/>
    <w:basedOn w:val="Normal"/>
    <w:link w:val="FooterChar"/>
    <w:uiPriority w:val="99"/>
    <w:unhideWhenUsed/>
    <w:rsid w:val="0007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63"/>
  </w:style>
  <w:style w:type="paragraph" w:styleId="BalloonText">
    <w:name w:val="Balloon Text"/>
    <w:basedOn w:val="Normal"/>
    <w:link w:val="BalloonTextChar"/>
    <w:uiPriority w:val="99"/>
    <w:semiHidden/>
    <w:unhideWhenUsed/>
    <w:rsid w:val="0007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92938730</Template>
  <TotalTime>2</TotalTime>
  <Pages>1</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Rushen</dc:creator>
  <cp:lastModifiedBy>Emma Bagley</cp:lastModifiedBy>
  <cp:revision>6</cp:revision>
  <cp:lastPrinted>2012-04-23T14:17:00Z</cp:lastPrinted>
  <dcterms:created xsi:type="dcterms:W3CDTF">2015-06-23T08:18:00Z</dcterms:created>
  <dcterms:modified xsi:type="dcterms:W3CDTF">2015-06-23T08:19:00Z</dcterms:modified>
</cp:coreProperties>
</file>