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BF7" w:rsidRPr="009F4C88" w:rsidRDefault="00227644" w:rsidP="00CC6BF7">
      <w:pPr>
        <w:jc w:val="center"/>
        <w:rPr>
          <w:b/>
          <w:sz w:val="36"/>
          <w:szCs w:val="36"/>
        </w:rPr>
      </w:pPr>
      <w:r>
        <w:rPr>
          <w:b/>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419.25pt;margin-top:-.7pt;width:45.75pt;height:36pt;z-index:251657728">
            <v:textbox>
              <w:txbxContent>
                <w:p w:rsidR="00945CFA" w:rsidRPr="00227644" w:rsidRDefault="00227644" w:rsidP="008425B0">
                  <w:pPr>
                    <w:jc w:val="center"/>
                    <w:rPr>
                      <w:rFonts w:ascii="Arial" w:hAnsi="Arial" w:cs="Arial"/>
                      <w:b/>
                      <w:sz w:val="44"/>
                      <w:szCs w:val="44"/>
                    </w:rPr>
                  </w:pPr>
                  <w:r w:rsidRPr="00227644">
                    <w:rPr>
                      <w:rFonts w:ascii="Arial" w:hAnsi="Arial" w:cs="Arial"/>
                      <w:b/>
                      <w:sz w:val="44"/>
                      <w:szCs w:val="44"/>
                    </w:rPr>
                    <w:t>8</w:t>
                  </w:r>
                </w:p>
              </w:txbxContent>
            </v:textbox>
          </v:shape>
        </w:pict>
      </w:r>
      <w:r w:rsidR="002F6E76">
        <w:rPr>
          <w:b/>
          <w:sz w:val="36"/>
          <w:szCs w:val="36"/>
        </w:rPr>
        <w:t xml:space="preserve"> </w:t>
      </w:r>
      <w:r w:rsidR="00CC6BF7" w:rsidRPr="009F4C88">
        <w:rPr>
          <w:b/>
          <w:sz w:val="36"/>
          <w:szCs w:val="36"/>
        </w:rPr>
        <w:t>School Forum</w:t>
      </w:r>
    </w:p>
    <w:p w:rsidR="00CC6BF7" w:rsidRDefault="00FA703C" w:rsidP="00FA703C">
      <w:pPr>
        <w:jc w:val="center"/>
        <w:rPr>
          <w:b/>
          <w:sz w:val="36"/>
          <w:szCs w:val="36"/>
        </w:rPr>
      </w:pPr>
      <w:r>
        <w:rPr>
          <w:b/>
          <w:sz w:val="36"/>
          <w:szCs w:val="36"/>
        </w:rPr>
        <w:t>17</w:t>
      </w:r>
      <w:r w:rsidRPr="00FA703C">
        <w:rPr>
          <w:b/>
          <w:sz w:val="36"/>
          <w:szCs w:val="36"/>
          <w:vertAlign w:val="superscript"/>
        </w:rPr>
        <w:t>th</w:t>
      </w:r>
      <w:r>
        <w:rPr>
          <w:b/>
          <w:sz w:val="36"/>
          <w:szCs w:val="36"/>
        </w:rPr>
        <w:t xml:space="preserve"> March 2015</w:t>
      </w:r>
      <w:bookmarkStart w:id="0" w:name="_GoBack"/>
      <w:bookmarkEnd w:id="0"/>
    </w:p>
    <w:p w:rsidR="00FA703C" w:rsidRDefault="00FA703C" w:rsidP="00FA703C">
      <w:pPr>
        <w:jc w:val="center"/>
      </w:pPr>
    </w:p>
    <w:p w:rsidR="00CC6BF7" w:rsidRPr="00B42151" w:rsidRDefault="009C3778" w:rsidP="00CC6BF7">
      <w:pPr>
        <w:jc w:val="center"/>
        <w:rPr>
          <w:b/>
          <w:sz w:val="28"/>
          <w:szCs w:val="28"/>
        </w:rPr>
      </w:pPr>
      <w:r>
        <w:rPr>
          <w:b/>
          <w:sz w:val="28"/>
          <w:szCs w:val="28"/>
        </w:rPr>
        <w:t xml:space="preserve">Funding proposals for </w:t>
      </w:r>
      <w:r w:rsidR="00074E15">
        <w:rPr>
          <w:b/>
          <w:sz w:val="28"/>
          <w:szCs w:val="28"/>
        </w:rPr>
        <w:t xml:space="preserve">LA </w:t>
      </w:r>
      <w:r w:rsidR="00193CE1">
        <w:rPr>
          <w:b/>
          <w:sz w:val="28"/>
          <w:szCs w:val="28"/>
        </w:rPr>
        <w:t>Planned Growth</w:t>
      </w:r>
      <w:r w:rsidR="00074E15">
        <w:rPr>
          <w:b/>
          <w:sz w:val="28"/>
          <w:szCs w:val="28"/>
        </w:rPr>
        <w:t xml:space="preserve"> and basic need</w:t>
      </w:r>
      <w:r w:rsidR="00193CE1">
        <w:rPr>
          <w:b/>
          <w:sz w:val="28"/>
          <w:szCs w:val="28"/>
        </w:rPr>
        <w:t xml:space="preserve"> for</w:t>
      </w:r>
      <w:r w:rsidR="00074E15">
        <w:rPr>
          <w:b/>
          <w:sz w:val="28"/>
          <w:szCs w:val="28"/>
        </w:rPr>
        <w:t xml:space="preserve"> </w:t>
      </w:r>
      <w:r>
        <w:rPr>
          <w:b/>
          <w:sz w:val="28"/>
          <w:szCs w:val="28"/>
        </w:rPr>
        <w:t>new</w:t>
      </w:r>
      <w:r w:rsidR="00ED24FA">
        <w:rPr>
          <w:b/>
          <w:sz w:val="28"/>
          <w:szCs w:val="28"/>
        </w:rPr>
        <w:t xml:space="preserve"> </w:t>
      </w:r>
      <w:r w:rsidR="00074E15">
        <w:rPr>
          <w:b/>
          <w:sz w:val="28"/>
          <w:szCs w:val="28"/>
        </w:rPr>
        <w:t>Primary schools</w:t>
      </w:r>
    </w:p>
    <w:p w:rsidR="00CC14F9" w:rsidRPr="00CC14F9" w:rsidRDefault="00CC14F9" w:rsidP="00CC14F9">
      <w:pPr>
        <w:jc w:val="center"/>
        <w:rPr>
          <w:rFonts w:ascii="Arial Narrow" w:hAnsi="Arial Narrow"/>
          <w:b/>
          <w:sz w:val="28"/>
          <w:szCs w:val="28"/>
        </w:rPr>
      </w:pPr>
    </w:p>
    <w:tbl>
      <w:tblPr>
        <w:tblW w:w="0" w:type="auto"/>
        <w:tblCellSpacing w:w="20" w:type="dxa"/>
        <w:tblInd w:w="163" w:type="dxa"/>
        <w:tblBorders>
          <w:top w:val="inset" w:sz="12" w:space="0" w:color="000080"/>
          <w:left w:val="inset" w:sz="12" w:space="0" w:color="000080"/>
          <w:bottom w:val="outset" w:sz="12" w:space="0" w:color="000080"/>
          <w:right w:val="outset" w:sz="12" w:space="0" w:color="000080"/>
          <w:insideH w:val="single" w:sz="6" w:space="0" w:color="000080"/>
          <w:insideV w:val="single" w:sz="6" w:space="0" w:color="000080"/>
        </w:tblBorders>
        <w:tblLook w:val="01E0" w:firstRow="1" w:lastRow="1" w:firstColumn="1" w:lastColumn="1" w:noHBand="0" w:noVBand="0"/>
      </w:tblPr>
      <w:tblGrid>
        <w:gridCol w:w="2895"/>
        <w:gridCol w:w="7200"/>
      </w:tblGrid>
      <w:tr w:rsidR="00CC14F9" w:rsidTr="00AC51C5">
        <w:trPr>
          <w:tblCellSpacing w:w="20" w:type="dxa"/>
        </w:trPr>
        <w:tc>
          <w:tcPr>
            <w:tcW w:w="2835" w:type="dxa"/>
            <w:shd w:val="clear" w:color="auto" w:fill="E1E1FF"/>
          </w:tcPr>
          <w:p w:rsidR="00CC14F9" w:rsidRPr="00AC51C5" w:rsidRDefault="00CC14F9" w:rsidP="00CC14F9">
            <w:pPr>
              <w:rPr>
                <w:rFonts w:ascii="Arial Narrow" w:hAnsi="Arial Narrow"/>
                <w:b/>
                <w:sz w:val="28"/>
                <w:szCs w:val="28"/>
              </w:rPr>
            </w:pPr>
            <w:r w:rsidRPr="00AC51C5">
              <w:rPr>
                <w:rFonts w:ascii="Arial Narrow" w:hAnsi="Arial Narrow"/>
                <w:b/>
                <w:sz w:val="28"/>
                <w:szCs w:val="28"/>
              </w:rPr>
              <w:t>Lead Officer</w:t>
            </w:r>
          </w:p>
        </w:tc>
        <w:tc>
          <w:tcPr>
            <w:tcW w:w="7140" w:type="dxa"/>
            <w:shd w:val="clear" w:color="auto" w:fill="auto"/>
          </w:tcPr>
          <w:p w:rsidR="00CC14F9" w:rsidRPr="00AC51C5" w:rsidRDefault="001B3A60" w:rsidP="00AC51C5">
            <w:pPr>
              <w:jc w:val="center"/>
              <w:rPr>
                <w:rFonts w:ascii="Arial Narrow" w:hAnsi="Arial Narrow"/>
                <w:b/>
              </w:rPr>
            </w:pPr>
            <w:r w:rsidRPr="00AC51C5">
              <w:rPr>
                <w:rFonts w:ascii="Arial Narrow" w:hAnsi="Arial Narrow"/>
                <w:b/>
              </w:rPr>
              <w:t>Richard Morgan</w:t>
            </w:r>
          </w:p>
        </w:tc>
      </w:tr>
      <w:tr w:rsidR="001B3A60" w:rsidTr="00AC51C5">
        <w:trPr>
          <w:tblCellSpacing w:w="20" w:type="dxa"/>
        </w:trPr>
        <w:tc>
          <w:tcPr>
            <w:tcW w:w="2835" w:type="dxa"/>
            <w:shd w:val="clear" w:color="auto" w:fill="E1E1FF"/>
          </w:tcPr>
          <w:p w:rsidR="001B3A60" w:rsidRPr="00AC51C5" w:rsidRDefault="001B3A60" w:rsidP="00CC14F9">
            <w:pPr>
              <w:rPr>
                <w:rFonts w:ascii="Arial Narrow" w:hAnsi="Arial Narrow"/>
                <w:b/>
                <w:sz w:val="28"/>
                <w:szCs w:val="28"/>
              </w:rPr>
            </w:pPr>
            <w:r w:rsidRPr="00AC51C5">
              <w:rPr>
                <w:rFonts w:ascii="Arial Narrow" w:hAnsi="Arial Narrow"/>
                <w:b/>
                <w:sz w:val="28"/>
                <w:szCs w:val="28"/>
              </w:rPr>
              <w:t>Contact details</w:t>
            </w:r>
          </w:p>
        </w:tc>
        <w:tc>
          <w:tcPr>
            <w:tcW w:w="7140" w:type="dxa"/>
            <w:shd w:val="clear" w:color="auto" w:fill="auto"/>
          </w:tcPr>
          <w:p w:rsidR="001B3A60" w:rsidRPr="00AC51C5" w:rsidRDefault="00227644" w:rsidP="00AC51C5">
            <w:pPr>
              <w:jc w:val="center"/>
              <w:rPr>
                <w:rFonts w:ascii="Arial Narrow" w:hAnsi="Arial Narrow"/>
                <w:b/>
              </w:rPr>
            </w:pPr>
            <w:hyperlink r:id="rId8" w:history="1">
              <w:r w:rsidR="001B3A60" w:rsidRPr="00AC51C5">
                <w:rPr>
                  <w:rStyle w:val="Hyperlink"/>
                  <w:rFonts w:ascii="Arial Narrow" w:hAnsi="Arial Narrow"/>
                  <w:b/>
                </w:rPr>
                <w:t>Richard_morgan@bathnes.gov.uk</w:t>
              </w:r>
            </w:hyperlink>
            <w:r w:rsidR="001B3A60" w:rsidRPr="00AC51C5">
              <w:rPr>
                <w:rFonts w:ascii="Arial Narrow" w:hAnsi="Arial Narrow"/>
                <w:b/>
              </w:rPr>
              <w:t xml:space="preserve">  Tel 01225 395220</w:t>
            </w:r>
          </w:p>
        </w:tc>
      </w:tr>
      <w:tr w:rsidR="001B3A60" w:rsidTr="00AC51C5">
        <w:trPr>
          <w:tblCellSpacing w:w="20" w:type="dxa"/>
        </w:trPr>
        <w:tc>
          <w:tcPr>
            <w:tcW w:w="2835" w:type="dxa"/>
            <w:shd w:val="clear" w:color="auto" w:fill="E1E1FF"/>
          </w:tcPr>
          <w:p w:rsidR="001B3A60" w:rsidRPr="00AC51C5" w:rsidRDefault="001B3A60" w:rsidP="00CC14F9">
            <w:pPr>
              <w:rPr>
                <w:rFonts w:ascii="Arial Narrow" w:hAnsi="Arial Narrow"/>
                <w:b/>
                <w:sz w:val="28"/>
                <w:szCs w:val="28"/>
              </w:rPr>
            </w:pPr>
            <w:r w:rsidRPr="00AC51C5">
              <w:rPr>
                <w:rFonts w:ascii="Arial Narrow" w:hAnsi="Arial Narrow"/>
                <w:b/>
                <w:sz w:val="28"/>
                <w:szCs w:val="28"/>
              </w:rPr>
              <w:t>Forum asked to decide / steer / be informed</w:t>
            </w:r>
          </w:p>
        </w:tc>
        <w:tc>
          <w:tcPr>
            <w:tcW w:w="7140" w:type="dxa"/>
            <w:shd w:val="clear" w:color="auto" w:fill="auto"/>
          </w:tcPr>
          <w:p w:rsidR="001B3A60" w:rsidRPr="00AC51C5" w:rsidRDefault="001B3A60" w:rsidP="00AC51C5">
            <w:pPr>
              <w:jc w:val="center"/>
              <w:rPr>
                <w:rFonts w:ascii="Arial Narrow" w:hAnsi="Arial Narrow"/>
                <w:b/>
              </w:rPr>
            </w:pPr>
          </w:p>
          <w:p w:rsidR="001B3A60" w:rsidRPr="00AC51C5" w:rsidRDefault="00FE11F9" w:rsidP="00FA703C">
            <w:pPr>
              <w:jc w:val="center"/>
              <w:rPr>
                <w:rFonts w:ascii="Arial Narrow" w:hAnsi="Arial Narrow"/>
                <w:b/>
              </w:rPr>
            </w:pPr>
            <w:r w:rsidRPr="00AC51C5">
              <w:rPr>
                <w:rFonts w:ascii="Arial Narrow" w:hAnsi="Arial Narrow"/>
                <w:b/>
              </w:rPr>
              <w:t>Forum to discuss and approve</w:t>
            </w:r>
            <w:r w:rsidR="009C3778" w:rsidRPr="00AC51C5">
              <w:rPr>
                <w:rFonts w:ascii="Arial Narrow" w:hAnsi="Arial Narrow"/>
                <w:b/>
              </w:rPr>
              <w:t xml:space="preserve"> a </w:t>
            </w:r>
            <w:r w:rsidRPr="00AC51C5">
              <w:rPr>
                <w:rFonts w:ascii="Arial Narrow" w:hAnsi="Arial Narrow"/>
                <w:b/>
              </w:rPr>
              <w:t>funding policy</w:t>
            </w:r>
            <w:r w:rsidR="00FA703C">
              <w:rPr>
                <w:rFonts w:ascii="Arial Narrow" w:hAnsi="Arial Narrow"/>
                <w:b/>
              </w:rPr>
              <w:t xml:space="preserve"> for post opening</w:t>
            </w:r>
            <w:r w:rsidRPr="00AC51C5">
              <w:rPr>
                <w:rFonts w:ascii="Arial Narrow" w:hAnsi="Arial Narrow"/>
                <w:b/>
              </w:rPr>
              <w:t xml:space="preserve"> </w:t>
            </w:r>
            <w:r w:rsidR="00FA703C">
              <w:rPr>
                <w:rFonts w:ascii="Arial Narrow" w:hAnsi="Arial Narrow"/>
                <w:b/>
              </w:rPr>
              <w:t>diseconomies of scale costs</w:t>
            </w:r>
            <w:r w:rsidRPr="00AC51C5">
              <w:rPr>
                <w:rFonts w:ascii="Arial Narrow" w:hAnsi="Arial Narrow"/>
                <w:b/>
              </w:rPr>
              <w:t xml:space="preserve"> for </w:t>
            </w:r>
            <w:r w:rsidR="009C3778" w:rsidRPr="00AC51C5">
              <w:rPr>
                <w:rFonts w:ascii="Arial Narrow" w:hAnsi="Arial Narrow"/>
                <w:b/>
              </w:rPr>
              <w:t xml:space="preserve">a new </w:t>
            </w:r>
            <w:r w:rsidR="00ED24FA" w:rsidRPr="00AC51C5">
              <w:rPr>
                <w:rFonts w:ascii="Arial Narrow" w:hAnsi="Arial Narrow"/>
                <w:b/>
              </w:rPr>
              <w:t xml:space="preserve">site </w:t>
            </w:r>
            <w:r w:rsidR="009C3778" w:rsidRPr="00AC51C5">
              <w:rPr>
                <w:rFonts w:ascii="Arial Narrow" w:hAnsi="Arial Narrow"/>
                <w:b/>
              </w:rPr>
              <w:t>primary school in B&amp;NES</w:t>
            </w:r>
          </w:p>
        </w:tc>
      </w:tr>
      <w:tr w:rsidR="00CC14F9" w:rsidTr="00AC51C5">
        <w:trPr>
          <w:tblCellSpacing w:w="20" w:type="dxa"/>
        </w:trPr>
        <w:tc>
          <w:tcPr>
            <w:tcW w:w="2835" w:type="dxa"/>
            <w:shd w:val="clear" w:color="auto" w:fill="E1E1FF"/>
          </w:tcPr>
          <w:p w:rsidR="00CC14F9" w:rsidRPr="00AC51C5" w:rsidRDefault="00CC14F9" w:rsidP="00CC14F9">
            <w:pPr>
              <w:rPr>
                <w:rFonts w:ascii="Arial Narrow" w:hAnsi="Arial Narrow"/>
                <w:b/>
                <w:sz w:val="28"/>
                <w:szCs w:val="28"/>
              </w:rPr>
            </w:pPr>
            <w:r w:rsidRPr="00AC51C5">
              <w:rPr>
                <w:rFonts w:ascii="Arial Narrow" w:hAnsi="Arial Narrow"/>
                <w:b/>
                <w:sz w:val="28"/>
                <w:szCs w:val="28"/>
              </w:rPr>
              <w:t>Time Needed</w:t>
            </w:r>
          </w:p>
        </w:tc>
        <w:tc>
          <w:tcPr>
            <w:tcW w:w="7140" w:type="dxa"/>
            <w:shd w:val="clear" w:color="auto" w:fill="auto"/>
          </w:tcPr>
          <w:p w:rsidR="00CC14F9" w:rsidRPr="00AC51C5" w:rsidRDefault="005B5620" w:rsidP="00AC51C5">
            <w:pPr>
              <w:jc w:val="center"/>
              <w:rPr>
                <w:rFonts w:ascii="Arial Narrow" w:hAnsi="Arial Narrow"/>
                <w:b/>
              </w:rPr>
            </w:pPr>
            <w:r>
              <w:rPr>
                <w:rFonts w:ascii="Arial Narrow" w:hAnsi="Arial Narrow"/>
                <w:b/>
              </w:rPr>
              <w:t>20 mins</w:t>
            </w:r>
          </w:p>
        </w:tc>
      </w:tr>
    </w:tbl>
    <w:p w:rsidR="00CC6BF7" w:rsidRPr="00CC6BF7" w:rsidRDefault="00CC6BF7" w:rsidP="00CC6BF7">
      <w:pPr>
        <w:rPr>
          <w:rFonts w:ascii="Arial" w:hAnsi="Arial" w:cs="Arial"/>
        </w:rPr>
      </w:pPr>
    </w:p>
    <w:p w:rsidR="00E17978" w:rsidRPr="009363BA" w:rsidRDefault="00E17978" w:rsidP="00E17978">
      <w:pPr>
        <w:rPr>
          <w:rFonts w:ascii="Arial" w:hAnsi="Arial" w:cs="Arial"/>
          <w:b/>
        </w:rPr>
      </w:pPr>
      <w:r w:rsidRPr="009363BA">
        <w:rPr>
          <w:rFonts w:ascii="Arial" w:hAnsi="Arial" w:cs="Arial"/>
          <w:b/>
        </w:rPr>
        <w:t>Introduction</w:t>
      </w:r>
    </w:p>
    <w:p w:rsidR="005D1FE2" w:rsidRDefault="00327168" w:rsidP="00E17978">
      <w:pPr>
        <w:rPr>
          <w:rFonts w:ascii="Arial" w:hAnsi="Arial" w:cs="Arial"/>
        </w:rPr>
      </w:pPr>
      <w:r>
        <w:rPr>
          <w:rFonts w:ascii="Arial" w:hAnsi="Arial" w:cs="Arial"/>
        </w:rPr>
        <w:t xml:space="preserve">Bath &amp; North </w:t>
      </w:r>
      <w:r w:rsidR="008B4DE1">
        <w:rPr>
          <w:rFonts w:ascii="Arial" w:hAnsi="Arial" w:cs="Arial"/>
        </w:rPr>
        <w:t>East Somerset Council</w:t>
      </w:r>
      <w:r>
        <w:rPr>
          <w:rFonts w:ascii="Arial" w:hAnsi="Arial" w:cs="Arial"/>
        </w:rPr>
        <w:t xml:space="preserve"> introduced a funding policy for </w:t>
      </w:r>
      <w:r w:rsidR="00804163">
        <w:rPr>
          <w:rFonts w:ascii="Arial" w:hAnsi="Arial" w:cs="Arial"/>
        </w:rPr>
        <w:t xml:space="preserve">Growth in </w:t>
      </w:r>
      <w:r>
        <w:rPr>
          <w:rFonts w:ascii="Arial" w:hAnsi="Arial" w:cs="Arial"/>
        </w:rPr>
        <w:t xml:space="preserve">LA Planned </w:t>
      </w:r>
      <w:r w:rsidR="000D5DD0">
        <w:rPr>
          <w:rFonts w:ascii="Arial" w:hAnsi="Arial" w:cs="Arial"/>
        </w:rPr>
        <w:t xml:space="preserve">pupil </w:t>
      </w:r>
      <w:r w:rsidR="00804163">
        <w:rPr>
          <w:rFonts w:ascii="Arial" w:hAnsi="Arial" w:cs="Arial"/>
        </w:rPr>
        <w:t>admission numbers (</w:t>
      </w:r>
      <w:r>
        <w:rPr>
          <w:rFonts w:ascii="Arial" w:hAnsi="Arial" w:cs="Arial"/>
        </w:rPr>
        <w:t>PAN</w:t>
      </w:r>
      <w:r w:rsidR="00804163">
        <w:rPr>
          <w:rFonts w:ascii="Arial" w:hAnsi="Arial" w:cs="Arial"/>
        </w:rPr>
        <w:t xml:space="preserve">) </w:t>
      </w:r>
      <w:r w:rsidR="00ED24FA">
        <w:rPr>
          <w:rFonts w:ascii="Arial" w:hAnsi="Arial" w:cs="Arial"/>
        </w:rPr>
        <w:t>from 1</w:t>
      </w:r>
      <w:r w:rsidR="00ED24FA" w:rsidRPr="00ED24FA">
        <w:rPr>
          <w:rFonts w:ascii="Arial" w:hAnsi="Arial" w:cs="Arial"/>
          <w:vertAlign w:val="superscript"/>
        </w:rPr>
        <w:t>st</w:t>
      </w:r>
      <w:r w:rsidR="00ED24FA">
        <w:rPr>
          <w:rFonts w:ascii="Arial" w:hAnsi="Arial" w:cs="Arial"/>
        </w:rPr>
        <w:t xml:space="preserve"> April 2013 </w:t>
      </w:r>
      <w:r w:rsidR="008B4DE1">
        <w:rPr>
          <w:rFonts w:ascii="Arial" w:hAnsi="Arial" w:cs="Arial"/>
        </w:rPr>
        <w:t>which addresses in year pupil growth in re</w:t>
      </w:r>
      <w:r w:rsidR="00804163">
        <w:rPr>
          <w:rFonts w:ascii="Arial" w:hAnsi="Arial" w:cs="Arial"/>
        </w:rPr>
        <w:t>spect of</w:t>
      </w:r>
      <w:r>
        <w:rPr>
          <w:rFonts w:ascii="Arial" w:hAnsi="Arial" w:cs="Arial"/>
        </w:rPr>
        <w:t xml:space="preserve"> basic need expansion.</w:t>
      </w:r>
      <w:r w:rsidR="00804163">
        <w:rPr>
          <w:rFonts w:ascii="Arial" w:hAnsi="Arial" w:cs="Arial"/>
        </w:rPr>
        <w:t xml:space="preserve"> </w:t>
      </w:r>
    </w:p>
    <w:p w:rsidR="003658E5" w:rsidRDefault="00327168" w:rsidP="00E17978">
      <w:pPr>
        <w:rPr>
          <w:rFonts w:ascii="Arial" w:hAnsi="Arial" w:cs="Arial"/>
        </w:rPr>
      </w:pPr>
      <w:r>
        <w:rPr>
          <w:rFonts w:ascii="Arial" w:hAnsi="Arial" w:cs="Arial"/>
        </w:rPr>
        <w:t>This policy</w:t>
      </w:r>
      <w:r w:rsidR="005D1FE2">
        <w:rPr>
          <w:rFonts w:ascii="Arial" w:hAnsi="Arial" w:cs="Arial"/>
        </w:rPr>
        <w:t xml:space="preserve"> needs to be</w:t>
      </w:r>
      <w:r>
        <w:rPr>
          <w:rFonts w:ascii="Arial" w:hAnsi="Arial" w:cs="Arial"/>
        </w:rPr>
        <w:t xml:space="preserve"> updated to take into account </w:t>
      </w:r>
      <w:r w:rsidRPr="00ED24FA">
        <w:rPr>
          <w:rFonts w:ascii="Arial" w:hAnsi="Arial" w:cs="Arial"/>
          <w:b/>
        </w:rPr>
        <w:t>the opening of a new</w:t>
      </w:r>
      <w:r w:rsidR="00ED24FA">
        <w:rPr>
          <w:rFonts w:ascii="Arial" w:hAnsi="Arial" w:cs="Arial"/>
          <w:b/>
        </w:rPr>
        <w:t xml:space="preserve"> site</w:t>
      </w:r>
      <w:r w:rsidRPr="00ED24FA">
        <w:rPr>
          <w:rFonts w:ascii="Arial" w:hAnsi="Arial" w:cs="Arial"/>
          <w:b/>
        </w:rPr>
        <w:t xml:space="preserve"> </w:t>
      </w:r>
      <w:r w:rsidR="005D1FE2">
        <w:rPr>
          <w:rFonts w:ascii="Arial" w:hAnsi="Arial" w:cs="Arial"/>
          <w:b/>
        </w:rPr>
        <w:t xml:space="preserve">primary </w:t>
      </w:r>
      <w:r w:rsidRPr="00ED24FA">
        <w:rPr>
          <w:rFonts w:ascii="Arial" w:hAnsi="Arial" w:cs="Arial"/>
          <w:b/>
        </w:rPr>
        <w:t>school</w:t>
      </w:r>
      <w:r>
        <w:rPr>
          <w:rFonts w:ascii="Arial" w:hAnsi="Arial" w:cs="Arial"/>
        </w:rPr>
        <w:t xml:space="preserve"> in the Keynsham area</w:t>
      </w:r>
      <w:r w:rsidR="00F95834">
        <w:rPr>
          <w:rFonts w:ascii="Arial" w:hAnsi="Arial" w:cs="Arial"/>
        </w:rPr>
        <w:t xml:space="preserve"> for basic need</w:t>
      </w:r>
      <w:r>
        <w:rPr>
          <w:rFonts w:ascii="Arial" w:hAnsi="Arial" w:cs="Arial"/>
        </w:rPr>
        <w:t xml:space="preserve"> expected to be in September 201</w:t>
      </w:r>
      <w:r w:rsidR="00CA3DAB">
        <w:rPr>
          <w:rFonts w:ascii="Arial" w:hAnsi="Arial" w:cs="Arial"/>
        </w:rPr>
        <w:t>7</w:t>
      </w:r>
      <w:r w:rsidR="00ED24FA">
        <w:rPr>
          <w:rFonts w:ascii="Arial" w:hAnsi="Arial" w:cs="Arial"/>
        </w:rPr>
        <w:t xml:space="preserve"> and on what basis </w:t>
      </w:r>
      <w:r w:rsidR="00F95834">
        <w:rPr>
          <w:rFonts w:ascii="Arial" w:hAnsi="Arial" w:cs="Arial"/>
        </w:rPr>
        <w:t xml:space="preserve">the LA will fund the new </w:t>
      </w:r>
      <w:r w:rsidR="00AA7B7F">
        <w:rPr>
          <w:rFonts w:ascii="Arial" w:hAnsi="Arial" w:cs="Arial"/>
        </w:rPr>
        <w:t xml:space="preserve">primary </w:t>
      </w:r>
      <w:r w:rsidR="00F95834">
        <w:rPr>
          <w:rFonts w:ascii="Arial" w:hAnsi="Arial" w:cs="Arial"/>
        </w:rPr>
        <w:t xml:space="preserve">school for </w:t>
      </w:r>
      <w:r w:rsidR="00AA7B7F">
        <w:rPr>
          <w:rFonts w:ascii="Arial" w:hAnsi="Arial" w:cs="Arial"/>
        </w:rPr>
        <w:t xml:space="preserve">pre-opening </w:t>
      </w:r>
      <w:r w:rsidR="00982E26">
        <w:rPr>
          <w:rFonts w:ascii="Arial" w:hAnsi="Arial" w:cs="Arial"/>
        </w:rPr>
        <w:t>start-up</w:t>
      </w:r>
      <w:r w:rsidR="00F95834">
        <w:rPr>
          <w:rFonts w:ascii="Arial" w:hAnsi="Arial" w:cs="Arial"/>
        </w:rPr>
        <w:t xml:space="preserve"> and post opening diseconomies of scale costs.</w:t>
      </w:r>
    </w:p>
    <w:p w:rsidR="00A36184" w:rsidRDefault="005D1FE2" w:rsidP="00084544">
      <w:pPr>
        <w:autoSpaceDE w:val="0"/>
        <w:autoSpaceDN w:val="0"/>
        <w:adjustRightInd w:val="0"/>
        <w:jc w:val="both"/>
        <w:rPr>
          <w:rFonts w:ascii="Arial" w:hAnsi="Arial" w:cs="Arial"/>
        </w:rPr>
      </w:pPr>
      <w:r>
        <w:rPr>
          <w:rFonts w:ascii="Arial" w:hAnsi="Arial" w:cs="Arial"/>
        </w:rPr>
        <w:t>A</w:t>
      </w:r>
      <w:r w:rsidR="00FE11F9">
        <w:rPr>
          <w:rFonts w:ascii="Arial" w:hAnsi="Arial" w:cs="Arial"/>
        </w:rPr>
        <w:t xml:space="preserve"> working group</w:t>
      </w:r>
      <w:r>
        <w:rPr>
          <w:rFonts w:ascii="Arial" w:hAnsi="Arial" w:cs="Arial"/>
        </w:rPr>
        <w:t xml:space="preserve"> of head teachers and LA officers have reviewed</w:t>
      </w:r>
      <w:r w:rsidR="00142BCE">
        <w:rPr>
          <w:rFonts w:ascii="Arial" w:hAnsi="Arial" w:cs="Arial"/>
        </w:rPr>
        <w:t xml:space="preserve"> the current policy and </w:t>
      </w:r>
      <w:r w:rsidR="00084544">
        <w:rPr>
          <w:rFonts w:ascii="Arial" w:hAnsi="Arial" w:cs="Arial"/>
        </w:rPr>
        <w:t xml:space="preserve">at its meeting on </w:t>
      </w:r>
      <w:r w:rsidR="00084544" w:rsidRPr="007F6AB9">
        <w:rPr>
          <w:rFonts w:ascii="Arial" w:hAnsi="Arial" w:cs="Arial"/>
          <w:b/>
        </w:rPr>
        <w:t>9</w:t>
      </w:r>
      <w:r w:rsidR="00084544" w:rsidRPr="007F6AB9">
        <w:rPr>
          <w:rFonts w:ascii="Arial" w:hAnsi="Arial" w:cs="Arial"/>
          <w:b/>
          <w:vertAlign w:val="superscript"/>
        </w:rPr>
        <w:t>th</w:t>
      </w:r>
      <w:r w:rsidR="00084544" w:rsidRPr="007F6AB9">
        <w:rPr>
          <w:rFonts w:ascii="Arial" w:hAnsi="Arial" w:cs="Arial"/>
          <w:b/>
        </w:rPr>
        <w:t xml:space="preserve"> December 2014</w:t>
      </w:r>
      <w:r w:rsidR="00084544">
        <w:rPr>
          <w:rFonts w:ascii="Arial" w:hAnsi="Arial" w:cs="Arial"/>
        </w:rPr>
        <w:t xml:space="preserve">, </w:t>
      </w:r>
      <w:r>
        <w:rPr>
          <w:rFonts w:ascii="Arial" w:hAnsi="Arial" w:cs="Arial"/>
        </w:rPr>
        <w:t>the schools forum</w:t>
      </w:r>
      <w:r w:rsidR="00AA7B7F">
        <w:rPr>
          <w:rFonts w:ascii="Arial" w:hAnsi="Arial" w:cs="Arial"/>
        </w:rPr>
        <w:t xml:space="preserve"> </w:t>
      </w:r>
      <w:r w:rsidR="00084544" w:rsidRPr="00084544">
        <w:rPr>
          <w:rFonts w:ascii="Arial" w:hAnsi="Arial" w:cs="Arial"/>
        </w:rPr>
        <w:t xml:space="preserve">agreed with all the recommendations made by the working group in respect of </w:t>
      </w:r>
      <w:r w:rsidR="00084544" w:rsidRPr="007F6AB9">
        <w:rPr>
          <w:rFonts w:ascii="Arial" w:hAnsi="Arial" w:cs="Arial"/>
        </w:rPr>
        <w:t>amendments to the</w:t>
      </w:r>
      <w:r w:rsidR="00084544">
        <w:rPr>
          <w:rFonts w:ascii="Arial" w:hAnsi="Arial" w:cs="Arial"/>
        </w:rPr>
        <w:t xml:space="preserve"> policy as follows:</w:t>
      </w:r>
    </w:p>
    <w:p w:rsidR="003E1D8A" w:rsidRDefault="003E1D8A" w:rsidP="00E17978">
      <w:pPr>
        <w:rPr>
          <w:rFonts w:ascii="Arial" w:hAnsi="Arial" w:cs="Arial"/>
        </w:rPr>
      </w:pPr>
    </w:p>
    <w:p w:rsidR="00982E26" w:rsidRDefault="00F95834" w:rsidP="003E1D8A">
      <w:pPr>
        <w:numPr>
          <w:ilvl w:val="0"/>
          <w:numId w:val="23"/>
        </w:numPr>
        <w:rPr>
          <w:rFonts w:ascii="Arial" w:hAnsi="Arial" w:cs="Arial"/>
        </w:rPr>
      </w:pPr>
      <w:r w:rsidRPr="003E1D8A">
        <w:rPr>
          <w:rFonts w:ascii="Arial" w:hAnsi="Arial" w:cs="Arial"/>
          <w:b/>
        </w:rPr>
        <w:t>Growth in LA Planned PAN</w:t>
      </w:r>
      <w:r w:rsidR="00E25CC3" w:rsidRPr="003E1D8A">
        <w:rPr>
          <w:rFonts w:ascii="Arial" w:hAnsi="Arial" w:cs="Arial"/>
          <w:b/>
        </w:rPr>
        <w:t xml:space="preserve"> for existing schools</w:t>
      </w:r>
      <w:r w:rsidR="003E1D8A" w:rsidRPr="003E1D8A">
        <w:rPr>
          <w:rFonts w:ascii="Arial" w:hAnsi="Arial" w:cs="Arial"/>
          <w:b/>
        </w:rPr>
        <w:t xml:space="preserve"> </w:t>
      </w:r>
    </w:p>
    <w:p w:rsidR="003E1D8A" w:rsidRDefault="003E1D8A" w:rsidP="003E1D8A">
      <w:pPr>
        <w:ind w:left="720"/>
        <w:rPr>
          <w:rFonts w:ascii="Arial" w:hAnsi="Arial" w:cs="Arial"/>
        </w:rPr>
      </w:pPr>
    </w:p>
    <w:p w:rsidR="003E1D8A" w:rsidRPr="00AA7B7F" w:rsidRDefault="00B83953" w:rsidP="00AA7B7F">
      <w:pPr>
        <w:numPr>
          <w:ilvl w:val="0"/>
          <w:numId w:val="23"/>
        </w:numPr>
        <w:rPr>
          <w:rFonts w:ascii="Arial" w:hAnsi="Arial" w:cs="Arial"/>
        </w:rPr>
      </w:pPr>
      <w:r w:rsidRPr="003E1D8A">
        <w:rPr>
          <w:rFonts w:ascii="Arial" w:hAnsi="Arial" w:cs="Arial"/>
          <w:b/>
        </w:rPr>
        <w:t>Options for Pre-opening start-up costs for funding a new Primary School in B&amp;NES</w:t>
      </w:r>
    </w:p>
    <w:p w:rsidR="00084544" w:rsidRDefault="00084544" w:rsidP="00AA7B7F">
      <w:pPr>
        <w:ind w:left="720"/>
        <w:rPr>
          <w:rFonts w:ascii="Arial" w:hAnsi="Arial" w:cs="Arial"/>
        </w:rPr>
      </w:pPr>
    </w:p>
    <w:p w:rsidR="00C8125D" w:rsidRPr="00084544" w:rsidRDefault="00C8125D" w:rsidP="00084544">
      <w:pPr>
        <w:numPr>
          <w:ilvl w:val="0"/>
          <w:numId w:val="23"/>
        </w:numPr>
        <w:rPr>
          <w:rFonts w:ascii="Arial" w:hAnsi="Arial" w:cs="Arial"/>
        </w:rPr>
      </w:pPr>
      <w:r w:rsidRPr="00084544">
        <w:rPr>
          <w:rFonts w:ascii="Arial" w:hAnsi="Arial" w:cs="Arial"/>
          <w:b/>
        </w:rPr>
        <w:t>Treatment in the LA A</w:t>
      </w:r>
      <w:r w:rsidR="005B488C" w:rsidRPr="00084544">
        <w:rPr>
          <w:rFonts w:ascii="Arial" w:hAnsi="Arial" w:cs="Arial"/>
          <w:b/>
        </w:rPr>
        <w:t xml:space="preserve">uthority </w:t>
      </w:r>
      <w:r w:rsidRPr="00084544">
        <w:rPr>
          <w:rFonts w:ascii="Arial" w:hAnsi="Arial" w:cs="Arial"/>
          <w:b/>
        </w:rPr>
        <w:t>P</w:t>
      </w:r>
      <w:r w:rsidR="005B488C" w:rsidRPr="00084544">
        <w:rPr>
          <w:rFonts w:ascii="Arial" w:hAnsi="Arial" w:cs="Arial"/>
          <w:b/>
        </w:rPr>
        <w:t>ro-forma funding Template (APT)</w:t>
      </w:r>
      <w:r w:rsidRPr="00084544">
        <w:rPr>
          <w:rFonts w:ascii="Arial" w:hAnsi="Arial" w:cs="Arial"/>
          <w:b/>
        </w:rPr>
        <w:t xml:space="preserve"> </w:t>
      </w:r>
      <w:r w:rsidR="00086C9B" w:rsidRPr="00084544">
        <w:rPr>
          <w:rFonts w:ascii="Arial" w:hAnsi="Arial" w:cs="Arial"/>
          <w:b/>
        </w:rPr>
        <w:t>with regard to the number on roll (</w:t>
      </w:r>
      <w:r w:rsidRPr="00084544">
        <w:rPr>
          <w:rFonts w:ascii="Arial" w:hAnsi="Arial" w:cs="Arial"/>
          <w:b/>
        </w:rPr>
        <w:t>NOR</w:t>
      </w:r>
      <w:r w:rsidR="00086C9B" w:rsidRPr="00084544">
        <w:rPr>
          <w:rFonts w:ascii="Arial" w:hAnsi="Arial" w:cs="Arial"/>
          <w:b/>
        </w:rPr>
        <w:t>)</w:t>
      </w:r>
      <w:r w:rsidRPr="00084544">
        <w:rPr>
          <w:rFonts w:ascii="Arial" w:hAnsi="Arial" w:cs="Arial"/>
          <w:b/>
        </w:rPr>
        <w:t xml:space="preserve"> for new and growing schools </w:t>
      </w:r>
    </w:p>
    <w:p w:rsidR="0087348B" w:rsidRDefault="0087348B" w:rsidP="005B488C">
      <w:pPr>
        <w:rPr>
          <w:rFonts w:ascii="Arial" w:hAnsi="Arial" w:cs="Arial"/>
          <w:b/>
        </w:rPr>
      </w:pPr>
    </w:p>
    <w:p w:rsidR="005B488C" w:rsidRPr="009363BA" w:rsidRDefault="005B488C" w:rsidP="005B488C">
      <w:pPr>
        <w:rPr>
          <w:rFonts w:ascii="Arial" w:hAnsi="Arial" w:cs="Arial"/>
          <w:b/>
        </w:rPr>
      </w:pPr>
      <w:r w:rsidRPr="009363BA">
        <w:rPr>
          <w:rFonts w:ascii="Arial" w:hAnsi="Arial" w:cs="Arial"/>
          <w:b/>
        </w:rPr>
        <w:t xml:space="preserve">Post opening </w:t>
      </w:r>
      <w:r w:rsidR="00EC3383" w:rsidRPr="009363BA">
        <w:rPr>
          <w:rFonts w:ascii="Arial" w:hAnsi="Arial" w:cs="Arial"/>
          <w:b/>
        </w:rPr>
        <w:t>grant</w:t>
      </w:r>
      <w:r w:rsidRPr="009363BA">
        <w:rPr>
          <w:rFonts w:ascii="Arial" w:hAnsi="Arial" w:cs="Arial"/>
          <w:b/>
        </w:rPr>
        <w:t xml:space="preserve"> for new schools </w:t>
      </w:r>
      <w:r w:rsidR="00EC3383" w:rsidRPr="009363BA">
        <w:rPr>
          <w:rFonts w:ascii="Arial" w:hAnsi="Arial" w:cs="Arial"/>
          <w:b/>
        </w:rPr>
        <w:t>in relation to</w:t>
      </w:r>
      <w:r w:rsidRPr="009363BA">
        <w:rPr>
          <w:rFonts w:ascii="Arial" w:hAnsi="Arial" w:cs="Arial"/>
          <w:b/>
        </w:rPr>
        <w:t xml:space="preserve"> diseconomies of scale during period of expansion</w:t>
      </w:r>
    </w:p>
    <w:p w:rsidR="007F6AB9" w:rsidRDefault="007F6AB9" w:rsidP="00952601">
      <w:pPr>
        <w:rPr>
          <w:rFonts w:ascii="Arial" w:hAnsi="Arial" w:cs="Arial"/>
          <w:color w:val="000000"/>
        </w:rPr>
      </w:pPr>
      <w:r>
        <w:rPr>
          <w:rFonts w:ascii="Arial" w:hAnsi="Arial" w:cs="Arial"/>
          <w:color w:val="000000"/>
        </w:rPr>
        <w:t xml:space="preserve">The working group have </w:t>
      </w:r>
      <w:r w:rsidR="00B86847">
        <w:rPr>
          <w:rFonts w:ascii="Arial" w:hAnsi="Arial" w:cs="Arial"/>
          <w:color w:val="000000"/>
        </w:rPr>
        <w:t xml:space="preserve">recently </w:t>
      </w:r>
      <w:r>
        <w:rPr>
          <w:rFonts w:ascii="Arial" w:hAnsi="Arial" w:cs="Arial"/>
          <w:color w:val="000000"/>
        </w:rPr>
        <w:t xml:space="preserve">met again to recommend to the schools forum, a policy for </w:t>
      </w:r>
      <w:r w:rsidR="00EC3383">
        <w:rPr>
          <w:rFonts w:ascii="Arial" w:hAnsi="Arial" w:cs="Arial"/>
          <w:color w:val="000000"/>
        </w:rPr>
        <w:t xml:space="preserve">a </w:t>
      </w:r>
      <w:r>
        <w:rPr>
          <w:rFonts w:ascii="Arial" w:hAnsi="Arial" w:cs="Arial"/>
          <w:color w:val="000000"/>
        </w:rPr>
        <w:t xml:space="preserve">post opening </w:t>
      </w:r>
      <w:r w:rsidR="00EC3383">
        <w:rPr>
          <w:rFonts w:ascii="Arial" w:hAnsi="Arial" w:cs="Arial"/>
          <w:color w:val="000000"/>
        </w:rPr>
        <w:t>grant</w:t>
      </w:r>
      <w:r>
        <w:rPr>
          <w:rFonts w:ascii="Arial" w:hAnsi="Arial" w:cs="Arial"/>
          <w:color w:val="000000"/>
        </w:rPr>
        <w:t xml:space="preserve"> for a new primary school for diseconomies of scale during the period it expands in pupil numbers.</w:t>
      </w:r>
    </w:p>
    <w:p w:rsidR="007F6AB9" w:rsidRPr="007F6AB9" w:rsidRDefault="007F6AB9" w:rsidP="007F6AB9">
      <w:pPr>
        <w:autoSpaceDE w:val="0"/>
        <w:autoSpaceDN w:val="0"/>
        <w:adjustRightInd w:val="0"/>
        <w:jc w:val="both"/>
        <w:rPr>
          <w:rFonts w:ascii="Arial" w:hAnsi="Arial" w:cs="Arial"/>
        </w:rPr>
      </w:pPr>
      <w:r w:rsidRPr="007F6AB9">
        <w:rPr>
          <w:rFonts w:ascii="Arial" w:hAnsi="Arial" w:cs="Arial"/>
        </w:rPr>
        <w:t>A new school will not have a carry forward balance to rely on or any stocks of resources available. It w</w:t>
      </w:r>
      <w:r>
        <w:rPr>
          <w:rFonts w:ascii="Arial" w:hAnsi="Arial" w:cs="Arial"/>
        </w:rPr>
        <w:t>ill</w:t>
      </w:r>
      <w:r w:rsidRPr="007F6AB9">
        <w:rPr>
          <w:rFonts w:ascii="Arial" w:hAnsi="Arial" w:cs="Arial"/>
        </w:rPr>
        <w:t xml:space="preserve"> have been funded a pre-opening start-up grant and receive formula funding based on estimated pupil numbers from the day it opens.</w:t>
      </w:r>
    </w:p>
    <w:p w:rsidR="007F6AB9" w:rsidRPr="007F6AB9" w:rsidRDefault="0087348B" w:rsidP="007F6AB9">
      <w:pPr>
        <w:autoSpaceDE w:val="0"/>
        <w:autoSpaceDN w:val="0"/>
        <w:adjustRightInd w:val="0"/>
        <w:jc w:val="both"/>
        <w:rPr>
          <w:rFonts w:ascii="Arial" w:hAnsi="Arial" w:cs="Arial"/>
        </w:rPr>
      </w:pPr>
      <w:r>
        <w:rPr>
          <w:rFonts w:ascii="Arial" w:hAnsi="Arial" w:cs="Arial"/>
        </w:rPr>
        <w:t xml:space="preserve">The </w:t>
      </w:r>
      <w:r w:rsidR="007F6AB9" w:rsidRPr="007F6AB9">
        <w:rPr>
          <w:rFonts w:ascii="Arial" w:hAnsi="Arial" w:cs="Arial"/>
        </w:rPr>
        <w:t xml:space="preserve">definition </w:t>
      </w:r>
      <w:r w:rsidR="007F6AB9">
        <w:rPr>
          <w:rFonts w:ascii="Arial" w:hAnsi="Arial" w:cs="Arial"/>
        </w:rPr>
        <w:t xml:space="preserve">of what diseconomies of scale costs relate to </w:t>
      </w:r>
      <w:r>
        <w:rPr>
          <w:rFonts w:ascii="Arial" w:hAnsi="Arial" w:cs="Arial"/>
        </w:rPr>
        <w:t xml:space="preserve">has been </w:t>
      </w:r>
      <w:r w:rsidR="007F6AB9" w:rsidRPr="007F6AB9">
        <w:rPr>
          <w:rFonts w:ascii="Arial" w:hAnsi="Arial" w:cs="Arial"/>
        </w:rPr>
        <w:t xml:space="preserve">extracted from a DFE funding document: </w:t>
      </w:r>
    </w:p>
    <w:p w:rsidR="007F6AB9" w:rsidRPr="007F6AB9" w:rsidRDefault="007F6AB9" w:rsidP="007F6AB9">
      <w:pPr>
        <w:autoSpaceDE w:val="0"/>
        <w:autoSpaceDN w:val="0"/>
        <w:adjustRightInd w:val="0"/>
        <w:jc w:val="both"/>
        <w:rPr>
          <w:rFonts w:ascii="Arial" w:hAnsi="Arial" w:cs="Arial"/>
          <w:i/>
          <w:color w:val="000000"/>
        </w:rPr>
      </w:pPr>
      <w:r w:rsidRPr="007F6AB9">
        <w:rPr>
          <w:rFonts w:ascii="Arial" w:hAnsi="Arial" w:cs="Arial"/>
          <w:i/>
          <w:color w:val="000000"/>
        </w:rPr>
        <w:t>Diseconomies costs relate to the need to incur some fixed management and premises costs as new schools build up their numbers. This funding must be made available to new academies on the same basis as maintained schools, including those funded on estimates – this can be paid to new schools that have opened and have not reached their full number of year groups</w:t>
      </w:r>
    </w:p>
    <w:p w:rsidR="00952601" w:rsidRPr="00EC3383" w:rsidRDefault="00952601" w:rsidP="00952601">
      <w:pPr>
        <w:rPr>
          <w:rFonts w:ascii="Arial" w:hAnsi="Arial" w:cs="Arial"/>
          <w:i/>
          <w:color w:val="000000"/>
        </w:rPr>
      </w:pPr>
      <w:r w:rsidRPr="00EC3383">
        <w:rPr>
          <w:rFonts w:ascii="Arial" w:hAnsi="Arial" w:cs="Arial"/>
          <w:i/>
          <w:color w:val="000000"/>
        </w:rPr>
        <w:t>Diseconomies costs should not be funded by artificially inflating pupil numbers in the formula since this has the effect of obscuring the pupil based funding.</w:t>
      </w:r>
    </w:p>
    <w:p w:rsidR="00952601" w:rsidRPr="00EC3383" w:rsidRDefault="00952601" w:rsidP="00952601">
      <w:pPr>
        <w:rPr>
          <w:rFonts w:ascii="Arial" w:hAnsi="Arial" w:cs="Arial"/>
          <w:i/>
          <w:color w:val="000000"/>
        </w:rPr>
      </w:pPr>
      <w:r w:rsidRPr="00EC3383">
        <w:rPr>
          <w:rFonts w:ascii="Arial" w:hAnsi="Arial" w:cs="Arial"/>
          <w:i/>
          <w:color w:val="000000"/>
        </w:rPr>
        <w:lastRenderedPageBreak/>
        <w:t xml:space="preserve">Instead estimated pupil number should reflect the number of pupils expected to join the school in the </w:t>
      </w:r>
      <w:r w:rsidR="002029A7" w:rsidRPr="00EC3383">
        <w:rPr>
          <w:rFonts w:ascii="Arial" w:hAnsi="Arial" w:cs="Arial"/>
          <w:i/>
          <w:color w:val="000000"/>
        </w:rPr>
        <w:t>Autumn term</w:t>
      </w:r>
      <w:r w:rsidR="00EC3383">
        <w:rPr>
          <w:rFonts w:ascii="Arial" w:hAnsi="Arial" w:cs="Arial"/>
          <w:i/>
          <w:color w:val="000000"/>
        </w:rPr>
        <w:t xml:space="preserve"> to calculate the schools formula funding </w:t>
      </w:r>
      <w:r w:rsidR="002029A7" w:rsidRPr="00EC3383">
        <w:rPr>
          <w:rFonts w:ascii="Arial" w:hAnsi="Arial" w:cs="Arial"/>
          <w:i/>
          <w:color w:val="000000"/>
        </w:rPr>
        <w:t xml:space="preserve"> </w:t>
      </w:r>
      <w:r w:rsidRPr="00EC3383">
        <w:rPr>
          <w:rFonts w:ascii="Arial" w:hAnsi="Arial" w:cs="Arial"/>
          <w:i/>
          <w:color w:val="000000"/>
        </w:rPr>
        <w:t>and any additional diseconomies funding for the school should be paid from the growth fund.</w:t>
      </w:r>
    </w:p>
    <w:p w:rsidR="007F6AB9" w:rsidRDefault="007F6AB9" w:rsidP="005B488C">
      <w:pPr>
        <w:rPr>
          <w:rFonts w:ascii="Arial" w:hAnsi="Arial" w:cs="Arial"/>
        </w:rPr>
      </w:pPr>
    </w:p>
    <w:p w:rsidR="009363BA" w:rsidRPr="009363BA" w:rsidRDefault="009363BA" w:rsidP="00EC3383">
      <w:pPr>
        <w:jc w:val="both"/>
        <w:rPr>
          <w:rFonts w:ascii="Arial" w:hAnsi="Arial" w:cs="Arial"/>
          <w:b/>
        </w:rPr>
      </w:pPr>
      <w:r w:rsidRPr="009363BA">
        <w:rPr>
          <w:rFonts w:ascii="Arial" w:hAnsi="Arial" w:cs="Arial"/>
          <w:b/>
        </w:rPr>
        <w:t>Creating a valid lump sum value for funding diseconomies of scale</w:t>
      </w:r>
    </w:p>
    <w:p w:rsidR="00EC3383" w:rsidRDefault="00B86847" w:rsidP="00EC3383">
      <w:pPr>
        <w:jc w:val="both"/>
        <w:rPr>
          <w:rFonts w:ascii="Arial" w:hAnsi="Arial" w:cs="Arial"/>
        </w:rPr>
      </w:pPr>
      <w:r>
        <w:rPr>
          <w:rFonts w:ascii="Arial" w:hAnsi="Arial" w:cs="Arial"/>
        </w:rPr>
        <w:t>O</w:t>
      </w:r>
      <w:r w:rsidR="00EC3383" w:rsidRPr="00EC3383">
        <w:rPr>
          <w:rFonts w:ascii="Arial" w:hAnsi="Arial" w:cs="Arial"/>
        </w:rPr>
        <w:t>fficers used expenditure data taken from Consistent Financial Reports (CFR) for maintained schools for the FY2013-14 in o</w:t>
      </w:r>
      <w:r>
        <w:rPr>
          <w:rFonts w:ascii="Arial" w:hAnsi="Arial" w:cs="Arial"/>
        </w:rPr>
        <w:t>rder to create a valid lump sum for funding diseconomies of scale.</w:t>
      </w:r>
      <w:r w:rsidR="009363BA">
        <w:rPr>
          <w:rFonts w:ascii="Arial" w:hAnsi="Arial" w:cs="Arial"/>
        </w:rPr>
        <w:t xml:space="preserve"> </w:t>
      </w:r>
    </w:p>
    <w:p w:rsidR="009363BA" w:rsidRDefault="009363BA" w:rsidP="00EC3383">
      <w:pPr>
        <w:jc w:val="both"/>
        <w:rPr>
          <w:rFonts w:ascii="Arial" w:hAnsi="Arial" w:cs="Arial"/>
        </w:rPr>
      </w:pPr>
    </w:p>
    <w:p w:rsidR="009363BA" w:rsidRDefault="009363BA" w:rsidP="00EC3383">
      <w:pPr>
        <w:jc w:val="both"/>
        <w:rPr>
          <w:rFonts w:ascii="Arial" w:hAnsi="Arial" w:cs="Arial"/>
        </w:rPr>
      </w:pPr>
      <w:r w:rsidRPr="00D512EF">
        <w:rPr>
          <w:rFonts w:ascii="Arial" w:hAnsi="Arial" w:cs="Arial"/>
          <w:b/>
          <w:i/>
        </w:rPr>
        <w:t>See Appendix A</w:t>
      </w:r>
      <w:r>
        <w:rPr>
          <w:rFonts w:ascii="Arial" w:hAnsi="Arial" w:cs="Arial"/>
        </w:rPr>
        <w:t xml:space="preserve"> </w:t>
      </w:r>
      <w:r w:rsidRPr="00D512EF">
        <w:rPr>
          <w:rFonts w:ascii="Arial" w:hAnsi="Arial" w:cs="Arial"/>
          <w:b/>
          <w:i/>
        </w:rPr>
        <w:t xml:space="preserve">for details of the creation of a valid lump sum </w:t>
      </w:r>
      <w:r w:rsidR="00D512EF">
        <w:rPr>
          <w:rFonts w:ascii="Arial" w:hAnsi="Arial" w:cs="Arial"/>
          <w:b/>
          <w:i/>
        </w:rPr>
        <w:t xml:space="preserve">of £67,263 </w:t>
      </w:r>
      <w:r w:rsidRPr="00D512EF">
        <w:rPr>
          <w:rFonts w:ascii="Arial" w:hAnsi="Arial" w:cs="Arial"/>
          <w:b/>
          <w:i/>
        </w:rPr>
        <w:t xml:space="preserve">and </w:t>
      </w:r>
      <w:r w:rsidR="00D512EF">
        <w:rPr>
          <w:rFonts w:ascii="Arial" w:hAnsi="Arial" w:cs="Arial"/>
          <w:b/>
          <w:i/>
        </w:rPr>
        <w:t xml:space="preserve">the creation of </w:t>
      </w:r>
      <w:r w:rsidRPr="00D512EF">
        <w:rPr>
          <w:rFonts w:ascii="Arial" w:hAnsi="Arial" w:cs="Arial"/>
          <w:b/>
          <w:i/>
        </w:rPr>
        <w:t xml:space="preserve">a 3 year tapered lump sum </w:t>
      </w:r>
      <w:r w:rsidR="00D512EF">
        <w:rPr>
          <w:rFonts w:ascii="Arial" w:hAnsi="Arial" w:cs="Arial"/>
          <w:b/>
          <w:i/>
        </w:rPr>
        <w:t xml:space="preserve">funding </w:t>
      </w:r>
      <w:r w:rsidRPr="00D512EF">
        <w:rPr>
          <w:rFonts w:ascii="Arial" w:hAnsi="Arial" w:cs="Arial"/>
          <w:b/>
          <w:i/>
        </w:rPr>
        <w:t>arrangement</w:t>
      </w:r>
    </w:p>
    <w:p w:rsidR="009363BA" w:rsidRDefault="009363BA" w:rsidP="00B86847">
      <w:pPr>
        <w:jc w:val="both"/>
        <w:rPr>
          <w:rFonts w:ascii="Arial" w:hAnsi="Arial" w:cs="Arial"/>
        </w:rPr>
      </w:pPr>
    </w:p>
    <w:p w:rsidR="00EC3383" w:rsidRPr="00EC3383" w:rsidRDefault="00EC3383" w:rsidP="00B86847">
      <w:pPr>
        <w:jc w:val="both"/>
        <w:rPr>
          <w:rFonts w:ascii="Arial" w:hAnsi="Arial" w:cs="Arial"/>
        </w:rPr>
      </w:pPr>
      <w:r w:rsidRPr="00EC3383">
        <w:rPr>
          <w:rFonts w:ascii="Arial" w:hAnsi="Arial" w:cs="Arial"/>
        </w:rPr>
        <w:t>Officers selected CFR expenditure headings that relate to relevant fixed costs that a school may incur grouped by small schools 100 pupils on roll or less, and compared this to expenditure for the same expenditure CFR headings for large schools between 180 and 240 pupils on roll.</w:t>
      </w:r>
      <w:r w:rsidR="00B86847">
        <w:rPr>
          <w:rFonts w:ascii="Arial" w:hAnsi="Arial" w:cs="Arial"/>
        </w:rPr>
        <w:t xml:space="preserve"> </w:t>
      </w:r>
    </w:p>
    <w:p w:rsidR="00B86847" w:rsidRPr="00EC3383" w:rsidRDefault="00B86847" w:rsidP="00EC3383">
      <w:pPr>
        <w:jc w:val="both"/>
        <w:rPr>
          <w:rFonts w:ascii="Arial" w:hAnsi="Arial" w:cs="Arial"/>
        </w:rPr>
      </w:pPr>
      <w:r w:rsidRPr="009363BA">
        <w:rPr>
          <w:rFonts w:ascii="Arial" w:hAnsi="Arial" w:cs="Arial"/>
          <w:bCs/>
        </w:rPr>
        <w:t xml:space="preserve">It was discussed and agreed by the </w:t>
      </w:r>
      <w:r w:rsidR="009363BA" w:rsidRPr="009363BA">
        <w:rPr>
          <w:rFonts w:ascii="Arial" w:hAnsi="Arial" w:cs="Arial"/>
          <w:bCs/>
        </w:rPr>
        <w:t xml:space="preserve">working </w:t>
      </w:r>
      <w:r w:rsidRPr="009363BA">
        <w:rPr>
          <w:rFonts w:ascii="Arial" w:hAnsi="Arial" w:cs="Arial"/>
          <w:bCs/>
        </w:rPr>
        <w:t>group</w:t>
      </w:r>
      <w:r>
        <w:rPr>
          <w:rFonts w:ascii="Arial" w:hAnsi="Arial" w:cs="Arial"/>
          <w:b/>
          <w:bCs/>
        </w:rPr>
        <w:t xml:space="preserve"> </w:t>
      </w:r>
      <w:r w:rsidRPr="00B86847">
        <w:rPr>
          <w:rFonts w:ascii="Arial" w:hAnsi="Arial" w:cs="Arial"/>
          <w:bCs/>
        </w:rPr>
        <w:t>that a</w:t>
      </w:r>
      <w:r w:rsidR="00EC3383" w:rsidRPr="00EC3383">
        <w:rPr>
          <w:rFonts w:ascii="Arial" w:hAnsi="Arial" w:cs="Arial"/>
        </w:rPr>
        <w:t xml:space="preserve">n average cost ignoring extremes of expenditure calculated for each group of schools and the difference between the groups </w:t>
      </w:r>
      <w:r>
        <w:rPr>
          <w:rFonts w:ascii="Arial" w:hAnsi="Arial" w:cs="Arial"/>
        </w:rPr>
        <w:t xml:space="preserve">would be </w:t>
      </w:r>
      <w:r w:rsidR="00EC3383" w:rsidRPr="00EC3383">
        <w:rPr>
          <w:rFonts w:ascii="Arial" w:hAnsi="Arial" w:cs="Arial"/>
        </w:rPr>
        <w:t>used to create a lump sum value for diseconomies of scale funding</w:t>
      </w:r>
      <w:r w:rsidR="009363BA">
        <w:rPr>
          <w:rFonts w:ascii="Arial" w:hAnsi="Arial" w:cs="Arial"/>
        </w:rPr>
        <w:t xml:space="preserve">. </w:t>
      </w:r>
    </w:p>
    <w:p w:rsidR="00EC3383" w:rsidRPr="00EC3383" w:rsidRDefault="009363BA" w:rsidP="00EC3383">
      <w:pPr>
        <w:jc w:val="both"/>
        <w:rPr>
          <w:rFonts w:ascii="Arial" w:hAnsi="Arial" w:cs="Arial"/>
        </w:rPr>
      </w:pPr>
      <w:r>
        <w:rPr>
          <w:rFonts w:ascii="Arial" w:hAnsi="Arial" w:cs="Arial"/>
        </w:rPr>
        <w:t>The working group also</w:t>
      </w:r>
      <w:r w:rsidR="00EC3383" w:rsidRPr="00EC3383">
        <w:rPr>
          <w:rFonts w:ascii="Arial" w:hAnsi="Arial" w:cs="Arial"/>
          <w:b/>
        </w:rPr>
        <w:t xml:space="preserve"> </w:t>
      </w:r>
      <w:r w:rsidR="00EC3383" w:rsidRPr="00EC3383">
        <w:rPr>
          <w:rFonts w:ascii="Arial" w:hAnsi="Arial" w:cs="Arial"/>
        </w:rPr>
        <w:t xml:space="preserve">agreed the CFR expenditure headings used in the calculations were relevant however the group </w:t>
      </w:r>
      <w:r w:rsidR="00B86847" w:rsidRPr="009363BA">
        <w:rPr>
          <w:rFonts w:ascii="Arial" w:hAnsi="Arial" w:cs="Arial"/>
        </w:rPr>
        <w:t>decided</w:t>
      </w:r>
      <w:r w:rsidR="00EC3383" w:rsidRPr="00EC3383">
        <w:rPr>
          <w:rFonts w:ascii="Arial" w:hAnsi="Arial" w:cs="Arial"/>
        </w:rPr>
        <w:t xml:space="preserve"> that only 50% of the total expenditure in CFR heading E19 Learning resources, E22 Admin Supplies and E28 Bought In professional Services, should be taken into account and not 100%.</w:t>
      </w:r>
    </w:p>
    <w:p w:rsidR="00EC3383" w:rsidRPr="00EC3383" w:rsidRDefault="00EC3383" w:rsidP="00EC3383">
      <w:pPr>
        <w:jc w:val="both"/>
        <w:rPr>
          <w:rFonts w:ascii="Arial" w:hAnsi="Arial" w:cs="Arial"/>
        </w:rPr>
      </w:pPr>
    </w:p>
    <w:p w:rsidR="009363BA" w:rsidRPr="00EC3383" w:rsidRDefault="00EC3383" w:rsidP="00EC3383">
      <w:pPr>
        <w:jc w:val="both"/>
        <w:rPr>
          <w:rFonts w:ascii="Arial" w:hAnsi="Arial" w:cs="Arial"/>
          <w:b/>
          <w:i/>
        </w:rPr>
      </w:pPr>
      <w:r w:rsidRPr="00EC3383">
        <w:rPr>
          <w:rFonts w:ascii="Arial" w:hAnsi="Arial" w:cs="Arial"/>
          <w:b/>
          <w:i/>
        </w:rPr>
        <w:t xml:space="preserve">The </w:t>
      </w:r>
      <w:r w:rsidR="009363BA">
        <w:rPr>
          <w:rFonts w:ascii="Arial" w:hAnsi="Arial" w:cs="Arial"/>
          <w:b/>
          <w:i/>
        </w:rPr>
        <w:t xml:space="preserve">data agreed above creates a </w:t>
      </w:r>
      <w:r w:rsidRPr="00EC3383">
        <w:rPr>
          <w:rFonts w:ascii="Arial" w:hAnsi="Arial" w:cs="Arial"/>
          <w:b/>
          <w:i/>
        </w:rPr>
        <w:t>lump sum value of £67,263 to be used in the calculations for a 3 year tapered grant in respect of diseconomies of scale.</w:t>
      </w:r>
    </w:p>
    <w:p w:rsidR="00EC3383" w:rsidRPr="00EC3383" w:rsidRDefault="00EC3383" w:rsidP="00EC3383">
      <w:pPr>
        <w:jc w:val="both"/>
        <w:rPr>
          <w:rFonts w:ascii="Arial" w:hAnsi="Arial" w:cs="Arial"/>
        </w:rPr>
      </w:pPr>
    </w:p>
    <w:p w:rsidR="00EC3383" w:rsidRPr="00EC3383" w:rsidRDefault="009363BA" w:rsidP="00EC3383">
      <w:pPr>
        <w:jc w:val="both"/>
        <w:rPr>
          <w:rFonts w:ascii="Arial" w:hAnsi="Arial" w:cs="Arial"/>
        </w:rPr>
      </w:pPr>
      <w:r>
        <w:rPr>
          <w:rFonts w:ascii="Arial" w:hAnsi="Arial" w:cs="Arial"/>
          <w:b/>
        </w:rPr>
        <w:t xml:space="preserve">Creating </w:t>
      </w:r>
      <w:r w:rsidR="00EC3383" w:rsidRPr="00EC3383">
        <w:rPr>
          <w:rFonts w:ascii="Arial" w:hAnsi="Arial" w:cs="Arial"/>
          <w:b/>
        </w:rPr>
        <w:t xml:space="preserve">a 3 year tapered lump sum </w:t>
      </w:r>
      <w:r w:rsidR="00D512EF">
        <w:rPr>
          <w:rFonts w:ascii="Arial" w:hAnsi="Arial" w:cs="Arial"/>
          <w:b/>
        </w:rPr>
        <w:t xml:space="preserve">funding </w:t>
      </w:r>
      <w:r w:rsidR="00EC3383" w:rsidRPr="00EC3383">
        <w:rPr>
          <w:rFonts w:ascii="Arial" w:hAnsi="Arial" w:cs="Arial"/>
          <w:b/>
        </w:rPr>
        <w:t>arrangement</w:t>
      </w:r>
    </w:p>
    <w:p w:rsidR="00EC3383" w:rsidRPr="00EC3383" w:rsidRDefault="00EC3383" w:rsidP="00EC3383">
      <w:pPr>
        <w:jc w:val="both"/>
        <w:rPr>
          <w:rFonts w:ascii="Arial" w:hAnsi="Arial" w:cs="Arial"/>
        </w:rPr>
      </w:pPr>
      <w:r w:rsidRPr="00EC3383">
        <w:rPr>
          <w:rFonts w:ascii="Arial" w:hAnsi="Arial" w:cs="Arial"/>
        </w:rPr>
        <w:t xml:space="preserve">The </w:t>
      </w:r>
      <w:r w:rsidR="009363BA">
        <w:rPr>
          <w:rFonts w:ascii="Arial" w:hAnsi="Arial" w:cs="Arial"/>
        </w:rPr>
        <w:t xml:space="preserve">working </w:t>
      </w:r>
      <w:r w:rsidRPr="00EC3383">
        <w:rPr>
          <w:rFonts w:ascii="Arial" w:hAnsi="Arial" w:cs="Arial"/>
        </w:rPr>
        <w:t xml:space="preserve">group </w:t>
      </w:r>
      <w:r w:rsidR="009363BA">
        <w:rPr>
          <w:rFonts w:ascii="Arial" w:hAnsi="Arial" w:cs="Arial"/>
        </w:rPr>
        <w:t xml:space="preserve">discussed and </w:t>
      </w:r>
      <w:r w:rsidRPr="00EC3383">
        <w:rPr>
          <w:rFonts w:ascii="Arial" w:hAnsi="Arial" w:cs="Arial"/>
        </w:rPr>
        <w:t>reviewed the methodology for the calculation of funding the grant for diseconomies of scale using a 3 year tapered lump sum arrangement.</w:t>
      </w:r>
    </w:p>
    <w:p w:rsidR="00EC3383" w:rsidRPr="00EC3383" w:rsidRDefault="00EC3383" w:rsidP="00EC3383">
      <w:pPr>
        <w:jc w:val="both"/>
        <w:rPr>
          <w:rFonts w:ascii="Arial" w:hAnsi="Arial" w:cs="Arial"/>
        </w:rPr>
      </w:pPr>
      <w:r w:rsidRPr="00EC3383">
        <w:rPr>
          <w:rFonts w:ascii="Arial" w:hAnsi="Arial" w:cs="Arial"/>
        </w:rPr>
        <w:t>Officers had examined the capacity available for all B&amp;NES primary schools compared to the actual number on roll on the October 2014 census and the lowest average capacity is currently 75%. Th</w:t>
      </w:r>
      <w:r w:rsidR="009363BA">
        <w:rPr>
          <w:rFonts w:ascii="Arial" w:hAnsi="Arial" w:cs="Arial"/>
        </w:rPr>
        <w:t xml:space="preserve">e working group decided this </w:t>
      </w:r>
      <w:r w:rsidRPr="00EC3383">
        <w:rPr>
          <w:rFonts w:ascii="Arial" w:hAnsi="Arial" w:cs="Arial"/>
        </w:rPr>
        <w:t xml:space="preserve">is a good rationale to use in deciding </w:t>
      </w:r>
      <w:r w:rsidR="009363BA">
        <w:rPr>
          <w:rFonts w:ascii="Arial" w:hAnsi="Arial" w:cs="Arial"/>
        </w:rPr>
        <w:t xml:space="preserve">a </w:t>
      </w:r>
      <w:r w:rsidRPr="00EC3383">
        <w:rPr>
          <w:rFonts w:ascii="Arial" w:hAnsi="Arial" w:cs="Arial"/>
        </w:rPr>
        <w:t>threshold for funding tapered lump sum payments.</w:t>
      </w:r>
    </w:p>
    <w:p w:rsidR="00EC3383" w:rsidRPr="00EC3383" w:rsidRDefault="00EC3383" w:rsidP="00EC3383">
      <w:pPr>
        <w:jc w:val="both"/>
        <w:rPr>
          <w:rFonts w:ascii="Arial" w:hAnsi="Arial" w:cs="Arial"/>
        </w:rPr>
      </w:pPr>
    </w:p>
    <w:p w:rsidR="00EC3383" w:rsidRPr="00EC3383" w:rsidRDefault="00EC3383" w:rsidP="00EC3383">
      <w:pPr>
        <w:jc w:val="both"/>
        <w:rPr>
          <w:rFonts w:ascii="Arial" w:hAnsi="Arial" w:cs="Arial"/>
        </w:rPr>
      </w:pPr>
      <w:r w:rsidRPr="00EC3383">
        <w:rPr>
          <w:rFonts w:ascii="Arial" w:hAnsi="Arial" w:cs="Arial"/>
        </w:rPr>
        <w:t xml:space="preserve">If was debated and agreed that if a new school that is 75% or more full or has pupils on roll in every year group, funding would not be due in respect of diseconomies of scale as the school would be deemed viable. </w:t>
      </w:r>
    </w:p>
    <w:p w:rsidR="00EC3383" w:rsidRPr="00EC3383" w:rsidRDefault="00EC3383" w:rsidP="00EC3383">
      <w:pPr>
        <w:autoSpaceDE w:val="0"/>
        <w:autoSpaceDN w:val="0"/>
        <w:adjustRightInd w:val="0"/>
        <w:jc w:val="both"/>
        <w:rPr>
          <w:rFonts w:ascii="Arial" w:hAnsi="Arial" w:cs="Arial"/>
        </w:rPr>
      </w:pPr>
      <w:r w:rsidRPr="00EC3383">
        <w:rPr>
          <w:rFonts w:ascii="Arial" w:hAnsi="Arial" w:cs="Arial"/>
        </w:rPr>
        <w:t>It was also decided that there would be two thresholds for payment of the tapered lump sum:</w:t>
      </w:r>
    </w:p>
    <w:p w:rsidR="00EC3383" w:rsidRPr="00EC3383" w:rsidRDefault="00EC3383" w:rsidP="00EC3383">
      <w:pPr>
        <w:numPr>
          <w:ilvl w:val="0"/>
          <w:numId w:val="24"/>
        </w:numPr>
        <w:autoSpaceDE w:val="0"/>
        <w:autoSpaceDN w:val="0"/>
        <w:adjustRightInd w:val="0"/>
        <w:jc w:val="both"/>
        <w:rPr>
          <w:rFonts w:ascii="Arial" w:hAnsi="Arial" w:cs="Arial"/>
        </w:rPr>
      </w:pPr>
      <w:r w:rsidRPr="00EC3383">
        <w:rPr>
          <w:rFonts w:ascii="Arial" w:hAnsi="Arial" w:cs="Arial"/>
        </w:rPr>
        <w:t>If a school is 49% or less full then it will receive 100% of the 3 year tapered lump sum.</w:t>
      </w:r>
    </w:p>
    <w:p w:rsidR="00EC3383" w:rsidRPr="00EC3383" w:rsidRDefault="00EC3383" w:rsidP="00EC3383">
      <w:pPr>
        <w:numPr>
          <w:ilvl w:val="0"/>
          <w:numId w:val="24"/>
        </w:numPr>
        <w:autoSpaceDE w:val="0"/>
        <w:autoSpaceDN w:val="0"/>
        <w:adjustRightInd w:val="0"/>
        <w:jc w:val="both"/>
        <w:rPr>
          <w:rFonts w:ascii="Arial" w:hAnsi="Arial" w:cs="Arial"/>
        </w:rPr>
      </w:pPr>
      <w:r w:rsidRPr="00EC3383">
        <w:rPr>
          <w:rFonts w:ascii="Arial" w:hAnsi="Arial" w:cs="Arial"/>
        </w:rPr>
        <w:t>If the school is 50% to 74% full then it will receive 50% of the 3 year tapered lump sum.</w:t>
      </w:r>
    </w:p>
    <w:p w:rsidR="00EC3383" w:rsidRPr="00EC3383" w:rsidRDefault="00EC3383" w:rsidP="0087348B">
      <w:pPr>
        <w:autoSpaceDE w:val="0"/>
        <w:autoSpaceDN w:val="0"/>
        <w:adjustRightInd w:val="0"/>
        <w:jc w:val="both"/>
        <w:rPr>
          <w:rFonts w:ascii="Arial" w:hAnsi="Arial" w:cs="Arial"/>
        </w:rPr>
      </w:pPr>
      <w:r w:rsidRPr="00EC3383">
        <w:rPr>
          <w:rFonts w:ascii="Arial" w:hAnsi="Arial" w:cs="Arial"/>
        </w:rPr>
        <w:t xml:space="preserve">Finally the group felt that at any point during the 3 year funding period, a school became 75% full then the funding for diseconomies of scale would cease even if the following year the school became less than 75% full. </w:t>
      </w:r>
    </w:p>
    <w:p w:rsidR="00EC3383" w:rsidRDefault="00EC3383" w:rsidP="00EC3383">
      <w:pPr>
        <w:autoSpaceDE w:val="0"/>
        <w:autoSpaceDN w:val="0"/>
        <w:adjustRightInd w:val="0"/>
        <w:jc w:val="both"/>
        <w:rPr>
          <w:rFonts w:ascii="Arial" w:hAnsi="Arial" w:cs="Arial"/>
        </w:rPr>
      </w:pPr>
    </w:p>
    <w:p w:rsidR="00D512EF" w:rsidRPr="009F5F2C" w:rsidRDefault="00D512EF" w:rsidP="00D512EF">
      <w:pPr>
        <w:rPr>
          <w:rFonts w:ascii="Arial" w:hAnsi="Arial" w:cs="Arial"/>
          <w:b/>
          <w:i/>
          <w:color w:val="000000"/>
        </w:rPr>
      </w:pPr>
      <w:r>
        <w:rPr>
          <w:rFonts w:ascii="Arial" w:hAnsi="Arial" w:cs="Arial"/>
          <w:b/>
          <w:i/>
        </w:rPr>
        <w:t>Recommendation</w:t>
      </w:r>
      <w:r>
        <w:rPr>
          <w:rFonts w:ascii="Arial" w:hAnsi="Arial" w:cs="Arial"/>
          <w:i/>
        </w:rPr>
        <w:t xml:space="preserve"> </w:t>
      </w:r>
      <w:r w:rsidRPr="009F5F2C">
        <w:rPr>
          <w:rFonts w:ascii="Arial" w:hAnsi="Arial" w:cs="Arial"/>
          <w:b/>
          <w:i/>
        </w:rPr>
        <w:t xml:space="preserve">– </w:t>
      </w:r>
      <w:r w:rsidRPr="009F5F2C">
        <w:rPr>
          <w:rFonts w:ascii="Arial" w:hAnsi="Arial" w:cs="Arial"/>
          <w:i/>
        </w:rPr>
        <w:t xml:space="preserve">the working group recommend </w:t>
      </w:r>
      <w:r w:rsidR="009F5F2C" w:rsidRPr="009F5F2C">
        <w:rPr>
          <w:rFonts w:ascii="Arial" w:hAnsi="Arial" w:cs="Arial"/>
          <w:i/>
        </w:rPr>
        <w:t xml:space="preserve">to </w:t>
      </w:r>
      <w:r w:rsidRPr="009F5F2C">
        <w:rPr>
          <w:rFonts w:ascii="Arial" w:hAnsi="Arial" w:cs="Arial"/>
          <w:i/>
        </w:rPr>
        <w:t>the schools forum</w:t>
      </w:r>
      <w:r w:rsidR="009F5F2C" w:rsidRPr="009F5F2C">
        <w:rPr>
          <w:rFonts w:ascii="Arial" w:hAnsi="Arial" w:cs="Arial"/>
          <w:i/>
        </w:rPr>
        <w:t xml:space="preserve"> an</w:t>
      </w:r>
      <w:r w:rsidRPr="009F5F2C">
        <w:rPr>
          <w:rFonts w:ascii="Arial" w:hAnsi="Arial" w:cs="Arial"/>
          <w:i/>
        </w:rPr>
        <w:t xml:space="preserve"> extension of the current policy for funding LA planned growth to include the funding of a</w:t>
      </w:r>
      <w:r w:rsidRPr="009F5F2C">
        <w:rPr>
          <w:rFonts w:ascii="Arial" w:hAnsi="Arial" w:cs="Arial"/>
          <w:i/>
          <w:color w:val="000000"/>
        </w:rPr>
        <w:t xml:space="preserve"> post opening grant for a new primary school for diseconomies of scale during the period it expands in pupil numbers</w:t>
      </w:r>
      <w:r w:rsidR="009F5F2C" w:rsidRPr="009F5F2C">
        <w:rPr>
          <w:rFonts w:ascii="Arial" w:hAnsi="Arial" w:cs="Arial"/>
          <w:i/>
          <w:color w:val="000000"/>
        </w:rPr>
        <w:t xml:space="preserve"> and that this</w:t>
      </w:r>
      <w:r w:rsidRPr="009F5F2C">
        <w:rPr>
          <w:rFonts w:ascii="Arial" w:hAnsi="Arial" w:cs="Arial"/>
          <w:i/>
          <w:color w:val="000000"/>
        </w:rPr>
        <w:t xml:space="preserve"> grant will be funded using </w:t>
      </w:r>
      <w:r w:rsidR="009F5F2C" w:rsidRPr="009F5F2C">
        <w:rPr>
          <w:rFonts w:ascii="Arial" w:hAnsi="Arial" w:cs="Arial"/>
          <w:i/>
          <w:color w:val="000000"/>
        </w:rPr>
        <w:t xml:space="preserve">a 3 year tapered lump sum funding arrangement as described in </w:t>
      </w:r>
      <w:r w:rsidR="009F5F2C" w:rsidRPr="009F5F2C">
        <w:rPr>
          <w:rFonts w:ascii="Arial" w:hAnsi="Arial" w:cs="Arial"/>
          <w:b/>
          <w:i/>
          <w:color w:val="000000"/>
        </w:rPr>
        <w:t>Appendix A.</w:t>
      </w:r>
    </w:p>
    <w:p w:rsidR="00D512EF" w:rsidRPr="009F5F2C" w:rsidRDefault="00D512EF" w:rsidP="00D512EF">
      <w:pPr>
        <w:rPr>
          <w:rFonts w:ascii="Arial" w:hAnsi="Arial" w:cs="Arial"/>
          <w:b/>
        </w:rPr>
      </w:pPr>
    </w:p>
    <w:p w:rsidR="00D512EF" w:rsidRPr="00EC3383" w:rsidRDefault="00D512EF" w:rsidP="00EC3383">
      <w:pPr>
        <w:autoSpaceDE w:val="0"/>
        <w:autoSpaceDN w:val="0"/>
        <w:adjustRightInd w:val="0"/>
        <w:jc w:val="both"/>
        <w:rPr>
          <w:rFonts w:ascii="Arial" w:hAnsi="Arial" w:cs="Arial"/>
        </w:rPr>
      </w:pPr>
    </w:p>
    <w:sectPr w:rsidR="00D512EF" w:rsidRPr="00EC3383" w:rsidSect="00531381">
      <w:footerReference w:type="default" r:id="rId9"/>
      <w:pgSz w:w="11906" w:h="16838"/>
      <w:pgMar w:top="899" w:right="926" w:bottom="719" w:left="9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D3B" w:rsidRDefault="005D5D3B">
      <w:r>
        <w:separator/>
      </w:r>
    </w:p>
  </w:endnote>
  <w:endnote w:type="continuationSeparator" w:id="0">
    <w:p w:rsidR="005D5D3B" w:rsidRDefault="005D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E1" w:rsidRDefault="00193CE1">
    <w:pPr>
      <w:pStyle w:val="Footer"/>
      <w:jc w:val="center"/>
    </w:pPr>
    <w:r>
      <w:fldChar w:fldCharType="begin"/>
    </w:r>
    <w:r>
      <w:instrText xml:space="preserve"> PAGE   \* MERGEFORMAT </w:instrText>
    </w:r>
    <w:r>
      <w:fldChar w:fldCharType="separate"/>
    </w:r>
    <w:r w:rsidR="00227644">
      <w:rPr>
        <w:noProof/>
      </w:rPr>
      <w:t>1</w:t>
    </w:r>
    <w:r>
      <w:rPr>
        <w:noProof/>
      </w:rPr>
      <w:fldChar w:fldCharType="end"/>
    </w:r>
  </w:p>
  <w:p w:rsidR="00193CE1" w:rsidRDefault="00193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D3B" w:rsidRDefault="005D5D3B">
      <w:r>
        <w:separator/>
      </w:r>
    </w:p>
  </w:footnote>
  <w:footnote w:type="continuationSeparator" w:id="0">
    <w:p w:rsidR="005D5D3B" w:rsidRDefault="005D5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9.75pt" o:bullet="t">
        <v:imagedata r:id="rId1" o:title="BD21295_"/>
      </v:shape>
    </w:pict>
  </w:numPicBullet>
  <w:abstractNum w:abstractNumId="0">
    <w:nsid w:val="02825311"/>
    <w:multiLevelType w:val="hybridMultilevel"/>
    <w:tmpl w:val="0D18AF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E975C3D"/>
    <w:multiLevelType w:val="hybridMultilevel"/>
    <w:tmpl w:val="92483ADE"/>
    <w:lvl w:ilvl="0" w:tplc="900468A8">
      <w:start w:val="1"/>
      <w:numFmt w:val="bullet"/>
      <w:lvlText w:val=""/>
      <w:lvlJc w:val="left"/>
      <w:pPr>
        <w:tabs>
          <w:tab w:val="num" w:pos="432"/>
        </w:tabs>
        <w:ind w:left="432" w:hanging="432"/>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9E22EA"/>
    <w:multiLevelType w:val="hybridMultilevel"/>
    <w:tmpl w:val="21E49944"/>
    <w:lvl w:ilvl="0" w:tplc="570CF1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719C5"/>
    <w:multiLevelType w:val="hybridMultilevel"/>
    <w:tmpl w:val="5704CFF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DDF2FD8"/>
    <w:multiLevelType w:val="hybridMultilevel"/>
    <w:tmpl w:val="9802F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482589"/>
    <w:multiLevelType w:val="hybridMultilevel"/>
    <w:tmpl w:val="83A26906"/>
    <w:lvl w:ilvl="0" w:tplc="B4281A32">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nsid w:val="2ABF23D9"/>
    <w:multiLevelType w:val="hybridMultilevel"/>
    <w:tmpl w:val="F8C2B5A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C711BC"/>
    <w:multiLevelType w:val="hybridMultilevel"/>
    <w:tmpl w:val="C1E86D68"/>
    <w:lvl w:ilvl="0" w:tplc="DFCC44D2">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86775DD"/>
    <w:multiLevelType w:val="multilevel"/>
    <w:tmpl w:val="CAA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CC0D42"/>
    <w:multiLevelType w:val="hybridMultilevel"/>
    <w:tmpl w:val="767E5DE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A4A2BE8"/>
    <w:multiLevelType w:val="hybridMultilevel"/>
    <w:tmpl w:val="45868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AD3ED7"/>
    <w:multiLevelType w:val="hybridMultilevel"/>
    <w:tmpl w:val="DFD8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1F4615"/>
    <w:multiLevelType w:val="hybridMultilevel"/>
    <w:tmpl w:val="6E227B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AF5050"/>
    <w:multiLevelType w:val="hybridMultilevel"/>
    <w:tmpl w:val="619035EC"/>
    <w:lvl w:ilvl="0" w:tplc="B4281A32">
      <w:start w:val="1"/>
      <w:numFmt w:val="bullet"/>
      <w:lvlText w:val=""/>
      <w:lvlPicBulletId w:val="0"/>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nsid w:val="4EB4092E"/>
    <w:multiLevelType w:val="hybridMultilevel"/>
    <w:tmpl w:val="B40C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B13230"/>
    <w:multiLevelType w:val="hybridMultilevel"/>
    <w:tmpl w:val="B1DA821C"/>
    <w:lvl w:ilvl="0" w:tplc="E7D6AB4C">
      <w:start w:val="1"/>
      <w:numFmt w:val="bullet"/>
      <w:lvlText w:val=""/>
      <w:lvlPicBulletId w:val="0"/>
      <w:lvlJc w:val="left"/>
      <w:pPr>
        <w:tabs>
          <w:tab w:val="num" w:pos="360"/>
        </w:tabs>
        <w:ind w:left="360" w:hanging="360"/>
      </w:pPr>
      <w:rPr>
        <w:rFonts w:ascii="Symbol" w:hAnsi="Symbol" w:hint="default"/>
        <w:color w:val="auto"/>
        <w:sz w:val="20"/>
        <w:szCs w:val="2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2E67FE2"/>
    <w:multiLevelType w:val="hybridMultilevel"/>
    <w:tmpl w:val="9E7A1C1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7FE67C2"/>
    <w:multiLevelType w:val="hybridMultilevel"/>
    <w:tmpl w:val="62F6F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E21E31"/>
    <w:multiLevelType w:val="hybridMultilevel"/>
    <w:tmpl w:val="F3AA58E6"/>
    <w:lvl w:ilvl="0" w:tplc="E53E14CC">
      <w:start w:val="1"/>
      <w:numFmt w:val="bullet"/>
      <w:lvlText w:val="•"/>
      <w:lvlJc w:val="left"/>
      <w:pPr>
        <w:tabs>
          <w:tab w:val="num" w:pos="720"/>
        </w:tabs>
        <w:ind w:left="720" w:hanging="360"/>
      </w:pPr>
      <w:rPr>
        <w:rFonts w:ascii="Times New Roman" w:hAnsi="Times New Roman" w:hint="default"/>
      </w:rPr>
    </w:lvl>
    <w:lvl w:ilvl="1" w:tplc="59629820">
      <w:start w:val="155"/>
      <w:numFmt w:val="bullet"/>
      <w:lvlText w:val="–"/>
      <w:lvlJc w:val="left"/>
      <w:pPr>
        <w:tabs>
          <w:tab w:val="num" w:pos="1440"/>
        </w:tabs>
        <w:ind w:left="1440" w:hanging="360"/>
      </w:pPr>
      <w:rPr>
        <w:rFonts w:ascii="Times New Roman" w:hAnsi="Times New Roman" w:hint="default"/>
      </w:rPr>
    </w:lvl>
    <w:lvl w:ilvl="2" w:tplc="90602928" w:tentative="1">
      <w:start w:val="1"/>
      <w:numFmt w:val="bullet"/>
      <w:lvlText w:val="•"/>
      <w:lvlJc w:val="left"/>
      <w:pPr>
        <w:tabs>
          <w:tab w:val="num" w:pos="2160"/>
        </w:tabs>
        <w:ind w:left="2160" w:hanging="360"/>
      </w:pPr>
      <w:rPr>
        <w:rFonts w:ascii="Times New Roman" w:hAnsi="Times New Roman" w:hint="default"/>
      </w:rPr>
    </w:lvl>
    <w:lvl w:ilvl="3" w:tplc="5F103BA4" w:tentative="1">
      <w:start w:val="1"/>
      <w:numFmt w:val="bullet"/>
      <w:lvlText w:val="•"/>
      <w:lvlJc w:val="left"/>
      <w:pPr>
        <w:tabs>
          <w:tab w:val="num" w:pos="2880"/>
        </w:tabs>
        <w:ind w:left="2880" w:hanging="360"/>
      </w:pPr>
      <w:rPr>
        <w:rFonts w:ascii="Times New Roman" w:hAnsi="Times New Roman" w:hint="default"/>
      </w:rPr>
    </w:lvl>
    <w:lvl w:ilvl="4" w:tplc="62946266" w:tentative="1">
      <w:start w:val="1"/>
      <w:numFmt w:val="bullet"/>
      <w:lvlText w:val="•"/>
      <w:lvlJc w:val="left"/>
      <w:pPr>
        <w:tabs>
          <w:tab w:val="num" w:pos="3600"/>
        </w:tabs>
        <w:ind w:left="3600" w:hanging="360"/>
      </w:pPr>
      <w:rPr>
        <w:rFonts w:ascii="Times New Roman" w:hAnsi="Times New Roman" w:hint="default"/>
      </w:rPr>
    </w:lvl>
    <w:lvl w:ilvl="5" w:tplc="6CA8C59E" w:tentative="1">
      <w:start w:val="1"/>
      <w:numFmt w:val="bullet"/>
      <w:lvlText w:val="•"/>
      <w:lvlJc w:val="left"/>
      <w:pPr>
        <w:tabs>
          <w:tab w:val="num" w:pos="4320"/>
        </w:tabs>
        <w:ind w:left="4320" w:hanging="360"/>
      </w:pPr>
      <w:rPr>
        <w:rFonts w:ascii="Times New Roman" w:hAnsi="Times New Roman" w:hint="default"/>
      </w:rPr>
    </w:lvl>
    <w:lvl w:ilvl="6" w:tplc="D8EC903A" w:tentative="1">
      <w:start w:val="1"/>
      <w:numFmt w:val="bullet"/>
      <w:lvlText w:val="•"/>
      <w:lvlJc w:val="left"/>
      <w:pPr>
        <w:tabs>
          <w:tab w:val="num" w:pos="5040"/>
        </w:tabs>
        <w:ind w:left="5040" w:hanging="360"/>
      </w:pPr>
      <w:rPr>
        <w:rFonts w:ascii="Times New Roman" w:hAnsi="Times New Roman" w:hint="default"/>
      </w:rPr>
    </w:lvl>
    <w:lvl w:ilvl="7" w:tplc="A5B45CB2" w:tentative="1">
      <w:start w:val="1"/>
      <w:numFmt w:val="bullet"/>
      <w:lvlText w:val="•"/>
      <w:lvlJc w:val="left"/>
      <w:pPr>
        <w:tabs>
          <w:tab w:val="num" w:pos="5760"/>
        </w:tabs>
        <w:ind w:left="5760" w:hanging="360"/>
      </w:pPr>
      <w:rPr>
        <w:rFonts w:ascii="Times New Roman" w:hAnsi="Times New Roman" w:hint="default"/>
      </w:rPr>
    </w:lvl>
    <w:lvl w:ilvl="8" w:tplc="6BAC07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D985963"/>
    <w:multiLevelType w:val="hybridMultilevel"/>
    <w:tmpl w:val="0DCEFB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709053E"/>
    <w:multiLevelType w:val="hybridMultilevel"/>
    <w:tmpl w:val="93A493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719D5FB4"/>
    <w:multiLevelType w:val="multilevel"/>
    <w:tmpl w:val="B01CBC24"/>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080"/>
        </w:tabs>
        <w:ind w:left="1080" w:hanging="360"/>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779675F4"/>
    <w:multiLevelType w:val="hybridMultilevel"/>
    <w:tmpl w:val="B55C253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796148D9"/>
    <w:multiLevelType w:val="hybridMultilevel"/>
    <w:tmpl w:val="C1E2B3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5"/>
  </w:num>
  <w:num w:numId="3">
    <w:abstractNumId w:val="13"/>
  </w:num>
  <w:num w:numId="4">
    <w:abstractNumId w:val="21"/>
  </w:num>
  <w:num w:numId="5">
    <w:abstractNumId w:val="5"/>
  </w:num>
  <w:num w:numId="6">
    <w:abstractNumId w:val="20"/>
  </w:num>
  <w:num w:numId="7">
    <w:abstractNumId w:val="18"/>
  </w:num>
  <w:num w:numId="8">
    <w:abstractNumId w:val="7"/>
  </w:num>
  <w:num w:numId="9">
    <w:abstractNumId w:val="6"/>
  </w:num>
  <w:num w:numId="10">
    <w:abstractNumId w:val="1"/>
  </w:num>
  <w:num w:numId="11">
    <w:abstractNumId w:val="9"/>
  </w:num>
  <w:num w:numId="12">
    <w:abstractNumId w:val="16"/>
  </w:num>
  <w:num w:numId="13">
    <w:abstractNumId w:val="3"/>
  </w:num>
  <w:num w:numId="14">
    <w:abstractNumId w:val="0"/>
  </w:num>
  <w:num w:numId="15">
    <w:abstractNumId w:val="8"/>
  </w:num>
  <w:num w:numId="16">
    <w:abstractNumId w:val="22"/>
  </w:num>
  <w:num w:numId="17">
    <w:abstractNumId w:val="11"/>
  </w:num>
  <w:num w:numId="18">
    <w:abstractNumId w:val="10"/>
  </w:num>
  <w:num w:numId="19">
    <w:abstractNumId w:val="4"/>
  </w:num>
  <w:num w:numId="20">
    <w:abstractNumId w:val="12"/>
  </w:num>
  <w:num w:numId="21">
    <w:abstractNumId w:val="23"/>
  </w:num>
  <w:num w:numId="22">
    <w:abstractNumId w:val="17"/>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554"/>
    <w:rsid w:val="0001199F"/>
    <w:rsid w:val="0001689E"/>
    <w:rsid w:val="000373C2"/>
    <w:rsid w:val="00042FC8"/>
    <w:rsid w:val="00066BEE"/>
    <w:rsid w:val="00074E15"/>
    <w:rsid w:val="000755D6"/>
    <w:rsid w:val="000822A9"/>
    <w:rsid w:val="00084544"/>
    <w:rsid w:val="00085407"/>
    <w:rsid w:val="00086C9B"/>
    <w:rsid w:val="00091400"/>
    <w:rsid w:val="00091F1F"/>
    <w:rsid w:val="000A6A75"/>
    <w:rsid w:val="000C4C88"/>
    <w:rsid w:val="000D12A3"/>
    <w:rsid w:val="000D2BF2"/>
    <w:rsid w:val="000D5DD0"/>
    <w:rsid w:val="000F3EBC"/>
    <w:rsid w:val="00142BCE"/>
    <w:rsid w:val="00147AA3"/>
    <w:rsid w:val="00163379"/>
    <w:rsid w:val="00163993"/>
    <w:rsid w:val="0017307C"/>
    <w:rsid w:val="001862A1"/>
    <w:rsid w:val="001928F8"/>
    <w:rsid w:val="00193CE1"/>
    <w:rsid w:val="00193F32"/>
    <w:rsid w:val="001953E0"/>
    <w:rsid w:val="001A557A"/>
    <w:rsid w:val="001B3A60"/>
    <w:rsid w:val="001E412D"/>
    <w:rsid w:val="001F03B1"/>
    <w:rsid w:val="001F536B"/>
    <w:rsid w:val="002029A7"/>
    <w:rsid w:val="00227644"/>
    <w:rsid w:val="002329ED"/>
    <w:rsid w:val="002428CE"/>
    <w:rsid w:val="00245629"/>
    <w:rsid w:val="00260538"/>
    <w:rsid w:val="002768BA"/>
    <w:rsid w:val="002B1DC3"/>
    <w:rsid w:val="002B3D67"/>
    <w:rsid w:val="002C11B6"/>
    <w:rsid w:val="002C5385"/>
    <w:rsid w:val="002E4A90"/>
    <w:rsid w:val="002F1846"/>
    <w:rsid w:val="002F6E76"/>
    <w:rsid w:val="0030585B"/>
    <w:rsid w:val="00327168"/>
    <w:rsid w:val="00346413"/>
    <w:rsid w:val="003658E5"/>
    <w:rsid w:val="0038551C"/>
    <w:rsid w:val="00392876"/>
    <w:rsid w:val="00394ECB"/>
    <w:rsid w:val="003A4AE8"/>
    <w:rsid w:val="003B3E2A"/>
    <w:rsid w:val="003C5BEE"/>
    <w:rsid w:val="003D35B1"/>
    <w:rsid w:val="003D5983"/>
    <w:rsid w:val="003D7852"/>
    <w:rsid w:val="003E1D8A"/>
    <w:rsid w:val="003E7A0B"/>
    <w:rsid w:val="00412940"/>
    <w:rsid w:val="004268B0"/>
    <w:rsid w:val="0042711D"/>
    <w:rsid w:val="00435A24"/>
    <w:rsid w:val="004409D6"/>
    <w:rsid w:val="00444C9C"/>
    <w:rsid w:val="0046456B"/>
    <w:rsid w:val="00472A00"/>
    <w:rsid w:val="00494E99"/>
    <w:rsid w:val="004A1483"/>
    <w:rsid w:val="004B2847"/>
    <w:rsid w:val="004D3D82"/>
    <w:rsid w:val="004F17A9"/>
    <w:rsid w:val="004F354A"/>
    <w:rsid w:val="00517927"/>
    <w:rsid w:val="00523F43"/>
    <w:rsid w:val="00531381"/>
    <w:rsid w:val="005405B5"/>
    <w:rsid w:val="00557288"/>
    <w:rsid w:val="005676F9"/>
    <w:rsid w:val="005940B7"/>
    <w:rsid w:val="005B488C"/>
    <w:rsid w:val="005B5620"/>
    <w:rsid w:val="005B7F62"/>
    <w:rsid w:val="005C2174"/>
    <w:rsid w:val="005D1FE2"/>
    <w:rsid w:val="005D5D3B"/>
    <w:rsid w:val="005E3D18"/>
    <w:rsid w:val="005E513B"/>
    <w:rsid w:val="005E6948"/>
    <w:rsid w:val="005F76B2"/>
    <w:rsid w:val="00606605"/>
    <w:rsid w:val="0061620A"/>
    <w:rsid w:val="00616616"/>
    <w:rsid w:val="00621BA0"/>
    <w:rsid w:val="00633925"/>
    <w:rsid w:val="006439CC"/>
    <w:rsid w:val="00686656"/>
    <w:rsid w:val="006B7545"/>
    <w:rsid w:val="006F3BA1"/>
    <w:rsid w:val="006F72A8"/>
    <w:rsid w:val="00701E8D"/>
    <w:rsid w:val="00706115"/>
    <w:rsid w:val="0072553D"/>
    <w:rsid w:val="00776CCA"/>
    <w:rsid w:val="007A17F5"/>
    <w:rsid w:val="007A5004"/>
    <w:rsid w:val="007F6AB9"/>
    <w:rsid w:val="008023A3"/>
    <w:rsid w:val="00804163"/>
    <w:rsid w:val="0081219F"/>
    <w:rsid w:val="008425B0"/>
    <w:rsid w:val="0085096E"/>
    <w:rsid w:val="00850E7D"/>
    <w:rsid w:val="00866708"/>
    <w:rsid w:val="0087348B"/>
    <w:rsid w:val="0087537F"/>
    <w:rsid w:val="008A464A"/>
    <w:rsid w:val="008A6CF7"/>
    <w:rsid w:val="008A7A47"/>
    <w:rsid w:val="008B4DE1"/>
    <w:rsid w:val="008C136E"/>
    <w:rsid w:val="008C7125"/>
    <w:rsid w:val="008E19AD"/>
    <w:rsid w:val="008F0868"/>
    <w:rsid w:val="0091104C"/>
    <w:rsid w:val="009363BA"/>
    <w:rsid w:val="0094171D"/>
    <w:rsid w:val="00945CFA"/>
    <w:rsid w:val="00950EDD"/>
    <w:rsid w:val="00952601"/>
    <w:rsid w:val="009741F1"/>
    <w:rsid w:val="00976B25"/>
    <w:rsid w:val="00982E26"/>
    <w:rsid w:val="009971A1"/>
    <w:rsid w:val="009C3778"/>
    <w:rsid w:val="009E32A1"/>
    <w:rsid w:val="009F5F2C"/>
    <w:rsid w:val="00A0694B"/>
    <w:rsid w:val="00A36184"/>
    <w:rsid w:val="00A4767D"/>
    <w:rsid w:val="00A63B95"/>
    <w:rsid w:val="00A80E17"/>
    <w:rsid w:val="00A968F7"/>
    <w:rsid w:val="00AA022E"/>
    <w:rsid w:val="00AA7B7F"/>
    <w:rsid w:val="00AB0D5D"/>
    <w:rsid w:val="00AC51C5"/>
    <w:rsid w:val="00AD35CE"/>
    <w:rsid w:val="00AD5C0E"/>
    <w:rsid w:val="00AF6759"/>
    <w:rsid w:val="00B008E6"/>
    <w:rsid w:val="00B06562"/>
    <w:rsid w:val="00B15BE0"/>
    <w:rsid w:val="00B40BBF"/>
    <w:rsid w:val="00B427E7"/>
    <w:rsid w:val="00B43A68"/>
    <w:rsid w:val="00B44E2D"/>
    <w:rsid w:val="00B4502D"/>
    <w:rsid w:val="00B61BCF"/>
    <w:rsid w:val="00B73049"/>
    <w:rsid w:val="00B835F9"/>
    <w:rsid w:val="00B83953"/>
    <w:rsid w:val="00B86847"/>
    <w:rsid w:val="00BA02EE"/>
    <w:rsid w:val="00BA2377"/>
    <w:rsid w:val="00BC24C9"/>
    <w:rsid w:val="00BC3FC5"/>
    <w:rsid w:val="00BD4865"/>
    <w:rsid w:val="00BD537F"/>
    <w:rsid w:val="00BD63F1"/>
    <w:rsid w:val="00BE7D3B"/>
    <w:rsid w:val="00C015DD"/>
    <w:rsid w:val="00C06009"/>
    <w:rsid w:val="00C40955"/>
    <w:rsid w:val="00C4103C"/>
    <w:rsid w:val="00C5173F"/>
    <w:rsid w:val="00C66B86"/>
    <w:rsid w:val="00C70A80"/>
    <w:rsid w:val="00C8125D"/>
    <w:rsid w:val="00CA0CB7"/>
    <w:rsid w:val="00CA3DAB"/>
    <w:rsid w:val="00CB33F1"/>
    <w:rsid w:val="00CC14F9"/>
    <w:rsid w:val="00CC6BF7"/>
    <w:rsid w:val="00CF0825"/>
    <w:rsid w:val="00CF29C9"/>
    <w:rsid w:val="00D131C5"/>
    <w:rsid w:val="00D24554"/>
    <w:rsid w:val="00D41D12"/>
    <w:rsid w:val="00D512EF"/>
    <w:rsid w:val="00D51B29"/>
    <w:rsid w:val="00D9279C"/>
    <w:rsid w:val="00DB00E5"/>
    <w:rsid w:val="00DF0FCC"/>
    <w:rsid w:val="00DF6790"/>
    <w:rsid w:val="00E17978"/>
    <w:rsid w:val="00E25CC3"/>
    <w:rsid w:val="00E31296"/>
    <w:rsid w:val="00E84855"/>
    <w:rsid w:val="00EA46A2"/>
    <w:rsid w:val="00EA63FB"/>
    <w:rsid w:val="00EA65A5"/>
    <w:rsid w:val="00EC3383"/>
    <w:rsid w:val="00EC41AB"/>
    <w:rsid w:val="00ED24FA"/>
    <w:rsid w:val="00EE195C"/>
    <w:rsid w:val="00F023FB"/>
    <w:rsid w:val="00F1337D"/>
    <w:rsid w:val="00F2052C"/>
    <w:rsid w:val="00F20FBC"/>
    <w:rsid w:val="00F43C23"/>
    <w:rsid w:val="00F706AB"/>
    <w:rsid w:val="00F84E4B"/>
    <w:rsid w:val="00F92FCD"/>
    <w:rsid w:val="00F95834"/>
    <w:rsid w:val="00FA703C"/>
    <w:rsid w:val="00FB1B8B"/>
    <w:rsid w:val="00FD103D"/>
    <w:rsid w:val="00FE11F9"/>
    <w:rsid w:val="00FE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850E7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B15B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D3D8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8A7A47"/>
    <w:rPr>
      <w:rFonts w:ascii="Tahoma" w:hAnsi="Tahoma" w:cs="Tahoma"/>
      <w:sz w:val="16"/>
      <w:szCs w:val="16"/>
    </w:rPr>
  </w:style>
  <w:style w:type="paragraph" w:styleId="Header">
    <w:name w:val="header"/>
    <w:basedOn w:val="Normal"/>
    <w:rsid w:val="00531381"/>
    <w:pPr>
      <w:tabs>
        <w:tab w:val="center" w:pos="4153"/>
        <w:tab w:val="right" w:pos="8306"/>
      </w:tabs>
    </w:pPr>
  </w:style>
  <w:style w:type="paragraph" w:styleId="Footer">
    <w:name w:val="footer"/>
    <w:basedOn w:val="Normal"/>
    <w:link w:val="FooterChar"/>
    <w:uiPriority w:val="99"/>
    <w:rsid w:val="00531381"/>
    <w:pPr>
      <w:tabs>
        <w:tab w:val="center" w:pos="4153"/>
        <w:tab w:val="right" w:pos="8306"/>
      </w:tabs>
    </w:pPr>
  </w:style>
  <w:style w:type="paragraph" w:styleId="BodyText">
    <w:name w:val="Body Text"/>
    <w:aliases w:val="Body Text2,bt"/>
    <w:basedOn w:val="Normal"/>
    <w:next w:val="Normal"/>
    <w:rsid w:val="0017307C"/>
    <w:pPr>
      <w:autoSpaceDE w:val="0"/>
      <w:autoSpaceDN w:val="0"/>
      <w:adjustRightInd w:val="0"/>
      <w:spacing w:after="240"/>
    </w:pPr>
    <w:rPr>
      <w:rFonts w:ascii="Arial" w:hAnsi="Arial"/>
    </w:rPr>
  </w:style>
  <w:style w:type="paragraph" w:customStyle="1" w:styleId="CharChar1CharCharCharCharCharCharCharCharChar">
    <w:name w:val="Char Char1 Char Char Char Char Char Char Char Char Char"/>
    <w:basedOn w:val="Normal"/>
    <w:rsid w:val="00346413"/>
    <w:pPr>
      <w:spacing w:after="160" w:line="240" w:lineRule="exact"/>
    </w:pPr>
    <w:rPr>
      <w:rFonts w:ascii="Verdana" w:hAnsi="Verdana"/>
      <w:sz w:val="20"/>
      <w:szCs w:val="20"/>
      <w:lang w:val="en-US" w:eastAsia="en-US"/>
    </w:rPr>
  </w:style>
  <w:style w:type="table" w:styleId="TableGrid">
    <w:name w:val="Table Grid"/>
    <w:basedOn w:val="TableNormal"/>
    <w:rsid w:val="00850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0E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850E7D"/>
    <w:rPr>
      <w:sz w:val="20"/>
      <w:szCs w:val="20"/>
    </w:rPr>
  </w:style>
  <w:style w:type="character" w:styleId="FootnoteReference">
    <w:name w:val="footnote reference"/>
    <w:semiHidden/>
    <w:rsid w:val="00850E7D"/>
    <w:rPr>
      <w:vertAlign w:val="superscript"/>
    </w:rPr>
  </w:style>
  <w:style w:type="character" w:styleId="Hyperlink">
    <w:name w:val="Hyperlink"/>
    <w:rsid w:val="001B3A60"/>
    <w:rPr>
      <w:color w:val="0000FF"/>
      <w:u w:val="single"/>
    </w:rPr>
  </w:style>
  <w:style w:type="paragraph" w:styleId="Title">
    <w:name w:val="Title"/>
    <w:basedOn w:val="Normal"/>
    <w:qFormat/>
    <w:rsid w:val="00C06009"/>
    <w:pPr>
      <w:ind w:left="720" w:hanging="720"/>
      <w:jc w:val="center"/>
    </w:pPr>
    <w:rPr>
      <w:rFonts w:ascii="Comic Sans MS" w:hAnsi="Comic Sans MS"/>
      <w:b/>
      <w:szCs w:val="20"/>
      <w:lang w:eastAsia="en-US"/>
    </w:rPr>
  </w:style>
  <w:style w:type="paragraph" w:customStyle="1" w:styleId="CharCharCharCharCharCharCharChar">
    <w:name w:val="Char Char Char Char Char Char Char Char"/>
    <w:basedOn w:val="Normal"/>
    <w:rsid w:val="002B3D67"/>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2B3D67"/>
    <w:pPr>
      <w:ind w:left="720"/>
    </w:pPr>
    <w:rPr>
      <w:rFonts w:ascii="Arial" w:eastAsia="Calibri" w:hAnsi="Arial" w:cs="Arial"/>
    </w:rPr>
  </w:style>
  <w:style w:type="paragraph" w:customStyle="1" w:styleId="NormalWeb6">
    <w:name w:val="Normal (Web)6"/>
    <w:basedOn w:val="Normal"/>
    <w:rsid w:val="00042FC8"/>
    <w:pPr>
      <w:spacing w:before="100" w:beforeAutospacing="1" w:after="225"/>
    </w:pPr>
    <w:rPr>
      <w:rFonts w:ascii="Arial" w:hAnsi="Arial" w:cs="Arial"/>
      <w:sz w:val="22"/>
      <w:szCs w:val="22"/>
    </w:rPr>
  </w:style>
  <w:style w:type="character" w:customStyle="1" w:styleId="FooterChar">
    <w:name w:val="Footer Char"/>
    <w:link w:val="Footer"/>
    <w:uiPriority w:val="99"/>
    <w:rsid w:val="00193CE1"/>
    <w:rPr>
      <w:sz w:val="24"/>
      <w:szCs w:val="24"/>
    </w:rPr>
  </w:style>
  <w:style w:type="paragraph" w:styleId="ListParagraph">
    <w:name w:val="List Paragraph"/>
    <w:basedOn w:val="Normal"/>
    <w:uiPriority w:val="34"/>
    <w:qFormat/>
    <w:rsid w:val="003E1D8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16">
      <w:bodyDiv w:val="1"/>
      <w:marLeft w:val="0"/>
      <w:marRight w:val="0"/>
      <w:marTop w:val="0"/>
      <w:marBottom w:val="0"/>
      <w:divBdr>
        <w:top w:val="none" w:sz="0" w:space="0" w:color="auto"/>
        <w:left w:val="none" w:sz="0" w:space="0" w:color="auto"/>
        <w:bottom w:val="none" w:sz="0" w:space="0" w:color="auto"/>
        <w:right w:val="none" w:sz="0" w:space="0" w:color="auto"/>
      </w:divBdr>
      <w:divsChild>
        <w:div w:id="162162428">
          <w:marLeft w:val="0"/>
          <w:marRight w:val="0"/>
          <w:marTop w:val="0"/>
          <w:marBottom w:val="0"/>
          <w:divBdr>
            <w:top w:val="none" w:sz="0" w:space="0" w:color="auto"/>
            <w:left w:val="none" w:sz="0" w:space="0" w:color="auto"/>
            <w:bottom w:val="none" w:sz="0" w:space="0" w:color="auto"/>
            <w:right w:val="none" w:sz="0" w:space="0" w:color="auto"/>
          </w:divBdr>
          <w:divsChild>
            <w:div w:id="69620646">
              <w:marLeft w:val="0"/>
              <w:marRight w:val="0"/>
              <w:marTop w:val="0"/>
              <w:marBottom w:val="0"/>
              <w:divBdr>
                <w:top w:val="none" w:sz="0" w:space="0" w:color="auto"/>
                <w:left w:val="none" w:sz="0" w:space="0" w:color="auto"/>
                <w:bottom w:val="none" w:sz="0" w:space="0" w:color="auto"/>
                <w:right w:val="none" w:sz="0" w:space="0" w:color="auto"/>
              </w:divBdr>
            </w:div>
            <w:div w:id="127478252">
              <w:marLeft w:val="0"/>
              <w:marRight w:val="0"/>
              <w:marTop w:val="0"/>
              <w:marBottom w:val="0"/>
              <w:divBdr>
                <w:top w:val="none" w:sz="0" w:space="0" w:color="auto"/>
                <w:left w:val="none" w:sz="0" w:space="0" w:color="auto"/>
                <w:bottom w:val="none" w:sz="0" w:space="0" w:color="auto"/>
                <w:right w:val="none" w:sz="0" w:space="0" w:color="auto"/>
              </w:divBdr>
            </w:div>
            <w:div w:id="411588507">
              <w:marLeft w:val="0"/>
              <w:marRight w:val="0"/>
              <w:marTop w:val="0"/>
              <w:marBottom w:val="0"/>
              <w:divBdr>
                <w:top w:val="none" w:sz="0" w:space="0" w:color="auto"/>
                <w:left w:val="none" w:sz="0" w:space="0" w:color="auto"/>
                <w:bottom w:val="none" w:sz="0" w:space="0" w:color="auto"/>
                <w:right w:val="none" w:sz="0" w:space="0" w:color="auto"/>
              </w:divBdr>
            </w:div>
            <w:div w:id="416679389">
              <w:marLeft w:val="0"/>
              <w:marRight w:val="0"/>
              <w:marTop w:val="0"/>
              <w:marBottom w:val="0"/>
              <w:divBdr>
                <w:top w:val="none" w:sz="0" w:space="0" w:color="auto"/>
                <w:left w:val="none" w:sz="0" w:space="0" w:color="auto"/>
                <w:bottom w:val="none" w:sz="0" w:space="0" w:color="auto"/>
                <w:right w:val="none" w:sz="0" w:space="0" w:color="auto"/>
              </w:divBdr>
            </w:div>
            <w:div w:id="1244140104">
              <w:marLeft w:val="0"/>
              <w:marRight w:val="0"/>
              <w:marTop w:val="0"/>
              <w:marBottom w:val="0"/>
              <w:divBdr>
                <w:top w:val="none" w:sz="0" w:space="0" w:color="auto"/>
                <w:left w:val="none" w:sz="0" w:space="0" w:color="auto"/>
                <w:bottom w:val="none" w:sz="0" w:space="0" w:color="auto"/>
                <w:right w:val="none" w:sz="0" w:space="0" w:color="auto"/>
              </w:divBdr>
            </w:div>
            <w:div w:id="15233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713">
      <w:bodyDiv w:val="1"/>
      <w:marLeft w:val="0"/>
      <w:marRight w:val="0"/>
      <w:marTop w:val="0"/>
      <w:marBottom w:val="0"/>
      <w:divBdr>
        <w:top w:val="none" w:sz="0" w:space="0" w:color="auto"/>
        <w:left w:val="none" w:sz="0" w:space="0" w:color="auto"/>
        <w:bottom w:val="none" w:sz="0" w:space="0" w:color="auto"/>
        <w:right w:val="none" w:sz="0" w:space="0" w:color="auto"/>
      </w:divBdr>
    </w:div>
    <w:div w:id="606625261">
      <w:bodyDiv w:val="1"/>
      <w:marLeft w:val="0"/>
      <w:marRight w:val="0"/>
      <w:marTop w:val="0"/>
      <w:marBottom w:val="0"/>
      <w:divBdr>
        <w:top w:val="none" w:sz="0" w:space="0" w:color="auto"/>
        <w:left w:val="none" w:sz="0" w:space="0" w:color="auto"/>
        <w:bottom w:val="none" w:sz="0" w:space="0" w:color="auto"/>
        <w:right w:val="none" w:sz="0" w:space="0" w:color="auto"/>
      </w:divBdr>
    </w:div>
    <w:div w:id="820120443">
      <w:bodyDiv w:val="1"/>
      <w:marLeft w:val="0"/>
      <w:marRight w:val="0"/>
      <w:marTop w:val="0"/>
      <w:marBottom w:val="0"/>
      <w:divBdr>
        <w:top w:val="none" w:sz="0" w:space="0" w:color="auto"/>
        <w:left w:val="none" w:sz="0" w:space="0" w:color="auto"/>
        <w:bottom w:val="none" w:sz="0" w:space="0" w:color="auto"/>
        <w:right w:val="none" w:sz="0" w:space="0" w:color="auto"/>
      </w:divBdr>
    </w:div>
    <w:div w:id="965502353">
      <w:bodyDiv w:val="1"/>
      <w:marLeft w:val="0"/>
      <w:marRight w:val="0"/>
      <w:marTop w:val="0"/>
      <w:marBottom w:val="0"/>
      <w:divBdr>
        <w:top w:val="none" w:sz="0" w:space="0" w:color="auto"/>
        <w:left w:val="none" w:sz="0" w:space="0" w:color="auto"/>
        <w:bottom w:val="none" w:sz="0" w:space="0" w:color="auto"/>
        <w:right w:val="none" w:sz="0" w:space="0" w:color="auto"/>
      </w:divBdr>
    </w:div>
    <w:div w:id="1107314161">
      <w:bodyDiv w:val="1"/>
      <w:marLeft w:val="0"/>
      <w:marRight w:val="0"/>
      <w:marTop w:val="0"/>
      <w:marBottom w:val="0"/>
      <w:divBdr>
        <w:top w:val="none" w:sz="0" w:space="0" w:color="auto"/>
        <w:left w:val="none" w:sz="0" w:space="0" w:color="auto"/>
        <w:bottom w:val="none" w:sz="0" w:space="0" w:color="auto"/>
        <w:right w:val="none" w:sz="0" w:space="0" w:color="auto"/>
      </w:divBdr>
    </w:div>
    <w:div w:id="1459257081">
      <w:bodyDiv w:val="1"/>
      <w:marLeft w:val="0"/>
      <w:marRight w:val="0"/>
      <w:marTop w:val="0"/>
      <w:marBottom w:val="0"/>
      <w:divBdr>
        <w:top w:val="none" w:sz="0" w:space="0" w:color="auto"/>
        <w:left w:val="none" w:sz="0" w:space="0" w:color="auto"/>
        <w:bottom w:val="none" w:sz="0" w:space="0" w:color="auto"/>
        <w:right w:val="none" w:sz="0" w:space="0" w:color="auto"/>
      </w:divBdr>
      <w:divsChild>
        <w:div w:id="92552332">
          <w:marLeft w:val="0"/>
          <w:marRight w:val="0"/>
          <w:marTop w:val="0"/>
          <w:marBottom w:val="0"/>
          <w:divBdr>
            <w:top w:val="none" w:sz="0" w:space="0" w:color="auto"/>
            <w:left w:val="none" w:sz="0" w:space="0" w:color="auto"/>
            <w:bottom w:val="none" w:sz="0" w:space="0" w:color="auto"/>
            <w:right w:val="none" w:sz="0" w:space="0" w:color="auto"/>
          </w:divBdr>
          <w:divsChild>
            <w:div w:id="1158617924">
              <w:marLeft w:val="0"/>
              <w:marRight w:val="450"/>
              <w:marTop w:val="0"/>
              <w:marBottom w:val="600"/>
              <w:divBdr>
                <w:top w:val="none" w:sz="0" w:space="0" w:color="auto"/>
                <w:left w:val="none" w:sz="0" w:space="0" w:color="auto"/>
                <w:bottom w:val="none" w:sz="0" w:space="0" w:color="auto"/>
                <w:right w:val="none" w:sz="0" w:space="0" w:color="auto"/>
              </w:divBdr>
              <w:divsChild>
                <w:div w:id="1920476404">
                  <w:marLeft w:val="0"/>
                  <w:marRight w:val="450"/>
                  <w:marTop w:val="0"/>
                  <w:marBottom w:val="600"/>
                  <w:divBdr>
                    <w:top w:val="none" w:sz="0" w:space="0" w:color="auto"/>
                    <w:left w:val="none" w:sz="0" w:space="0" w:color="auto"/>
                    <w:bottom w:val="none" w:sz="0" w:space="0" w:color="auto"/>
                    <w:right w:val="none" w:sz="0" w:space="0" w:color="auto"/>
                  </w:divBdr>
                  <w:divsChild>
                    <w:div w:id="164055652">
                      <w:blockQuote w:val="1"/>
                      <w:marLeft w:val="450"/>
                      <w:marRight w:val="30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 w:id="1612781001">
      <w:bodyDiv w:val="1"/>
      <w:marLeft w:val="0"/>
      <w:marRight w:val="0"/>
      <w:marTop w:val="0"/>
      <w:marBottom w:val="0"/>
      <w:divBdr>
        <w:top w:val="none" w:sz="0" w:space="0" w:color="auto"/>
        <w:left w:val="none" w:sz="0" w:space="0" w:color="auto"/>
        <w:bottom w:val="none" w:sz="0" w:space="0" w:color="auto"/>
        <w:right w:val="none" w:sz="0" w:space="0" w:color="auto"/>
      </w:divBdr>
    </w:div>
    <w:div w:id="1717003305">
      <w:bodyDiv w:val="1"/>
      <w:marLeft w:val="0"/>
      <w:marRight w:val="0"/>
      <w:marTop w:val="0"/>
      <w:marBottom w:val="0"/>
      <w:divBdr>
        <w:top w:val="none" w:sz="0" w:space="0" w:color="auto"/>
        <w:left w:val="none" w:sz="0" w:space="0" w:color="auto"/>
        <w:bottom w:val="none" w:sz="0" w:space="0" w:color="auto"/>
        <w:right w:val="none" w:sz="0" w:space="0" w:color="auto"/>
      </w:divBdr>
    </w:div>
    <w:div w:id="1844971456">
      <w:bodyDiv w:val="1"/>
      <w:marLeft w:val="0"/>
      <w:marRight w:val="0"/>
      <w:marTop w:val="0"/>
      <w:marBottom w:val="0"/>
      <w:divBdr>
        <w:top w:val="none" w:sz="0" w:space="0" w:color="auto"/>
        <w:left w:val="none" w:sz="0" w:space="0" w:color="auto"/>
        <w:bottom w:val="none" w:sz="0" w:space="0" w:color="auto"/>
        <w:right w:val="none" w:sz="0" w:space="0" w:color="auto"/>
      </w:divBdr>
    </w:div>
    <w:div w:id="20550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_morgan@bathnes.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Agenda Proposal for Strategic Director Group</vt:lpstr>
    </vt:vector>
  </TitlesOfParts>
  <Company>b&amp;nes</Company>
  <LinksUpToDate>false</LinksUpToDate>
  <CharactersWithSpaces>5939</CharactersWithSpaces>
  <SharedDoc>false</SharedDoc>
  <HLinks>
    <vt:vector size="6" baseType="variant">
      <vt:variant>
        <vt:i4>2097263</vt:i4>
      </vt:variant>
      <vt:variant>
        <vt:i4>0</vt:i4>
      </vt:variant>
      <vt:variant>
        <vt:i4>0</vt:i4>
      </vt:variant>
      <vt:variant>
        <vt:i4>5</vt:i4>
      </vt:variant>
      <vt:variant>
        <vt:lpwstr>mailto:Richard_morgan@bathnes.gov.uk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Proposal for Strategic Director Group</dc:title>
  <dc:creator>username</dc:creator>
  <cp:lastModifiedBy>Lorraine Elms</cp:lastModifiedBy>
  <cp:revision>3</cp:revision>
  <cp:lastPrinted>2014-11-24T10:40:00Z</cp:lastPrinted>
  <dcterms:created xsi:type="dcterms:W3CDTF">2015-03-09T14:22:00Z</dcterms:created>
  <dcterms:modified xsi:type="dcterms:W3CDTF">2015-03-10T12:47:00Z</dcterms:modified>
</cp:coreProperties>
</file>