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B242BF" w:rsidP="00D47376">
      <w:pPr>
        <w:pStyle w:val="Title"/>
        <w:ind w:left="0" w:firstLine="0"/>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39.5pt;margin-top:.35pt;width:52.55pt;height:3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491751" w:rsidRPr="00491751" w:rsidRDefault="00491751" w:rsidP="00491751">
                  <w:pPr>
                    <w:rPr>
                      <w:rFonts w:ascii="Arial" w:hAnsi="Arial" w:cs="Arial"/>
                      <w:b/>
                      <w:sz w:val="44"/>
                      <w:szCs w:val="44"/>
                    </w:rPr>
                  </w:pPr>
                  <w:r>
                    <w:rPr>
                      <w:b/>
                      <w:sz w:val="32"/>
                      <w:szCs w:val="32"/>
                    </w:rPr>
                    <w:t xml:space="preserve"> </w:t>
                  </w:r>
                  <w:r w:rsidRPr="00491751">
                    <w:rPr>
                      <w:rFonts w:ascii="Arial" w:hAnsi="Arial" w:cs="Arial"/>
                      <w:b/>
                      <w:sz w:val="44"/>
                      <w:szCs w:val="44"/>
                    </w:rPr>
                    <w:t>4</w:t>
                  </w:r>
                  <w:r>
                    <w:rPr>
                      <w:rFonts w:ascii="Arial" w:hAnsi="Arial" w:cs="Arial"/>
                      <w:b/>
                      <w:sz w:val="44"/>
                      <w:szCs w:val="44"/>
                    </w:rPr>
                    <w:t>.0</w:t>
                  </w:r>
                </w:p>
              </w:txbxContent>
            </v:textbox>
          </v:shape>
        </w:pict>
      </w:r>
      <w:r w:rsidR="007870FB">
        <w:rPr>
          <w:rFonts w:ascii="Arial" w:hAnsi="Arial" w:cs="Arial"/>
          <w:szCs w:val="24"/>
        </w:rPr>
        <w:t>SCHOOL</w:t>
      </w:r>
      <w:r w:rsidR="005F718E">
        <w:rPr>
          <w:rFonts w:ascii="Arial" w:hAnsi="Arial" w:cs="Arial"/>
          <w:szCs w:val="24"/>
        </w:rPr>
        <w:t>S’</w:t>
      </w:r>
      <w:r w:rsidR="00D47376" w:rsidRPr="002F4043">
        <w:rPr>
          <w:rFonts w:ascii="Arial" w:hAnsi="Arial" w:cs="Arial"/>
          <w:szCs w:val="24"/>
        </w:rPr>
        <w:t xml:space="preserve"> FORUM</w:t>
      </w:r>
    </w:p>
    <w:p w:rsidR="00D47376" w:rsidRPr="002F4043" w:rsidRDefault="00D47376" w:rsidP="00D47376">
      <w:pPr>
        <w:pStyle w:val="Title"/>
        <w:rPr>
          <w:rFonts w:ascii="Arial" w:hAnsi="Arial" w:cs="Arial"/>
          <w:szCs w:val="24"/>
        </w:rPr>
      </w:pPr>
    </w:p>
    <w:p w:rsidR="00634915" w:rsidRPr="00167C02" w:rsidRDefault="00072B65" w:rsidP="00634915">
      <w:pPr>
        <w:pStyle w:val="Title"/>
        <w:rPr>
          <w:rFonts w:ascii="Arial" w:hAnsi="Arial" w:cs="Arial"/>
          <w:szCs w:val="24"/>
        </w:rPr>
      </w:pPr>
      <w:r>
        <w:rPr>
          <w:rFonts w:ascii="Arial" w:hAnsi="Arial" w:cs="Arial"/>
          <w:szCs w:val="24"/>
        </w:rPr>
        <w:t xml:space="preserve">Date: </w:t>
      </w:r>
      <w:r w:rsidR="00167C02">
        <w:rPr>
          <w:rFonts w:ascii="Arial" w:hAnsi="Arial" w:cs="Arial"/>
          <w:szCs w:val="24"/>
        </w:rPr>
        <w:t>16</w:t>
      </w:r>
      <w:r w:rsidR="00167C02" w:rsidRPr="00167C02">
        <w:rPr>
          <w:rFonts w:ascii="Arial" w:hAnsi="Arial" w:cs="Arial"/>
          <w:szCs w:val="24"/>
          <w:vertAlign w:val="superscript"/>
        </w:rPr>
        <w:t>th</w:t>
      </w:r>
      <w:r w:rsidR="00167C02">
        <w:rPr>
          <w:rFonts w:ascii="Arial" w:hAnsi="Arial" w:cs="Arial"/>
          <w:szCs w:val="24"/>
        </w:rPr>
        <w:t xml:space="preserve"> </w:t>
      </w:r>
      <w:r w:rsidR="000558A3" w:rsidRPr="00167C02">
        <w:rPr>
          <w:rFonts w:ascii="Arial" w:hAnsi="Arial" w:cs="Arial"/>
          <w:szCs w:val="24"/>
        </w:rPr>
        <w:t>January 2018</w:t>
      </w:r>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373579">
        <w:rPr>
          <w:rFonts w:ascii="Arial" w:hAnsi="Arial" w:cs="Arial"/>
          <w:b w:val="0"/>
          <w:szCs w:val="24"/>
        </w:rPr>
        <w:t>SEND Updates</w:t>
      </w:r>
    </w:p>
    <w:p w:rsidR="00D47376" w:rsidRPr="00C31B1B" w:rsidRDefault="00D47376" w:rsidP="00D47376">
      <w:pPr>
        <w:jc w:val="center"/>
        <w:rPr>
          <w:rFonts w:ascii="Arial" w:hAnsi="Arial" w:cs="Arial"/>
          <w:b/>
          <w:sz w:val="16"/>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1728D0">
              <w:rPr>
                <w:rFonts w:ascii="Arial" w:hAnsi="Arial" w:cs="Arial"/>
                <w:color w:val="000000" w:themeColor="text1"/>
              </w:rPr>
              <w:t>topher</w:t>
            </w:r>
            <w:r w:rsidR="007B7D47">
              <w:rPr>
                <w:rFonts w:ascii="Arial" w:hAnsi="Arial" w:cs="Arial"/>
                <w:color w:val="000000" w:themeColor="text1"/>
              </w:rPr>
              <w:t xml:space="preserve"> Wilford </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B242BF"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FF1FE8" w:rsidRPr="00FF1FE8" w:rsidRDefault="00F26E4D" w:rsidP="00DF3F06">
            <w:pPr>
              <w:rPr>
                <w:rFonts w:ascii="Arial" w:hAnsi="Arial" w:cs="Arial"/>
              </w:rPr>
            </w:pPr>
            <w:r>
              <w:rPr>
                <w:rFonts w:ascii="Arial" w:hAnsi="Arial" w:cs="Arial"/>
              </w:rPr>
              <w:t>S</w:t>
            </w:r>
            <w:r w:rsidR="00373579">
              <w:rPr>
                <w:rFonts w:ascii="Arial" w:hAnsi="Arial" w:cs="Arial"/>
              </w:rPr>
              <w:t>END Updates, New Banding Model &amp; Next Steps</w:t>
            </w:r>
            <w:r w:rsidR="001171C1">
              <w:rPr>
                <w:rFonts w:ascii="Arial" w:hAnsi="Arial" w:cs="Arial"/>
              </w:rPr>
              <w:t xml:space="preserve"> </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BF4B14" w:rsidP="00A5456E">
            <w:pPr>
              <w:rPr>
                <w:rFonts w:ascii="Arial" w:hAnsi="Arial" w:cs="Arial"/>
                <w:b/>
              </w:rPr>
            </w:pPr>
            <w:r>
              <w:rPr>
                <w:rFonts w:ascii="Arial" w:hAnsi="Arial" w:cs="Arial"/>
                <w:b/>
              </w:rPr>
              <w:t>15</w:t>
            </w:r>
            <w:r w:rsidR="00613230">
              <w:rPr>
                <w:rFonts w:ascii="Arial" w:hAnsi="Arial" w:cs="Arial"/>
                <w:b/>
              </w:rPr>
              <w:t xml:space="preserve"> minutes</w:t>
            </w:r>
          </w:p>
        </w:tc>
      </w:tr>
    </w:tbl>
    <w:p w:rsidR="00D47376" w:rsidRPr="002F4043" w:rsidRDefault="00D47376" w:rsidP="00D47376">
      <w:pPr>
        <w:rPr>
          <w:rFonts w:ascii="Arial" w:hAnsi="Arial" w:cs="Arial"/>
          <w:b/>
        </w:rPr>
      </w:pPr>
    </w:p>
    <w:p w:rsidR="00A5456E" w:rsidRDefault="00541B01" w:rsidP="00BF4B14">
      <w:pPr>
        <w:rPr>
          <w:rFonts w:ascii="Arial" w:hAnsi="Arial" w:cs="Arial"/>
          <w:b/>
          <w:sz w:val="23"/>
          <w:szCs w:val="23"/>
        </w:rPr>
      </w:pPr>
      <w:r>
        <w:rPr>
          <w:rFonts w:ascii="Arial" w:hAnsi="Arial" w:cs="Arial"/>
          <w:b/>
          <w:sz w:val="23"/>
          <w:szCs w:val="23"/>
        </w:rPr>
        <w:t>1.</w:t>
      </w:r>
      <w:r w:rsidRPr="00BF4B14">
        <w:rPr>
          <w:rFonts w:ascii="Arial" w:hAnsi="Arial" w:cs="Arial"/>
          <w:b/>
          <w:sz w:val="23"/>
          <w:szCs w:val="23"/>
        </w:rPr>
        <w:t xml:space="preserve"> Background</w:t>
      </w:r>
    </w:p>
    <w:p w:rsidR="00373579" w:rsidRDefault="00373579" w:rsidP="00BF4B14">
      <w:pPr>
        <w:rPr>
          <w:rFonts w:ascii="Arial" w:hAnsi="Arial" w:cs="Arial"/>
          <w:b/>
          <w:sz w:val="23"/>
          <w:szCs w:val="23"/>
        </w:rPr>
      </w:pPr>
    </w:p>
    <w:p w:rsidR="00373579" w:rsidRPr="003147D2" w:rsidRDefault="00373579" w:rsidP="003147D2">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1</w:t>
      </w:r>
      <w:r w:rsidRPr="00373579">
        <w:rPr>
          <w:rFonts w:ascii="Arial" w:eastAsia="Calibri" w:hAnsi="Arial" w:cs="Arial"/>
          <w:sz w:val="22"/>
          <w:szCs w:val="22"/>
          <w:lang w:eastAsia="en-US"/>
        </w:rPr>
        <w:t xml:space="preserve">.1 </w:t>
      </w:r>
      <w:r>
        <w:rPr>
          <w:rFonts w:ascii="Arial" w:eastAsia="Calibri" w:hAnsi="Arial" w:cs="Arial"/>
          <w:sz w:val="22"/>
          <w:szCs w:val="22"/>
          <w:lang w:eastAsia="en-US"/>
        </w:rPr>
        <w:t>In July 2017 Forum was advised that the Local A</w:t>
      </w:r>
      <w:r w:rsidR="007839DB">
        <w:rPr>
          <w:rFonts w:ascii="Arial" w:eastAsia="Calibri" w:hAnsi="Arial" w:cs="Arial"/>
          <w:sz w:val="22"/>
          <w:szCs w:val="22"/>
          <w:lang w:eastAsia="en-US"/>
        </w:rPr>
        <w:t>uthority was</w:t>
      </w:r>
      <w:r w:rsidRPr="00373579">
        <w:rPr>
          <w:rFonts w:ascii="Arial" w:eastAsia="Calibri" w:hAnsi="Arial" w:cs="Arial"/>
          <w:sz w:val="22"/>
          <w:szCs w:val="22"/>
          <w:lang w:eastAsia="en-US"/>
        </w:rPr>
        <w:t xml:space="preserve"> currently revie</w:t>
      </w:r>
      <w:r w:rsidR="007839DB">
        <w:rPr>
          <w:rFonts w:ascii="Arial" w:eastAsia="Calibri" w:hAnsi="Arial" w:cs="Arial"/>
          <w:sz w:val="22"/>
          <w:szCs w:val="22"/>
          <w:lang w:eastAsia="en-US"/>
        </w:rPr>
        <w:t>wing the way that the high need</w:t>
      </w:r>
      <w:r>
        <w:rPr>
          <w:rFonts w:ascii="Arial" w:eastAsia="Calibri" w:hAnsi="Arial" w:cs="Arial"/>
          <w:sz w:val="22"/>
          <w:szCs w:val="22"/>
          <w:lang w:eastAsia="en-US"/>
        </w:rPr>
        <w:t xml:space="preserve"> allocations of finances are made </w:t>
      </w:r>
      <w:r w:rsidR="007839DB">
        <w:rPr>
          <w:rFonts w:ascii="Arial" w:eastAsia="Calibri" w:hAnsi="Arial" w:cs="Arial"/>
          <w:sz w:val="22"/>
          <w:szCs w:val="22"/>
          <w:lang w:eastAsia="en-US"/>
        </w:rPr>
        <w:t>for Education Health Care Plans</w:t>
      </w:r>
      <w:r w:rsidR="009403A6">
        <w:rPr>
          <w:rFonts w:ascii="Arial" w:eastAsia="Calibri" w:hAnsi="Arial" w:cs="Arial"/>
          <w:sz w:val="22"/>
          <w:szCs w:val="22"/>
          <w:lang w:eastAsia="en-US"/>
        </w:rPr>
        <w:t xml:space="preserve"> and that</w:t>
      </w:r>
      <w:r w:rsidR="003147D2">
        <w:rPr>
          <w:rFonts w:ascii="Arial" w:eastAsia="Calibri" w:hAnsi="Arial" w:cs="Arial"/>
          <w:sz w:val="22"/>
          <w:szCs w:val="22"/>
          <w:lang w:eastAsia="en-US"/>
        </w:rPr>
        <w:t xml:space="preserve"> a</w:t>
      </w:r>
      <w:r w:rsidR="009403A6">
        <w:rPr>
          <w:rFonts w:ascii="Arial" w:eastAsia="Calibri" w:hAnsi="Arial" w:cs="Arial"/>
          <w:sz w:val="22"/>
          <w:szCs w:val="22"/>
          <w:lang w:eastAsia="en-US"/>
        </w:rPr>
        <w:t xml:space="preserve"> SEND Banding Group</w:t>
      </w:r>
      <w:r w:rsidR="00CE1DBE">
        <w:rPr>
          <w:rFonts w:ascii="Arial" w:eastAsia="Calibri" w:hAnsi="Arial" w:cs="Arial"/>
          <w:sz w:val="22"/>
          <w:szCs w:val="22"/>
          <w:lang w:eastAsia="en-US"/>
        </w:rPr>
        <w:t xml:space="preserve"> made up</w:t>
      </w:r>
      <w:r w:rsidR="00D01EA9">
        <w:rPr>
          <w:rFonts w:ascii="Arial" w:eastAsia="Calibri" w:hAnsi="Arial" w:cs="Arial"/>
          <w:sz w:val="22"/>
          <w:szCs w:val="22"/>
          <w:lang w:eastAsia="en-US"/>
        </w:rPr>
        <w:t xml:space="preserve"> of </w:t>
      </w:r>
      <w:r w:rsidR="003147D2">
        <w:rPr>
          <w:rFonts w:ascii="Arial" w:eastAsia="Calibri" w:hAnsi="Arial" w:cs="Arial"/>
          <w:sz w:val="22"/>
          <w:szCs w:val="22"/>
          <w:lang w:eastAsia="en-US"/>
        </w:rPr>
        <w:t>H</w:t>
      </w:r>
      <w:r w:rsidR="00C009CB">
        <w:rPr>
          <w:rFonts w:ascii="Arial" w:eastAsia="Calibri" w:hAnsi="Arial" w:cs="Arial"/>
          <w:sz w:val="22"/>
          <w:szCs w:val="22"/>
          <w:lang w:eastAsia="en-US"/>
        </w:rPr>
        <w:t>ead teachers</w:t>
      </w:r>
      <w:r w:rsidR="00D01EA9">
        <w:rPr>
          <w:rFonts w:ascii="Arial" w:eastAsia="Calibri" w:hAnsi="Arial" w:cs="Arial"/>
          <w:sz w:val="22"/>
          <w:szCs w:val="22"/>
          <w:lang w:eastAsia="en-US"/>
        </w:rPr>
        <w:t xml:space="preserve"> and education representatives were reviewing and drawing up new banding arrangements</w:t>
      </w:r>
      <w:r w:rsidR="007839DB">
        <w:rPr>
          <w:rFonts w:ascii="Arial" w:eastAsia="Calibri" w:hAnsi="Arial" w:cs="Arial"/>
          <w:sz w:val="22"/>
          <w:szCs w:val="22"/>
          <w:lang w:eastAsia="en-US"/>
        </w:rPr>
        <w:t xml:space="preserve">. </w:t>
      </w:r>
      <w:r>
        <w:rPr>
          <w:rFonts w:ascii="Arial" w:eastAsia="Calibri" w:hAnsi="Arial" w:cs="Arial"/>
          <w:sz w:val="22"/>
          <w:szCs w:val="22"/>
          <w:lang w:eastAsia="en-US"/>
        </w:rPr>
        <w:t>This paper a</w:t>
      </w:r>
      <w:r w:rsidR="00BC695E">
        <w:rPr>
          <w:rFonts w:ascii="Arial" w:eastAsia="Calibri" w:hAnsi="Arial" w:cs="Arial"/>
          <w:sz w:val="22"/>
          <w:szCs w:val="22"/>
          <w:lang w:eastAsia="en-US"/>
        </w:rPr>
        <w:t>c</w:t>
      </w:r>
      <w:r>
        <w:rPr>
          <w:rFonts w:ascii="Arial" w:eastAsia="Calibri" w:hAnsi="Arial" w:cs="Arial"/>
          <w:sz w:val="22"/>
          <w:szCs w:val="22"/>
          <w:lang w:eastAsia="en-US"/>
        </w:rPr>
        <w:t>ts as an update on the progress of this work.</w:t>
      </w:r>
    </w:p>
    <w:p w:rsidR="00BF4B14" w:rsidRDefault="00541B01" w:rsidP="00BF4B14">
      <w:pPr>
        <w:spacing w:after="200" w:line="276" w:lineRule="auto"/>
        <w:rPr>
          <w:rFonts w:ascii="Arial" w:eastAsiaTheme="minorHAnsi" w:hAnsi="Arial" w:cs="Arial"/>
          <w:b/>
          <w:sz w:val="22"/>
          <w:szCs w:val="22"/>
          <w:lang w:val="en-US" w:eastAsia="en-US"/>
        </w:rPr>
      </w:pPr>
      <w:r>
        <w:rPr>
          <w:rFonts w:ascii="Arial" w:eastAsiaTheme="minorHAnsi" w:hAnsi="Arial" w:cs="Arial"/>
          <w:b/>
          <w:sz w:val="22"/>
          <w:szCs w:val="22"/>
          <w:lang w:val="en-US" w:eastAsia="en-US"/>
        </w:rPr>
        <w:t xml:space="preserve">2. </w:t>
      </w:r>
      <w:r w:rsidR="007160A3">
        <w:rPr>
          <w:rFonts w:ascii="Arial" w:eastAsiaTheme="minorHAnsi" w:hAnsi="Arial" w:cs="Arial"/>
          <w:b/>
          <w:sz w:val="22"/>
          <w:szCs w:val="22"/>
          <w:lang w:val="en-US" w:eastAsia="en-US"/>
        </w:rPr>
        <w:t>Forum is advised that</w:t>
      </w:r>
    </w:p>
    <w:p w:rsidR="00373579" w:rsidRDefault="00373579"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2.1 That a regular group of </w:t>
      </w:r>
      <w:r w:rsidR="003147D2">
        <w:rPr>
          <w:rFonts w:ascii="Arial" w:eastAsiaTheme="minorHAnsi" w:hAnsi="Arial" w:cs="Arial"/>
          <w:sz w:val="22"/>
          <w:szCs w:val="22"/>
          <w:lang w:val="en-US" w:eastAsia="en-US"/>
        </w:rPr>
        <w:t>H</w:t>
      </w:r>
      <w:r w:rsidR="00C009CB">
        <w:rPr>
          <w:rFonts w:ascii="Arial" w:eastAsiaTheme="minorHAnsi" w:hAnsi="Arial" w:cs="Arial"/>
          <w:sz w:val="22"/>
          <w:szCs w:val="22"/>
          <w:lang w:val="en-US" w:eastAsia="en-US"/>
        </w:rPr>
        <w:t>ead teachers</w:t>
      </w:r>
      <w:r>
        <w:rPr>
          <w:rFonts w:ascii="Arial" w:eastAsiaTheme="minorHAnsi" w:hAnsi="Arial" w:cs="Arial"/>
          <w:sz w:val="22"/>
          <w:szCs w:val="22"/>
          <w:lang w:val="en-US" w:eastAsia="en-US"/>
        </w:rPr>
        <w:t xml:space="preserve"> and SENCO’s have been involved in the creation of the new banding model and that work has begun to transfer all existing Statements and EHCP’s to the new banding model</w:t>
      </w:r>
      <w:r w:rsidR="003147D2">
        <w:rPr>
          <w:rFonts w:ascii="Arial" w:eastAsiaTheme="minorHAnsi" w:hAnsi="Arial" w:cs="Arial"/>
          <w:sz w:val="22"/>
          <w:szCs w:val="22"/>
          <w:lang w:val="en-US" w:eastAsia="en-US"/>
        </w:rPr>
        <w:t>. This first part of this work is complete.</w:t>
      </w:r>
    </w:p>
    <w:p w:rsidR="00373579" w:rsidRDefault="00373579"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2.2 The next steps for the proposed </w:t>
      </w:r>
      <w:r w:rsidR="00D01EA9">
        <w:rPr>
          <w:rFonts w:ascii="Arial" w:eastAsiaTheme="minorHAnsi" w:hAnsi="Arial" w:cs="Arial"/>
          <w:sz w:val="22"/>
          <w:szCs w:val="22"/>
          <w:lang w:val="en-US" w:eastAsia="en-US"/>
        </w:rPr>
        <w:t xml:space="preserve">banding </w:t>
      </w:r>
      <w:r w:rsidR="005419EA">
        <w:rPr>
          <w:rFonts w:ascii="Arial" w:eastAsiaTheme="minorHAnsi" w:hAnsi="Arial" w:cs="Arial"/>
          <w:sz w:val="22"/>
          <w:szCs w:val="22"/>
          <w:lang w:val="en-US" w:eastAsia="en-US"/>
        </w:rPr>
        <w:t xml:space="preserve">changes </w:t>
      </w:r>
      <w:r w:rsidR="003147D2">
        <w:rPr>
          <w:rFonts w:ascii="Arial" w:eastAsiaTheme="minorHAnsi" w:hAnsi="Arial" w:cs="Arial"/>
          <w:sz w:val="22"/>
          <w:szCs w:val="22"/>
          <w:lang w:val="en-US" w:eastAsia="en-US"/>
        </w:rPr>
        <w:t xml:space="preserve">and implementation </w:t>
      </w:r>
      <w:r w:rsidR="005419EA">
        <w:rPr>
          <w:rFonts w:ascii="Arial" w:eastAsiaTheme="minorHAnsi" w:hAnsi="Arial" w:cs="Arial"/>
          <w:sz w:val="22"/>
          <w:szCs w:val="22"/>
          <w:lang w:val="en-US" w:eastAsia="en-US"/>
        </w:rPr>
        <w:t>were discussed with school representatives and Local Authority Officers at a meeting on Thursday 30</w:t>
      </w:r>
      <w:r w:rsidR="005419EA" w:rsidRPr="005419EA">
        <w:rPr>
          <w:rFonts w:ascii="Arial" w:eastAsiaTheme="minorHAnsi" w:hAnsi="Arial" w:cs="Arial"/>
          <w:sz w:val="22"/>
          <w:szCs w:val="22"/>
          <w:vertAlign w:val="superscript"/>
          <w:lang w:val="en-US" w:eastAsia="en-US"/>
        </w:rPr>
        <w:t>th</w:t>
      </w:r>
      <w:r w:rsidR="005419EA">
        <w:rPr>
          <w:rFonts w:ascii="Arial" w:eastAsiaTheme="minorHAnsi" w:hAnsi="Arial" w:cs="Arial"/>
          <w:sz w:val="22"/>
          <w:szCs w:val="22"/>
          <w:lang w:val="en-US" w:eastAsia="en-US"/>
        </w:rPr>
        <w:t xml:space="preserve"> </w:t>
      </w:r>
      <w:r w:rsidR="003147D2">
        <w:rPr>
          <w:rFonts w:ascii="Arial" w:eastAsiaTheme="minorHAnsi" w:hAnsi="Arial" w:cs="Arial"/>
          <w:sz w:val="22"/>
          <w:szCs w:val="22"/>
          <w:lang w:val="en-US" w:eastAsia="en-US"/>
        </w:rPr>
        <w:t>of November 2017.</w:t>
      </w:r>
      <w:r w:rsidR="00C009CB">
        <w:rPr>
          <w:rFonts w:ascii="Arial" w:eastAsiaTheme="minorHAnsi" w:hAnsi="Arial" w:cs="Arial"/>
          <w:sz w:val="22"/>
          <w:szCs w:val="22"/>
          <w:lang w:val="en-US" w:eastAsia="en-US"/>
        </w:rPr>
        <w:t xml:space="preserve"> </w:t>
      </w:r>
      <w:r w:rsidR="00397799">
        <w:rPr>
          <w:rFonts w:ascii="Arial" w:eastAsiaTheme="minorHAnsi" w:hAnsi="Arial" w:cs="Arial"/>
          <w:sz w:val="22"/>
          <w:szCs w:val="22"/>
          <w:lang w:val="en-US" w:eastAsia="en-US"/>
        </w:rPr>
        <w:t xml:space="preserve">This report therefore </w:t>
      </w:r>
      <w:r w:rsidR="003147D2">
        <w:rPr>
          <w:rFonts w:ascii="Arial" w:eastAsiaTheme="minorHAnsi" w:hAnsi="Arial" w:cs="Arial"/>
          <w:sz w:val="22"/>
          <w:szCs w:val="22"/>
          <w:lang w:val="en-US" w:eastAsia="en-US"/>
        </w:rPr>
        <w:t>lays out proposals for fairly implementing</w:t>
      </w:r>
      <w:r w:rsidR="00397799">
        <w:rPr>
          <w:rFonts w:ascii="Arial" w:eastAsiaTheme="minorHAnsi" w:hAnsi="Arial" w:cs="Arial"/>
          <w:sz w:val="22"/>
          <w:szCs w:val="22"/>
          <w:lang w:val="en-US" w:eastAsia="en-US"/>
        </w:rPr>
        <w:t xml:space="preserve"> the </w:t>
      </w:r>
      <w:r w:rsidR="005419EA">
        <w:rPr>
          <w:rFonts w:ascii="Arial" w:eastAsiaTheme="minorHAnsi" w:hAnsi="Arial" w:cs="Arial"/>
          <w:sz w:val="22"/>
          <w:szCs w:val="22"/>
          <w:lang w:val="en-US" w:eastAsia="en-US"/>
        </w:rPr>
        <w:t>next steps</w:t>
      </w:r>
      <w:r w:rsidR="003147D2">
        <w:rPr>
          <w:rFonts w:ascii="Arial" w:eastAsiaTheme="minorHAnsi" w:hAnsi="Arial" w:cs="Arial"/>
          <w:sz w:val="22"/>
          <w:szCs w:val="22"/>
          <w:lang w:val="en-US" w:eastAsia="en-US"/>
        </w:rPr>
        <w:t xml:space="preserve"> for transitioning to</w:t>
      </w:r>
      <w:r w:rsidR="00397799">
        <w:rPr>
          <w:rFonts w:ascii="Arial" w:eastAsiaTheme="minorHAnsi" w:hAnsi="Arial" w:cs="Arial"/>
          <w:sz w:val="22"/>
          <w:szCs w:val="22"/>
          <w:lang w:val="en-US" w:eastAsia="en-US"/>
        </w:rPr>
        <w:t xml:space="preserve"> the new banding </w:t>
      </w:r>
      <w:r w:rsidR="003147D2">
        <w:rPr>
          <w:rFonts w:ascii="Arial" w:eastAsiaTheme="minorHAnsi" w:hAnsi="Arial" w:cs="Arial"/>
          <w:sz w:val="22"/>
          <w:szCs w:val="22"/>
          <w:lang w:val="en-US" w:eastAsia="en-US"/>
        </w:rPr>
        <w:t>model</w:t>
      </w:r>
    </w:p>
    <w:p w:rsidR="003147D2" w:rsidRDefault="003147D2"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2.3 Forum is asked to comment on the proposal from the SEND Banding Group</w:t>
      </w:r>
    </w:p>
    <w:p w:rsidR="00BF4B14" w:rsidRDefault="00541B01" w:rsidP="00BF4B14">
      <w:pPr>
        <w:spacing w:after="200" w:line="276" w:lineRule="auto"/>
        <w:rPr>
          <w:rFonts w:ascii="Arial" w:eastAsiaTheme="minorHAnsi" w:hAnsi="Arial" w:cs="Arial"/>
          <w:b/>
          <w:sz w:val="22"/>
          <w:szCs w:val="22"/>
          <w:lang w:val="en-US" w:eastAsia="en-US"/>
        </w:rPr>
      </w:pPr>
      <w:r w:rsidRPr="00541B01">
        <w:rPr>
          <w:rFonts w:ascii="Arial" w:eastAsiaTheme="minorHAnsi" w:hAnsi="Arial" w:cs="Arial"/>
          <w:b/>
          <w:sz w:val="22"/>
          <w:szCs w:val="22"/>
          <w:lang w:val="en-US" w:eastAsia="en-US"/>
        </w:rPr>
        <w:t xml:space="preserve">3. </w:t>
      </w:r>
      <w:r w:rsidR="00BF4B14" w:rsidRPr="00541B01">
        <w:rPr>
          <w:rFonts w:ascii="Arial" w:eastAsiaTheme="minorHAnsi" w:hAnsi="Arial" w:cs="Arial"/>
          <w:b/>
          <w:sz w:val="22"/>
          <w:szCs w:val="22"/>
          <w:lang w:val="en-US" w:eastAsia="en-US"/>
        </w:rPr>
        <w:t>Report</w:t>
      </w:r>
    </w:p>
    <w:p w:rsidR="00397799" w:rsidRDefault="00397799" w:rsidP="00BF4B14">
      <w:pPr>
        <w:spacing w:after="200" w:line="276" w:lineRule="auto"/>
        <w:rPr>
          <w:rFonts w:ascii="Arial" w:eastAsiaTheme="minorHAnsi" w:hAnsi="Arial" w:cs="Arial"/>
          <w:b/>
          <w:sz w:val="22"/>
          <w:szCs w:val="22"/>
          <w:lang w:val="en-US" w:eastAsia="en-US"/>
        </w:rPr>
      </w:pPr>
      <w:r>
        <w:rPr>
          <w:rFonts w:ascii="Arial" w:eastAsiaTheme="minorHAnsi" w:hAnsi="Arial" w:cs="Arial"/>
          <w:b/>
          <w:sz w:val="22"/>
          <w:szCs w:val="22"/>
          <w:lang w:val="en-US" w:eastAsia="en-US"/>
        </w:rPr>
        <w:t>Banding Allocations</w:t>
      </w:r>
    </w:p>
    <w:p w:rsidR="005419EA" w:rsidRDefault="005419EA"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3.1 The outcomes of the initial exercise from phase 1 of the re-allocation of bandings </w:t>
      </w:r>
      <w:r w:rsidR="00C009CB">
        <w:rPr>
          <w:rFonts w:ascii="Arial" w:eastAsiaTheme="minorHAnsi" w:hAnsi="Arial" w:cs="Arial"/>
          <w:sz w:val="22"/>
          <w:szCs w:val="22"/>
          <w:lang w:val="en-US" w:eastAsia="en-US"/>
        </w:rPr>
        <w:t>are</w:t>
      </w:r>
      <w:r>
        <w:rPr>
          <w:rFonts w:ascii="Arial" w:eastAsiaTheme="minorHAnsi" w:hAnsi="Arial" w:cs="Arial"/>
          <w:sz w:val="22"/>
          <w:szCs w:val="22"/>
          <w:lang w:val="en-US" w:eastAsia="en-US"/>
        </w:rPr>
        <w:t xml:space="preserve"> highlighted in the table below. </w:t>
      </w:r>
      <w:r w:rsidR="00397799">
        <w:rPr>
          <w:rFonts w:ascii="Arial" w:eastAsiaTheme="minorHAnsi" w:hAnsi="Arial" w:cs="Arial"/>
          <w:sz w:val="22"/>
          <w:szCs w:val="22"/>
          <w:lang w:val="en-US" w:eastAsia="en-US"/>
        </w:rPr>
        <w:t>The group did not see any unexpected results in the spread of bandings across schools and colleges.</w:t>
      </w:r>
    </w:p>
    <w:tbl>
      <w:tblPr>
        <w:tblW w:w="9639" w:type="dxa"/>
        <w:tblInd w:w="108" w:type="dxa"/>
        <w:tblCellMar>
          <w:left w:w="0" w:type="dxa"/>
          <w:right w:w="0" w:type="dxa"/>
        </w:tblCellMar>
        <w:tblLook w:val="04A0" w:firstRow="1" w:lastRow="0" w:firstColumn="1" w:lastColumn="0" w:noHBand="0" w:noVBand="1"/>
      </w:tblPr>
      <w:tblGrid>
        <w:gridCol w:w="1294"/>
        <w:gridCol w:w="2897"/>
        <w:gridCol w:w="2196"/>
        <w:gridCol w:w="2102"/>
        <w:gridCol w:w="1150"/>
      </w:tblGrid>
      <w:tr w:rsidR="005419EA" w:rsidRPr="005419EA" w:rsidTr="00E6147D">
        <w:trPr>
          <w:trHeight w:val="616"/>
        </w:trPr>
        <w:tc>
          <w:tcPr>
            <w:tcW w:w="129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b/>
                <w:bCs/>
                <w:color w:val="FFFFFF" w:themeColor="light1"/>
                <w:kern w:val="24"/>
                <w:sz w:val="22"/>
                <w:szCs w:val="22"/>
              </w:rPr>
              <w:t xml:space="preserve">Band </w:t>
            </w:r>
          </w:p>
        </w:tc>
        <w:tc>
          <w:tcPr>
            <w:tcW w:w="2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Mainstream</w:t>
            </w:r>
          </w:p>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 xml:space="preserve">schools and FE college </w:t>
            </w:r>
          </w:p>
        </w:tc>
        <w:tc>
          <w:tcPr>
            <w:tcW w:w="21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Units</w:t>
            </w:r>
          </w:p>
        </w:tc>
        <w:tc>
          <w:tcPr>
            <w:tcW w:w="21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 xml:space="preserve">Special schools </w:t>
            </w:r>
          </w:p>
        </w:tc>
        <w:tc>
          <w:tcPr>
            <w:tcW w:w="11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 xml:space="preserve">Total </w:t>
            </w:r>
          </w:p>
        </w:tc>
      </w:tr>
      <w:tr w:rsidR="005419EA" w:rsidRPr="005419EA" w:rsidTr="00E6147D">
        <w:trPr>
          <w:trHeight w:val="361"/>
        </w:trPr>
        <w:tc>
          <w:tcPr>
            <w:tcW w:w="129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b/>
                <w:bCs/>
                <w:color w:val="FFFFFF" w:themeColor="light1"/>
                <w:kern w:val="24"/>
                <w:sz w:val="22"/>
                <w:szCs w:val="22"/>
              </w:rPr>
              <w:t>1</w:t>
            </w:r>
          </w:p>
        </w:tc>
        <w:tc>
          <w:tcPr>
            <w:tcW w:w="28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color w:val="000000" w:themeColor="dark1"/>
                <w:kern w:val="24"/>
                <w:sz w:val="22"/>
                <w:szCs w:val="22"/>
              </w:rPr>
              <w:t>43</w:t>
            </w:r>
          </w:p>
        </w:tc>
        <w:tc>
          <w:tcPr>
            <w:tcW w:w="219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color w:val="000000" w:themeColor="dark1"/>
                <w:kern w:val="24"/>
                <w:sz w:val="22"/>
                <w:szCs w:val="22"/>
              </w:rPr>
              <w:t>0</w:t>
            </w:r>
          </w:p>
        </w:tc>
        <w:tc>
          <w:tcPr>
            <w:tcW w:w="210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color w:val="000000" w:themeColor="dark1"/>
                <w:kern w:val="24"/>
                <w:sz w:val="22"/>
                <w:szCs w:val="22"/>
              </w:rPr>
              <w:t>8</w:t>
            </w:r>
          </w:p>
        </w:tc>
        <w:tc>
          <w:tcPr>
            <w:tcW w:w="115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eastAsia="Calibri" w:hAnsi="Calibri"/>
                <w:color w:val="000000" w:themeColor="dark1"/>
                <w:kern w:val="24"/>
                <w:sz w:val="22"/>
                <w:szCs w:val="22"/>
              </w:rPr>
              <w:t>51</w:t>
            </w:r>
          </w:p>
        </w:tc>
      </w:tr>
      <w:tr w:rsidR="005419EA" w:rsidRPr="005419EA" w:rsidTr="00E6147D">
        <w:trPr>
          <w:trHeight w:val="378"/>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2</w:t>
            </w:r>
          </w:p>
        </w:tc>
        <w:tc>
          <w:tcPr>
            <w:tcW w:w="2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178</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8</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66</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252</w:t>
            </w:r>
          </w:p>
        </w:tc>
      </w:tr>
      <w:tr w:rsidR="005419EA" w:rsidRPr="005419EA" w:rsidTr="00E6147D">
        <w:trPr>
          <w:trHeight w:val="398"/>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3</w:t>
            </w:r>
          </w:p>
        </w:tc>
        <w:tc>
          <w:tcPr>
            <w:tcW w:w="2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156</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9</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111</w:t>
            </w:r>
          </w:p>
        </w:tc>
        <w:tc>
          <w:tcPr>
            <w:tcW w:w="11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276</w:t>
            </w:r>
          </w:p>
        </w:tc>
      </w:tr>
      <w:tr w:rsidR="005419EA" w:rsidRPr="005419EA" w:rsidTr="003147D2">
        <w:trPr>
          <w:trHeight w:val="237"/>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4</w:t>
            </w:r>
          </w:p>
        </w:tc>
        <w:tc>
          <w:tcPr>
            <w:tcW w:w="2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86</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12</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120</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218</w:t>
            </w:r>
          </w:p>
        </w:tc>
      </w:tr>
      <w:tr w:rsidR="005419EA" w:rsidRPr="005419EA" w:rsidTr="003147D2">
        <w:trPr>
          <w:trHeight w:val="312"/>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5</w:t>
            </w:r>
          </w:p>
        </w:tc>
        <w:tc>
          <w:tcPr>
            <w:tcW w:w="2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28</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4</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37</w:t>
            </w:r>
          </w:p>
        </w:tc>
        <w:tc>
          <w:tcPr>
            <w:tcW w:w="11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69</w:t>
            </w:r>
          </w:p>
        </w:tc>
      </w:tr>
      <w:tr w:rsidR="005419EA" w:rsidRPr="005419EA" w:rsidTr="003147D2">
        <w:trPr>
          <w:trHeight w:val="247"/>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6</w:t>
            </w:r>
          </w:p>
        </w:tc>
        <w:tc>
          <w:tcPr>
            <w:tcW w:w="2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12</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0</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21</w:t>
            </w:r>
          </w:p>
        </w:tc>
        <w:tc>
          <w:tcPr>
            <w:tcW w:w="11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33</w:t>
            </w:r>
          </w:p>
        </w:tc>
      </w:tr>
      <w:tr w:rsidR="005419EA" w:rsidRPr="005419EA" w:rsidTr="00E6147D">
        <w:trPr>
          <w:trHeight w:val="380"/>
        </w:trPr>
        <w:tc>
          <w:tcPr>
            <w:tcW w:w="129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b/>
                <w:bCs/>
                <w:color w:val="FFFFFF" w:themeColor="light1"/>
                <w:kern w:val="24"/>
                <w:sz w:val="22"/>
                <w:szCs w:val="22"/>
              </w:rPr>
              <w:t xml:space="preserve">Total </w:t>
            </w:r>
          </w:p>
        </w:tc>
        <w:tc>
          <w:tcPr>
            <w:tcW w:w="2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503</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33</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363</w:t>
            </w:r>
          </w:p>
        </w:tc>
        <w:tc>
          <w:tcPr>
            <w:tcW w:w="11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419EA" w:rsidRPr="005419EA" w:rsidRDefault="005419EA" w:rsidP="005419EA">
            <w:pPr>
              <w:spacing w:line="276" w:lineRule="auto"/>
              <w:rPr>
                <w:rFonts w:ascii="Arial" w:hAnsi="Arial" w:cs="Arial"/>
                <w:sz w:val="36"/>
                <w:szCs w:val="36"/>
              </w:rPr>
            </w:pPr>
            <w:r w:rsidRPr="005419EA">
              <w:rPr>
                <w:rFonts w:ascii="Calibri" w:hAnsi="Calibri" w:cs="Arial"/>
                <w:color w:val="000000" w:themeColor="dark1"/>
                <w:kern w:val="24"/>
                <w:sz w:val="22"/>
                <w:szCs w:val="22"/>
              </w:rPr>
              <w:t>899</w:t>
            </w:r>
          </w:p>
        </w:tc>
      </w:tr>
    </w:tbl>
    <w:p w:rsidR="005419EA" w:rsidRDefault="005419EA" w:rsidP="00BF4B14">
      <w:pPr>
        <w:spacing w:after="200" w:line="276" w:lineRule="auto"/>
        <w:rPr>
          <w:rFonts w:ascii="Arial" w:eastAsiaTheme="minorHAnsi" w:hAnsi="Arial" w:cs="Arial"/>
          <w:sz w:val="22"/>
          <w:szCs w:val="22"/>
          <w:lang w:val="en-US" w:eastAsia="en-US"/>
        </w:rPr>
      </w:pPr>
    </w:p>
    <w:p w:rsidR="005419EA" w:rsidRPr="00397799" w:rsidRDefault="00397799" w:rsidP="00BF4B14">
      <w:pPr>
        <w:spacing w:after="200" w:line="276" w:lineRule="auto"/>
        <w:rPr>
          <w:rFonts w:ascii="Arial" w:eastAsiaTheme="minorHAnsi" w:hAnsi="Arial" w:cs="Arial"/>
          <w:b/>
          <w:sz w:val="22"/>
          <w:szCs w:val="22"/>
          <w:lang w:val="en-US" w:eastAsia="en-US"/>
        </w:rPr>
      </w:pPr>
      <w:r w:rsidRPr="00397799">
        <w:rPr>
          <w:rFonts w:ascii="Arial" w:eastAsiaTheme="minorHAnsi" w:hAnsi="Arial" w:cs="Arial"/>
          <w:b/>
          <w:sz w:val="22"/>
          <w:szCs w:val="22"/>
          <w:lang w:val="en-US" w:eastAsia="en-US"/>
        </w:rPr>
        <w:t>A call for additional evidence</w:t>
      </w:r>
    </w:p>
    <w:p w:rsidR="003147D2" w:rsidRDefault="00397799" w:rsidP="00A5456E">
      <w:pPr>
        <w:rPr>
          <w:rFonts w:ascii="Arial" w:eastAsiaTheme="minorHAnsi" w:hAnsi="Arial" w:cs="Arial"/>
          <w:sz w:val="22"/>
          <w:szCs w:val="22"/>
          <w:lang w:eastAsia="en-US"/>
        </w:rPr>
      </w:pPr>
      <w:r>
        <w:rPr>
          <w:rFonts w:ascii="Arial" w:eastAsiaTheme="minorHAnsi" w:hAnsi="Arial" w:cs="Arial"/>
          <w:sz w:val="22"/>
          <w:szCs w:val="22"/>
          <w:lang w:eastAsia="en-US"/>
        </w:rPr>
        <w:t>3.2 The Banding group recognised</w:t>
      </w:r>
      <w:r w:rsidR="005419EA">
        <w:rPr>
          <w:rFonts w:ascii="Arial" w:eastAsiaTheme="minorHAnsi" w:hAnsi="Arial" w:cs="Arial"/>
          <w:sz w:val="22"/>
          <w:szCs w:val="22"/>
          <w:lang w:eastAsia="en-US"/>
        </w:rPr>
        <w:t xml:space="preserve"> that the ex</w:t>
      </w:r>
      <w:r>
        <w:rPr>
          <w:rFonts w:ascii="Arial" w:eastAsiaTheme="minorHAnsi" w:hAnsi="Arial" w:cs="Arial"/>
          <w:sz w:val="22"/>
          <w:szCs w:val="22"/>
          <w:lang w:eastAsia="en-US"/>
        </w:rPr>
        <w:t>ercise to accurately place EHCPs</w:t>
      </w:r>
      <w:r w:rsidR="00293EFE">
        <w:rPr>
          <w:rFonts w:ascii="Arial" w:eastAsiaTheme="minorHAnsi" w:hAnsi="Arial" w:cs="Arial"/>
          <w:sz w:val="22"/>
          <w:szCs w:val="22"/>
          <w:lang w:eastAsia="en-US"/>
        </w:rPr>
        <w:t xml:space="preserve"> into new banding group will require an opportunity for all settings, schools and colleges to see the outcome of the</w:t>
      </w:r>
      <w:r>
        <w:rPr>
          <w:rFonts w:ascii="Arial" w:eastAsiaTheme="minorHAnsi" w:hAnsi="Arial" w:cs="Arial"/>
          <w:sz w:val="22"/>
          <w:szCs w:val="22"/>
          <w:lang w:eastAsia="en-US"/>
        </w:rPr>
        <w:t xml:space="preserve"> first banding exercise </w:t>
      </w:r>
      <w:r w:rsidR="00293EFE">
        <w:rPr>
          <w:rFonts w:ascii="Arial" w:eastAsiaTheme="minorHAnsi" w:hAnsi="Arial" w:cs="Arial"/>
          <w:sz w:val="22"/>
          <w:szCs w:val="22"/>
          <w:lang w:eastAsia="en-US"/>
        </w:rPr>
        <w:t>and for them to comment and where appropriate</w:t>
      </w:r>
      <w:r w:rsidR="003147D2">
        <w:rPr>
          <w:rFonts w:ascii="Arial" w:eastAsiaTheme="minorHAnsi" w:hAnsi="Arial" w:cs="Arial"/>
          <w:sz w:val="22"/>
          <w:szCs w:val="22"/>
          <w:lang w:eastAsia="en-US"/>
        </w:rPr>
        <w:t>,</w:t>
      </w:r>
      <w:r w:rsidR="00293EFE">
        <w:rPr>
          <w:rFonts w:ascii="Arial" w:eastAsiaTheme="minorHAnsi" w:hAnsi="Arial" w:cs="Arial"/>
          <w:sz w:val="22"/>
          <w:szCs w:val="22"/>
          <w:lang w:eastAsia="en-US"/>
        </w:rPr>
        <w:t xml:space="preserve"> provide any additional evidence if the placement of that pupil into that </w:t>
      </w:r>
      <w:r w:rsidR="003147D2">
        <w:rPr>
          <w:rFonts w:ascii="Arial" w:eastAsiaTheme="minorHAnsi" w:hAnsi="Arial" w:cs="Arial"/>
          <w:sz w:val="22"/>
          <w:szCs w:val="22"/>
          <w:lang w:eastAsia="en-US"/>
        </w:rPr>
        <w:t xml:space="preserve">proposed </w:t>
      </w:r>
      <w:r w:rsidR="00293EFE">
        <w:rPr>
          <w:rFonts w:ascii="Arial" w:eastAsiaTheme="minorHAnsi" w:hAnsi="Arial" w:cs="Arial"/>
          <w:sz w:val="22"/>
          <w:szCs w:val="22"/>
          <w:lang w:eastAsia="en-US"/>
        </w:rPr>
        <w:t>banding does not accurately reflect that pupils individual needs.</w:t>
      </w:r>
      <w:r>
        <w:rPr>
          <w:rFonts w:ascii="Arial" w:eastAsiaTheme="minorHAnsi" w:hAnsi="Arial" w:cs="Arial"/>
          <w:sz w:val="22"/>
          <w:szCs w:val="22"/>
          <w:lang w:eastAsia="en-US"/>
        </w:rPr>
        <w:t xml:space="preserve"> </w:t>
      </w:r>
    </w:p>
    <w:p w:rsidR="003147D2" w:rsidRDefault="003147D2" w:rsidP="00A5456E">
      <w:pPr>
        <w:rPr>
          <w:rFonts w:ascii="Arial" w:eastAsiaTheme="minorHAnsi" w:hAnsi="Arial" w:cs="Arial"/>
          <w:sz w:val="22"/>
          <w:szCs w:val="22"/>
          <w:lang w:eastAsia="en-US"/>
        </w:rPr>
      </w:pPr>
    </w:p>
    <w:p w:rsidR="00293EFE" w:rsidRDefault="003147D2" w:rsidP="00A5456E">
      <w:pPr>
        <w:rPr>
          <w:rFonts w:ascii="Arial" w:eastAsiaTheme="minorHAnsi" w:hAnsi="Arial" w:cs="Arial"/>
          <w:sz w:val="22"/>
          <w:szCs w:val="22"/>
          <w:lang w:eastAsia="en-US"/>
        </w:rPr>
      </w:pPr>
      <w:r>
        <w:rPr>
          <w:rFonts w:ascii="Arial" w:eastAsiaTheme="minorHAnsi" w:hAnsi="Arial" w:cs="Arial"/>
          <w:sz w:val="22"/>
          <w:szCs w:val="22"/>
          <w:lang w:eastAsia="en-US"/>
        </w:rPr>
        <w:t xml:space="preserve">3.3 </w:t>
      </w:r>
      <w:r w:rsidR="00293EFE">
        <w:rPr>
          <w:rFonts w:ascii="Arial" w:eastAsiaTheme="minorHAnsi" w:hAnsi="Arial" w:cs="Arial"/>
          <w:sz w:val="22"/>
          <w:szCs w:val="22"/>
          <w:lang w:eastAsia="en-US"/>
        </w:rPr>
        <w:t>The group agreed therefore that we operate a period to allow for</w:t>
      </w:r>
      <w:r w:rsidR="00397799">
        <w:rPr>
          <w:rFonts w:ascii="Arial" w:eastAsiaTheme="minorHAnsi" w:hAnsi="Arial" w:cs="Arial"/>
          <w:sz w:val="22"/>
          <w:szCs w:val="22"/>
          <w:lang w:eastAsia="en-US"/>
        </w:rPr>
        <w:t xml:space="preserve"> a call for additional evidence</w:t>
      </w:r>
      <w:r>
        <w:rPr>
          <w:rFonts w:ascii="Arial" w:eastAsiaTheme="minorHAnsi" w:hAnsi="Arial" w:cs="Arial"/>
          <w:sz w:val="22"/>
          <w:szCs w:val="22"/>
          <w:lang w:eastAsia="en-US"/>
        </w:rPr>
        <w:t xml:space="preserve"> which is outlined below</w:t>
      </w:r>
      <w:r w:rsidR="00397799">
        <w:rPr>
          <w:rFonts w:ascii="Arial" w:eastAsiaTheme="minorHAnsi" w:hAnsi="Arial" w:cs="Arial"/>
          <w:sz w:val="22"/>
          <w:szCs w:val="22"/>
          <w:lang w:eastAsia="en-US"/>
        </w:rPr>
        <w:t>;</w:t>
      </w:r>
    </w:p>
    <w:p w:rsidR="00397799" w:rsidRDefault="00397799" w:rsidP="00A5456E">
      <w:pPr>
        <w:rPr>
          <w:rFonts w:ascii="Arial" w:eastAsiaTheme="minorHAnsi" w:hAnsi="Arial" w:cs="Arial"/>
          <w:sz w:val="22"/>
          <w:szCs w:val="22"/>
          <w:lang w:eastAsia="en-US"/>
        </w:rPr>
      </w:pPr>
    </w:p>
    <w:p w:rsidR="00293EFE" w:rsidRPr="00397799" w:rsidRDefault="00293EFE" w:rsidP="00397799">
      <w:pPr>
        <w:pStyle w:val="ListParagraph"/>
        <w:numPr>
          <w:ilvl w:val="0"/>
          <w:numId w:val="35"/>
        </w:numPr>
        <w:rPr>
          <w:rFonts w:eastAsiaTheme="minorHAnsi" w:cs="Arial"/>
          <w:szCs w:val="22"/>
          <w:lang w:eastAsia="en-US"/>
        </w:rPr>
      </w:pPr>
      <w:r w:rsidRPr="00397799">
        <w:rPr>
          <w:rFonts w:eastAsiaTheme="minorHAnsi" w:cs="Arial"/>
          <w:szCs w:val="22"/>
          <w:lang w:eastAsia="en-US"/>
        </w:rPr>
        <w:t>That this period last between January and the end of March 2018. The SEND team will write all schools as soon as possible with the outcomes of the banding exercise and with information on what the process will be for submitting additional evidence and what evidence would be useful and acceptable.</w:t>
      </w:r>
    </w:p>
    <w:p w:rsidR="00293EFE" w:rsidRDefault="00293EFE" w:rsidP="00A5456E">
      <w:pPr>
        <w:rPr>
          <w:rFonts w:ascii="Arial" w:eastAsiaTheme="minorHAnsi" w:hAnsi="Arial" w:cs="Arial"/>
          <w:sz w:val="22"/>
          <w:szCs w:val="22"/>
          <w:lang w:eastAsia="en-US"/>
        </w:rPr>
      </w:pPr>
    </w:p>
    <w:p w:rsidR="00293EFE" w:rsidRPr="00397799" w:rsidRDefault="00293EFE" w:rsidP="00397799">
      <w:pPr>
        <w:pStyle w:val="ListParagraph"/>
        <w:numPr>
          <w:ilvl w:val="0"/>
          <w:numId w:val="35"/>
        </w:numPr>
        <w:rPr>
          <w:rFonts w:eastAsiaTheme="minorHAnsi" w:cs="Arial"/>
          <w:szCs w:val="22"/>
          <w:lang w:eastAsia="en-US"/>
        </w:rPr>
      </w:pPr>
      <w:r w:rsidRPr="00397799">
        <w:rPr>
          <w:rFonts w:eastAsiaTheme="minorHAnsi" w:cs="Arial"/>
          <w:szCs w:val="22"/>
          <w:lang w:eastAsia="en-US"/>
        </w:rPr>
        <w:t>The group also agreed that between 1</w:t>
      </w:r>
      <w:r w:rsidRPr="00397799">
        <w:rPr>
          <w:rFonts w:eastAsiaTheme="minorHAnsi" w:cs="Arial"/>
          <w:szCs w:val="22"/>
          <w:vertAlign w:val="superscript"/>
          <w:lang w:eastAsia="en-US"/>
        </w:rPr>
        <w:t>st</w:t>
      </w:r>
      <w:r w:rsidRPr="00397799">
        <w:rPr>
          <w:rFonts w:eastAsiaTheme="minorHAnsi" w:cs="Arial"/>
          <w:szCs w:val="22"/>
          <w:lang w:eastAsia="en-US"/>
        </w:rPr>
        <w:t xml:space="preserve"> </w:t>
      </w:r>
      <w:r w:rsidR="00397799">
        <w:rPr>
          <w:rFonts w:eastAsiaTheme="minorHAnsi" w:cs="Arial"/>
          <w:szCs w:val="22"/>
          <w:lang w:eastAsia="en-US"/>
        </w:rPr>
        <w:t>of April &amp; June 2018</w:t>
      </w:r>
      <w:r w:rsidR="003147D2">
        <w:rPr>
          <w:rFonts w:eastAsiaTheme="minorHAnsi" w:cs="Arial"/>
          <w:szCs w:val="22"/>
          <w:lang w:eastAsia="en-US"/>
        </w:rPr>
        <w:t xml:space="preserve"> that </w:t>
      </w:r>
      <w:r w:rsidRPr="00397799">
        <w:rPr>
          <w:rFonts w:eastAsiaTheme="minorHAnsi" w:cs="Arial"/>
          <w:szCs w:val="22"/>
          <w:lang w:eastAsia="en-US"/>
        </w:rPr>
        <w:t xml:space="preserve">the SEND team will arrange a number of days for this new evidence to be considered in </w:t>
      </w:r>
      <w:r w:rsidR="000558A3" w:rsidRPr="00397799">
        <w:rPr>
          <w:rFonts w:eastAsiaTheme="minorHAnsi" w:cs="Arial"/>
          <w:szCs w:val="22"/>
          <w:lang w:eastAsia="en-US"/>
        </w:rPr>
        <w:t>an</w:t>
      </w:r>
      <w:r w:rsidRPr="00397799">
        <w:rPr>
          <w:rFonts w:eastAsiaTheme="minorHAnsi" w:cs="Arial"/>
          <w:szCs w:val="22"/>
          <w:lang w:eastAsia="en-US"/>
        </w:rPr>
        <w:t xml:space="preserve"> open process with SENCO’s &amp; </w:t>
      </w:r>
      <w:r w:rsidR="00C009CB" w:rsidRPr="00397799">
        <w:rPr>
          <w:rFonts w:eastAsiaTheme="minorHAnsi" w:cs="Arial"/>
          <w:szCs w:val="22"/>
          <w:lang w:eastAsia="en-US"/>
        </w:rPr>
        <w:t>Head teachers</w:t>
      </w:r>
      <w:r w:rsidRPr="00397799">
        <w:rPr>
          <w:rFonts w:eastAsiaTheme="minorHAnsi" w:cs="Arial"/>
          <w:szCs w:val="22"/>
          <w:lang w:eastAsia="en-US"/>
        </w:rPr>
        <w:t xml:space="preserve"> so as to be transparent </w:t>
      </w:r>
      <w:r w:rsidR="00BD1FA8" w:rsidRPr="00397799">
        <w:rPr>
          <w:rFonts w:eastAsiaTheme="minorHAnsi" w:cs="Arial"/>
          <w:szCs w:val="22"/>
          <w:lang w:eastAsia="en-US"/>
        </w:rPr>
        <w:t>around any re-banding that takes place.</w:t>
      </w:r>
    </w:p>
    <w:p w:rsidR="00BD1FA8" w:rsidRDefault="00BD1FA8" w:rsidP="00A5456E">
      <w:pPr>
        <w:rPr>
          <w:rFonts w:ascii="Arial" w:eastAsiaTheme="minorHAnsi" w:hAnsi="Arial" w:cs="Arial"/>
          <w:sz w:val="22"/>
          <w:szCs w:val="22"/>
          <w:lang w:eastAsia="en-US"/>
        </w:rPr>
      </w:pPr>
    </w:p>
    <w:p w:rsidR="00BD1FA8" w:rsidRPr="00397799" w:rsidRDefault="00BD1FA8" w:rsidP="00397799">
      <w:pPr>
        <w:pStyle w:val="ListParagraph"/>
        <w:numPr>
          <w:ilvl w:val="0"/>
          <w:numId w:val="35"/>
        </w:numPr>
        <w:rPr>
          <w:rFonts w:eastAsiaTheme="minorHAnsi" w:cs="Arial"/>
          <w:szCs w:val="22"/>
          <w:lang w:eastAsia="en-US"/>
        </w:rPr>
      </w:pPr>
      <w:r w:rsidRPr="00397799">
        <w:rPr>
          <w:rFonts w:eastAsiaTheme="minorHAnsi" w:cs="Arial"/>
          <w:szCs w:val="22"/>
          <w:lang w:eastAsia="en-US"/>
        </w:rPr>
        <w:t xml:space="preserve">Once the above exercises have been completed </w:t>
      </w:r>
      <w:r w:rsidR="003147D2">
        <w:rPr>
          <w:rFonts w:eastAsiaTheme="minorHAnsi" w:cs="Arial"/>
          <w:szCs w:val="22"/>
          <w:lang w:eastAsia="en-US"/>
        </w:rPr>
        <w:t>and before the end of the academic year</w:t>
      </w:r>
      <w:r w:rsidRPr="00397799">
        <w:rPr>
          <w:rFonts w:eastAsiaTheme="minorHAnsi" w:cs="Arial"/>
          <w:szCs w:val="22"/>
          <w:lang w:eastAsia="en-US"/>
        </w:rPr>
        <w:t xml:space="preserve"> 2018</w:t>
      </w:r>
      <w:r w:rsidR="003147D2">
        <w:rPr>
          <w:rFonts w:eastAsiaTheme="minorHAnsi" w:cs="Arial"/>
          <w:szCs w:val="22"/>
          <w:lang w:eastAsia="en-US"/>
        </w:rPr>
        <w:t>,</w:t>
      </w:r>
      <w:r w:rsidRPr="00397799">
        <w:rPr>
          <w:rFonts w:eastAsiaTheme="minorHAnsi" w:cs="Arial"/>
          <w:szCs w:val="22"/>
          <w:lang w:eastAsia="en-US"/>
        </w:rPr>
        <w:t xml:space="preserve"> the Local Authority will apply values to these bands. The allocation of finance to the individual bands cannot happen until we have completed the call for evidence.</w:t>
      </w:r>
    </w:p>
    <w:p w:rsidR="00BD1FA8" w:rsidRDefault="00BD1FA8" w:rsidP="00A5456E">
      <w:pPr>
        <w:rPr>
          <w:rFonts w:ascii="Arial" w:eastAsiaTheme="minorHAnsi" w:hAnsi="Arial" w:cs="Arial"/>
          <w:sz w:val="22"/>
          <w:szCs w:val="22"/>
          <w:lang w:eastAsia="en-US"/>
        </w:rPr>
      </w:pPr>
    </w:p>
    <w:p w:rsidR="00BD1FA8" w:rsidRPr="00397799" w:rsidRDefault="00BD1FA8" w:rsidP="00397799">
      <w:pPr>
        <w:pStyle w:val="ListParagraph"/>
        <w:numPr>
          <w:ilvl w:val="0"/>
          <w:numId w:val="35"/>
        </w:numPr>
        <w:rPr>
          <w:rFonts w:eastAsiaTheme="minorHAnsi" w:cs="Arial"/>
          <w:szCs w:val="22"/>
          <w:lang w:eastAsia="en-US"/>
        </w:rPr>
      </w:pPr>
      <w:r w:rsidRPr="00397799">
        <w:rPr>
          <w:rFonts w:eastAsiaTheme="minorHAnsi" w:cs="Arial"/>
          <w:szCs w:val="22"/>
          <w:lang w:eastAsia="en-US"/>
        </w:rPr>
        <w:t xml:space="preserve">We will then before September 2018 write to schools to advise of final bandings for each pupil and the value of those bands. </w:t>
      </w:r>
    </w:p>
    <w:p w:rsidR="00BD1FA8" w:rsidRDefault="00BD1FA8" w:rsidP="00A5456E">
      <w:pPr>
        <w:rPr>
          <w:rFonts w:ascii="Arial" w:eastAsiaTheme="minorHAnsi" w:hAnsi="Arial" w:cs="Arial"/>
          <w:sz w:val="22"/>
          <w:szCs w:val="22"/>
          <w:lang w:eastAsia="en-US"/>
        </w:rPr>
      </w:pPr>
    </w:p>
    <w:p w:rsidR="00BD1FA8" w:rsidRDefault="00BD1FA8" w:rsidP="00A5456E">
      <w:pPr>
        <w:rPr>
          <w:rFonts w:ascii="Arial" w:eastAsiaTheme="minorHAnsi" w:hAnsi="Arial" w:cs="Arial"/>
          <w:b/>
          <w:sz w:val="22"/>
          <w:szCs w:val="22"/>
          <w:lang w:eastAsia="en-US"/>
        </w:rPr>
      </w:pPr>
      <w:r w:rsidRPr="00BD1FA8">
        <w:rPr>
          <w:rFonts w:ascii="Arial" w:eastAsiaTheme="minorHAnsi" w:hAnsi="Arial" w:cs="Arial"/>
          <w:b/>
          <w:sz w:val="22"/>
          <w:szCs w:val="22"/>
          <w:lang w:eastAsia="en-US"/>
        </w:rPr>
        <w:t>Managing the transi</w:t>
      </w:r>
      <w:r w:rsidR="00B242BF">
        <w:rPr>
          <w:rFonts w:ascii="Arial" w:eastAsiaTheme="minorHAnsi" w:hAnsi="Arial" w:cs="Arial"/>
          <w:b/>
          <w:sz w:val="22"/>
          <w:szCs w:val="22"/>
          <w:lang w:eastAsia="en-US"/>
        </w:rPr>
        <w:t>tion and financial implications</w:t>
      </w:r>
      <w:bookmarkStart w:id="0" w:name="_GoBack"/>
      <w:bookmarkEnd w:id="0"/>
    </w:p>
    <w:p w:rsidR="00BD1FA8" w:rsidRDefault="00BD1FA8" w:rsidP="00A5456E">
      <w:pPr>
        <w:rPr>
          <w:rFonts w:ascii="Arial" w:eastAsiaTheme="minorHAnsi" w:hAnsi="Arial" w:cs="Arial"/>
          <w:b/>
          <w:sz w:val="22"/>
          <w:szCs w:val="22"/>
          <w:lang w:eastAsia="en-US"/>
        </w:rPr>
      </w:pPr>
    </w:p>
    <w:p w:rsidR="00BD1FA8" w:rsidRDefault="00BD1FA8" w:rsidP="00A5456E">
      <w:pPr>
        <w:rPr>
          <w:rFonts w:ascii="Arial" w:eastAsiaTheme="minorHAnsi" w:hAnsi="Arial" w:cs="Arial"/>
          <w:sz w:val="22"/>
          <w:szCs w:val="22"/>
          <w:lang w:eastAsia="en-US"/>
        </w:rPr>
      </w:pPr>
      <w:r w:rsidRPr="00BD1FA8">
        <w:rPr>
          <w:rFonts w:ascii="Arial" w:eastAsiaTheme="minorHAnsi" w:hAnsi="Arial" w:cs="Arial"/>
          <w:sz w:val="22"/>
          <w:szCs w:val="22"/>
          <w:lang w:eastAsia="en-US"/>
        </w:rPr>
        <w:t>3.</w:t>
      </w:r>
      <w:r w:rsidR="00CE5BBB">
        <w:rPr>
          <w:rFonts w:ascii="Arial" w:eastAsiaTheme="minorHAnsi" w:hAnsi="Arial" w:cs="Arial"/>
          <w:sz w:val="22"/>
          <w:szCs w:val="22"/>
          <w:lang w:eastAsia="en-US"/>
        </w:rPr>
        <w:t>4</w:t>
      </w:r>
      <w:r>
        <w:rPr>
          <w:rFonts w:ascii="Arial" w:eastAsiaTheme="minorHAnsi" w:hAnsi="Arial" w:cs="Arial"/>
          <w:sz w:val="22"/>
          <w:szCs w:val="22"/>
          <w:lang w:eastAsia="en-US"/>
        </w:rPr>
        <w:t xml:space="preserve"> The re-banding exercise as previously advised could mean that the level of funding for each individual setting school or college could increase or reduce. The group was keen to ensure that scho</w:t>
      </w:r>
      <w:r w:rsidR="00D7139A">
        <w:rPr>
          <w:rFonts w:ascii="Arial" w:eastAsiaTheme="minorHAnsi" w:hAnsi="Arial" w:cs="Arial"/>
          <w:sz w:val="22"/>
          <w:szCs w:val="22"/>
          <w:lang w:eastAsia="en-US"/>
        </w:rPr>
        <w:t>ols were supported to manage</w:t>
      </w:r>
      <w:r>
        <w:rPr>
          <w:rFonts w:ascii="Arial" w:eastAsiaTheme="minorHAnsi" w:hAnsi="Arial" w:cs="Arial"/>
          <w:sz w:val="22"/>
          <w:szCs w:val="22"/>
          <w:lang w:eastAsia="en-US"/>
        </w:rPr>
        <w:t xml:space="preserve"> any financial transitional arrangements </w:t>
      </w:r>
      <w:r w:rsidR="00D7139A">
        <w:rPr>
          <w:rFonts w:ascii="Arial" w:eastAsiaTheme="minorHAnsi" w:hAnsi="Arial" w:cs="Arial"/>
          <w:sz w:val="22"/>
          <w:szCs w:val="22"/>
          <w:lang w:eastAsia="en-US"/>
        </w:rPr>
        <w:t>so they were not adversely affected for an interim period. The group therefore proposes the following arrangements;</w:t>
      </w:r>
    </w:p>
    <w:p w:rsidR="00D7139A" w:rsidRDefault="00D7139A" w:rsidP="00A5456E">
      <w:pPr>
        <w:rPr>
          <w:rFonts w:ascii="Arial" w:eastAsiaTheme="minorHAnsi" w:hAnsi="Arial" w:cs="Arial"/>
          <w:sz w:val="22"/>
          <w:szCs w:val="22"/>
          <w:lang w:eastAsia="en-US"/>
        </w:rPr>
      </w:pPr>
    </w:p>
    <w:p w:rsidR="00D7139A" w:rsidRDefault="00D7139A" w:rsidP="00A5456E">
      <w:pPr>
        <w:rPr>
          <w:rFonts w:ascii="Arial" w:eastAsiaTheme="minorHAnsi" w:hAnsi="Arial" w:cs="Arial"/>
          <w:sz w:val="22"/>
          <w:szCs w:val="22"/>
          <w:lang w:eastAsia="en-US"/>
        </w:rPr>
      </w:pPr>
    </w:p>
    <w:p w:rsidR="00D7139A" w:rsidRDefault="00D7139A" w:rsidP="00D7139A">
      <w:pPr>
        <w:pStyle w:val="ListParagraph"/>
        <w:numPr>
          <w:ilvl w:val="0"/>
          <w:numId w:val="34"/>
        </w:numPr>
        <w:rPr>
          <w:rFonts w:eastAsiaTheme="minorHAnsi" w:cs="Arial"/>
          <w:szCs w:val="22"/>
          <w:lang w:eastAsia="en-US"/>
        </w:rPr>
      </w:pPr>
      <w:r>
        <w:rPr>
          <w:rFonts w:eastAsiaTheme="minorHAnsi" w:cs="Arial"/>
          <w:szCs w:val="22"/>
          <w:lang w:eastAsia="en-US"/>
        </w:rPr>
        <w:t>The Local Authority will apply the new bandings to only new EHCPs that are issued from September 2018.</w:t>
      </w:r>
    </w:p>
    <w:p w:rsidR="00C009CB" w:rsidRPr="00D7139A" w:rsidRDefault="00C009CB" w:rsidP="00C009CB">
      <w:pPr>
        <w:pStyle w:val="ListParagraph"/>
        <w:rPr>
          <w:rFonts w:eastAsiaTheme="minorHAnsi" w:cs="Arial"/>
          <w:szCs w:val="22"/>
          <w:lang w:eastAsia="en-US"/>
        </w:rPr>
      </w:pPr>
    </w:p>
    <w:p w:rsidR="00D7139A" w:rsidRDefault="00D7139A" w:rsidP="00D7139A">
      <w:pPr>
        <w:pStyle w:val="ListParagraph"/>
        <w:numPr>
          <w:ilvl w:val="0"/>
          <w:numId w:val="34"/>
        </w:numPr>
        <w:rPr>
          <w:rFonts w:eastAsiaTheme="minorHAnsi" w:cs="Arial"/>
          <w:szCs w:val="22"/>
          <w:lang w:eastAsia="en-US"/>
        </w:rPr>
      </w:pPr>
      <w:r>
        <w:rPr>
          <w:rFonts w:eastAsiaTheme="minorHAnsi" w:cs="Arial"/>
          <w:szCs w:val="22"/>
          <w:lang w:eastAsia="en-US"/>
        </w:rPr>
        <w:t xml:space="preserve">The Local Authority will run a shadow financial year between September 2018 &amp; </w:t>
      </w:r>
      <w:r w:rsidR="000C3922" w:rsidRPr="000558A3">
        <w:rPr>
          <w:rFonts w:eastAsiaTheme="minorHAnsi" w:cs="Arial"/>
          <w:szCs w:val="22"/>
          <w:lang w:eastAsia="en-US"/>
        </w:rPr>
        <w:t xml:space="preserve">September </w:t>
      </w:r>
      <w:r>
        <w:rPr>
          <w:rFonts w:eastAsiaTheme="minorHAnsi" w:cs="Arial"/>
          <w:szCs w:val="22"/>
          <w:lang w:eastAsia="en-US"/>
        </w:rPr>
        <w:t>2019 whereby the original financial values for all pupils with an EHCP issued before September 2018 will remain the same regardless of whether the banding exercise has increased or decreased the financial values of EHCP’s for each school. This allows a period of stability for sch</w:t>
      </w:r>
      <w:r w:rsidR="00397799">
        <w:rPr>
          <w:rFonts w:eastAsiaTheme="minorHAnsi" w:cs="Arial"/>
          <w:szCs w:val="22"/>
          <w:lang w:eastAsia="en-US"/>
        </w:rPr>
        <w:t>ools to manage their resources and</w:t>
      </w:r>
      <w:r>
        <w:rPr>
          <w:rFonts w:eastAsiaTheme="minorHAnsi" w:cs="Arial"/>
          <w:szCs w:val="22"/>
          <w:lang w:eastAsia="en-US"/>
        </w:rPr>
        <w:t xml:space="preserve"> plan ahead for any changes.</w:t>
      </w:r>
    </w:p>
    <w:p w:rsidR="00C009CB" w:rsidRPr="00C009CB" w:rsidRDefault="00C009CB" w:rsidP="00C009CB">
      <w:pPr>
        <w:rPr>
          <w:rFonts w:eastAsiaTheme="minorHAnsi" w:cs="Arial"/>
          <w:szCs w:val="22"/>
          <w:lang w:eastAsia="en-US"/>
        </w:rPr>
      </w:pPr>
    </w:p>
    <w:p w:rsidR="00D7139A" w:rsidRDefault="00D7139A" w:rsidP="00D7139A">
      <w:pPr>
        <w:pStyle w:val="ListParagraph"/>
        <w:numPr>
          <w:ilvl w:val="0"/>
          <w:numId w:val="34"/>
        </w:numPr>
        <w:rPr>
          <w:rFonts w:eastAsiaTheme="minorHAnsi" w:cs="Arial"/>
          <w:szCs w:val="22"/>
          <w:lang w:eastAsia="en-US"/>
        </w:rPr>
      </w:pPr>
      <w:r>
        <w:rPr>
          <w:rFonts w:eastAsiaTheme="minorHAnsi" w:cs="Arial"/>
          <w:szCs w:val="22"/>
          <w:lang w:eastAsia="en-US"/>
        </w:rPr>
        <w:t xml:space="preserve">That the Local Authority will work with any schools in extreme situations where there has been a significant </w:t>
      </w:r>
      <w:r w:rsidR="000558A3">
        <w:rPr>
          <w:rFonts w:eastAsiaTheme="minorHAnsi" w:cs="Arial"/>
          <w:szCs w:val="22"/>
          <w:lang w:eastAsia="en-US"/>
        </w:rPr>
        <w:t>adverse effect</w:t>
      </w:r>
      <w:r>
        <w:rPr>
          <w:rFonts w:eastAsiaTheme="minorHAnsi" w:cs="Arial"/>
          <w:szCs w:val="22"/>
          <w:lang w:eastAsia="en-US"/>
        </w:rPr>
        <w:t xml:space="preserve"> during this shadow year.</w:t>
      </w:r>
    </w:p>
    <w:p w:rsidR="00C009CB" w:rsidRPr="003147D2" w:rsidRDefault="00C009CB" w:rsidP="003147D2">
      <w:pPr>
        <w:rPr>
          <w:rFonts w:eastAsiaTheme="minorHAnsi" w:cs="Arial"/>
          <w:szCs w:val="22"/>
          <w:lang w:eastAsia="en-US"/>
        </w:rPr>
      </w:pPr>
    </w:p>
    <w:p w:rsidR="00D7139A" w:rsidRDefault="00D7139A" w:rsidP="00D7139A">
      <w:pPr>
        <w:pStyle w:val="ListParagraph"/>
        <w:numPr>
          <w:ilvl w:val="0"/>
          <w:numId w:val="34"/>
        </w:numPr>
        <w:rPr>
          <w:rFonts w:eastAsiaTheme="minorHAnsi" w:cs="Arial"/>
          <w:szCs w:val="22"/>
          <w:lang w:eastAsia="en-US"/>
        </w:rPr>
      </w:pPr>
      <w:r>
        <w:rPr>
          <w:rFonts w:eastAsiaTheme="minorHAnsi" w:cs="Arial"/>
          <w:szCs w:val="22"/>
          <w:lang w:eastAsia="en-US"/>
        </w:rPr>
        <w:t>That the new banding &amp; their financial values will be fully introduced from September 2019 for all EHCP’s issued before September 2018</w:t>
      </w:r>
    </w:p>
    <w:p w:rsidR="00E6147D" w:rsidRPr="00E6147D" w:rsidRDefault="00E6147D" w:rsidP="00E6147D">
      <w:pPr>
        <w:ind w:left="360"/>
        <w:rPr>
          <w:rFonts w:eastAsiaTheme="minorHAnsi" w:cs="Arial"/>
          <w:szCs w:val="22"/>
          <w:lang w:eastAsia="en-US"/>
        </w:rPr>
      </w:pPr>
    </w:p>
    <w:p w:rsidR="00D7139A" w:rsidRDefault="00D7139A" w:rsidP="00D7139A">
      <w:pPr>
        <w:rPr>
          <w:rFonts w:eastAsiaTheme="minorHAnsi" w:cs="Arial"/>
          <w:szCs w:val="22"/>
          <w:lang w:eastAsia="en-US"/>
        </w:rPr>
      </w:pPr>
    </w:p>
    <w:p w:rsidR="00397799" w:rsidRDefault="00397799" w:rsidP="00D7139A">
      <w:pPr>
        <w:rPr>
          <w:rFonts w:ascii="Arial" w:eastAsiaTheme="minorHAnsi" w:hAnsi="Arial" w:cs="Arial"/>
          <w:sz w:val="22"/>
          <w:szCs w:val="22"/>
          <w:lang w:eastAsia="en-US"/>
        </w:rPr>
      </w:pPr>
    </w:p>
    <w:p w:rsidR="00397799" w:rsidRDefault="00397799" w:rsidP="00D7139A">
      <w:pPr>
        <w:rPr>
          <w:rFonts w:ascii="Arial" w:eastAsiaTheme="minorHAnsi" w:hAnsi="Arial" w:cs="Arial"/>
          <w:sz w:val="22"/>
          <w:szCs w:val="22"/>
          <w:lang w:eastAsia="en-US"/>
        </w:rPr>
      </w:pPr>
    </w:p>
    <w:p w:rsidR="00397799" w:rsidRDefault="00397799" w:rsidP="00D7139A">
      <w:pPr>
        <w:rPr>
          <w:rFonts w:ascii="Arial" w:eastAsiaTheme="minorHAnsi" w:hAnsi="Arial" w:cs="Arial"/>
          <w:sz w:val="22"/>
          <w:szCs w:val="22"/>
          <w:lang w:eastAsia="en-US"/>
        </w:rPr>
      </w:pPr>
    </w:p>
    <w:p w:rsidR="00397799" w:rsidRDefault="00397799" w:rsidP="00D7139A">
      <w:pPr>
        <w:rPr>
          <w:rFonts w:ascii="Arial" w:eastAsiaTheme="minorHAnsi" w:hAnsi="Arial" w:cs="Arial"/>
          <w:sz w:val="22"/>
          <w:szCs w:val="22"/>
          <w:lang w:eastAsia="en-US"/>
        </w:rPr>
      </w:pPr>
    </w:p>
    <w:p w:rsidR="00397799" w:rsidRDefault="00397799" w:rsidP="00D7139A">
      <w:pPr>
        <w:rPr>
          <w:rFonts w:ascii="Arial" w:eastAsiaTheme="minorHAnsi" w:hAnsi="Arial" w:cs="Arial"/>
          <w:sz w:val="22"/>
          <w:szCs w:val="22"/>
          <w:lang w:eastAsia="en-US"/>
        </w:rPr>
      </w:pPr>
    </w:p>
    <w:p w:rsidR="00D7139A" w:rsidRDefault="00CE5BBB" w:rsidP="00D7139A">
      <w:pPr>
        <w:rPr>
          <w:rFonts w:ascii="Arial" w:eastAsiaTheme="minorHAnsi" w:hAnsi="Arial" w:cs="Arial"/>
          <w:sz w:val="22"/>
          <w:szCs w:val="22"/>
          <w:lang w:eastAsia="en-US"/>
        </w:rPr>
      </w:pPr>
      <w:r>
        <w:rPr>
          <w:rFonts w:ascii="Arial" w:eastAsiaTheme="minorHAnsi" w:hAnsi="Arial" w:cs="Arial"/>
          <w:sz w:val="22"/>
          <w:szCs w:val="22"/>
          <w:lang w:eastAsia="en-US"/>
        </w:rPr>
        <w:t>3.5</w:t>
      </w:r>
      <w:r w:rsidR="00E6147D" w:rsidRPr="00E6147D">
        <w:rPr>
          <w:rFonts w:ascii="Arial" w:eastAsiaTheme="minorHAnsi" w:hAnsi="Arial" w:cs="Arial"/>
          <w:sz w:val="22"/>
          <w:szCs w:val="22"/>
          <w:lang w:eastAsia="en-US"/>
        </w:rPr>
        <w:t xml:space="preserve"> A timetable for the proposed next stages of implementation is included below</w:t>
      </w:r>
      <w:r w:rsidR="00E6147D">
        <w:rPr>
          <w:rFonts w:ascii="Arial" w:eastAsiaTheme="minorHAnsi" w:hAnsi="Arial" w:cs="Arial"/>
          <w:sz w:val="22"/>
          <w:szCs w:val="22"/>
          <w:lang w:eastAsia="en-US"/>
        </w:rPr>
        <w:t>;</w:t>
      </w:r>
    </w:p>
    <w:p w:rsidR="00E6147D" w:rsidRDefault="00E6147D" w:rsidP="00D7139A">
      <w:pPr>
        <w:rPr>
          <w:rFonts w:ascii="Arial" w:eastAsiaTheme="minorHAnsi" w:hAnsi="Arial" w:cs="Arial"/>
          <w:sz w:val="22"/>
          <w:szCs w:val="22"/>
          <w:lang w:eastAsia="en-US"/>
        </w:rPr>
      </w:pPr>
    </w:p>
    <w:p w:rsidR="00E6147D" w:rsidRDefault="00E6147D" w:rsidP="00D7139A">
      <w:pPr>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526"/>
        <w:gridCol w:w="8436"/>
      </w:tblGrid>
      <w:tr w:rsidR="00E6147D" w:rsidTr="00C009CB">
        <w:tc>
          <w:tcPr>
            <w:tcW w:w="1526" w:type="dxa"/>
            <w:shd w:val="clear" w:color="auto" w:fill="D9D9D9" w:themeFill="background1" w:themeFillShade="D9"/>
          </w:tcPr>
          <w:p w:rsidR="00E6147D" w:rsidRPr="00E6147D" w:rsidRDefault="00E6147D" w:rsidP="00D7139A">
            <w:pPr>
              <w:rPr>
                <w:rFonts w:ascii="Arial" w:eastAsiaTheme="minorHAnsi" w:hAnsi="Arial" w:cs="Arial"/>
                <w:b/>
                <w:lang w:eastAsia="en-US"/>
              </w:rPr>
            </w:pPr>
            <w:r w:rsidRPr="00E6147D">
              <w:rPr>
                <w:rFonts w:ascii="Arial" w:eastAsiaTheme="minorHAnsi" w:hAnsi="Arial" w:cs="Arial"/>
                <w:b/>
                <w:lang w:eastAsia="en-US"/>
              </w:rPr>
              <w:t>Time Scale</w:t>
            </w:r>
          </w:p>
        </w:tc>
        <w:tc>
          <w:tcPr>
            <w:tcW w:w="8436" w:type="dxa"/>
            <w:shd w:val="clear" w:color="auto" w:fill="D9D9D9" w:themeFill="background1" w:themeFillShade="D9"/>
          </w:tcPr>
          <w:p w:rsidR="00E6147D" w:rsidRPr="00E6147D" w:rsidRDefault="00E6147D" w:rsidP="00D7139A">
            <w:pPr>
              <w:rPr>
                <w:rFonts w:ascii="Arial" w:eastAsiaTheme="minorHAnsi" w:hAnsi="Arial" w:cs="Arial"/>
                <w:b/>
                <w:lang w:eastAsia="en-US"/>
              </w:rPr>
            </w:pPr>
            <w:r w:rsidRPr="00E6147D">
              <w:rPr>
                <w:rFonts w:ascii="Arial" w:eastAsiaTheme="minorHAnsi" w:hAnsi="Arial" w:cs="Arial"/>
                <w:b/>
                <w:lang w:eastAsia="en-US"/>
              </w:rPr>
              <w:t>Activity</w:t>
            </w:r>
          </w:p>
        </w:tc>
      </w:tr>
      <w:tr w:rsidR="00E6147D" w:rsidTr="00E6147D">
        <w:tc>
          <w:tcPr>
            <w:tcW w:w="1526" w:type="dxa"/>
          </w:tcPr>
          <w:p w:rsidR="00E6147D" w:rsidRPr="000C3922" w:rsidRDefault="000558A3" w:rsidP="000558A3">
            <w:pPr>
              <w:rPr>
                <w:rFonts w:ascii="Arial" w:eastAsiaTheme="minorHAnsi" w:hAnsi="Arial" w:cs="Arial"/>
                <w:color w:val="FF0000"/>
                <w:lang w:eastAsia="en-US"/>
              </w:rPr>
            </w:pPr>
            <w:r>
              <w:rPr>
                <w:rFonts w:ascii="Arial" w:eastAsiaTheme="minorHAnsi" w:hAnsi="Arial" w:cs="Arial"/>
                <w:lang w:eastAsia="en-US"/>
              </w:rPr>
              <w:t xml:space="preserve">Jan 18- </w:t>
            </w:r>
          </w:p>
        </w:tc>
        <w:tc>
          <w:tcPr>
            <w:tcW w:w="8436" w:type="dxa"/>
          </w:tcPr>
          <w:p w:rsidR="00E6147D" w:rsidRDefault="00E6147D" w:rsidP="00D7139A">
            <w:pPr>
              <w:rPr>
                <w:rFonts w:ascii="Arial" w:eastAsiaTheme="minorHAnsi" w:hAnsi="Arial" w:cs="Arial"/>
                <w:lang w:eastAsia="en-US"/>
              </w:rPr>
            </w:pPr>
            <w:r>
              <w:rPr>
                <w:rFonts w:ascii="Arial" w:eastAsiaTheme="minorHAnsi" w:hAnsi="Arial" w:cs="Arial"/>
                <w:lang w:eastAsia="en-US"/>
              </w:rPr>
              <w:t>Call for Evidence – the LA will write to all schools to advise of the draft bandings for pupils with EHCP’s</w:t>
            </w:r>
            <w:r w:rsidR="00397799">
              <w:rPr>
                <w:rFonts w:ascii="Arial" w:eastAsiaTheme="minorHAnsi" w:hAnsi="Arial" w:cs="Arial"/>
                <w:lang w:eastAsia="en-US"/>
              </w:rPr>
              <w:t xml:space="preserve"> &amp; issues advic</w:t>
            </w:r>
            <w:r>
              <w:rPr>
                <w:rFonts w:ascii="Arial" w:eastAsiaTheme="minorHAnsi" w:hAnsi="Arial" w:cs="Arial"/>
                <w:lang w:eastAsia="en-US"/>
              </w:rPr>
              <w:t>e on how to submit evidence</w:t>
            </w:r>
            <w:r w:rsidR="00C009CB">
              <w:rPr>
                <w:rFonts w:ascii="Arial" w:eastAsiaTheme="minorHAnsi" w:hAnsi="Arial" w:cs="Arial"/>
                <w:lang w:eastAsia="en-US"/>
              </w:rPr>
              <w:t>.</w:t>
            </w:r>
          </w:p>
          <w:p w:rsidR="00C009CB" w:rsidRDefault="00C009CB" w:rsidP="00D7139A">
            <w:pPr>
              <w:rPr>
                <w:rFonts w:ascii="Arial" w:eastAsiaTheme="minorHAnsi" w:hAnsi="Arial" w:cs="Arial"/>
                <w:lang w:eastAsia="en-US"/>
              </w:rPr>
            </w:pPr>
          </w:p>
        </w:tc>
      </w:tr>
      <w:tr w:rsidR="00E6147D" w:rsidTr="00E6147D">
        <w:tc>
          <w:tcPr>
            <w:tcW w:w="1526" w:type="dxa"/>
          </w:tcPr>
          <w:p w:rsidR="00E6147D" w:rsidRDefault="00E6147D" w:rsidP="00D7139A">
            <w:pPr>
              <w:rPr>
                <w:rFonts w:ascii="Arial" w:eastAsiaTheme="minorHAnsi" w:hAnsi="Arial" w:cs="Arial"/>
                <w:lang w:eastAsia="en-US"/>
              </w:rPr>
            </w:pPr>
            <w:r>
              <w:rPr>
                <w:rFonts w:ascii="Arial" w:eastAsiaTheme="minorHAnsi" w:hAnsi="Arial" w:cs="Arial"/>
                <w:lang w:eastAsia="en-US"/>
              </w:rPr>
              <w:t>Jan 18 – March 18</w:t>
            </w:r>
          </w:p>
        </w:tc>
        <w:tc>
          <w:tcPr>
            <w:tcW w:w="8436" w:type="dxa"/>
          </w:tcPr>
          <w:p w:rsidR="00E6147D" w:rsidRDefault="000C3922" w:rsidP="00D7139A">
            <w:pPr>
              <w:rPr>
                <w:rFonts w:ascii="Arial" w:eastAsiaTheme="minorHAnsi" w:hAnsi="Arial" w:cs="Arial"/>
                <w:lang w:eastAsia="en-US"/>
              </w:rPr>
            </w:pPr>
            <w:r>
              <w:rPr>
                <w:rFonts w:ascii="Arial" w:eastAsiaTheme="minorHAnsi" w:hAnsi="Arial" w:cs="Arial"/>
                <w:lang w:eastAsia="en-US"/>
              </w:rPr>
              <w:t>Schools have the opportunity to</w:t>
            </w:r>
            <w:r w:rsidR="00E6147D">
              <w:rPr>
                <w:rFonts w:ascii="Arial" w:eastAsiaTheme="minorHAnsi" w:hAnsi="Arial" w:cs="Arial"/>
                <w:lang w:eastAsia="en-US"/>
              </w:rPr>
              <w:t xml:space="preserve"> consider the bandings and if the</w:t>
            </w:r>
            <w:r>
              <w:rPr>
                <w:rFonts w:ascii="Arial" w:eastAsiaTheme="minorHAnsi" w:hAnsi="Arial" w:cs="Arial"/>
                <w:lang w:eastAsia="en-US"/>
              </w:rPr>
              <w:t>y</w:t>
            </w:r>
            <w:r w:rsidR="00E6147D">
              <w:rPr>
                <w:rFonts w:ascii="Arial" w:eastAsiaTheme="minorHAnsi" w:hAnsi="Arial" w:cs="Arial"/>
                <w:lang w:eastAsia="en-US"/>
              </w:rPr>
              <w:t xml:space="preserve"> accurately describe pupil needs &amp; submit additional evidence</w:t>
            </w:r>
            <w:r w:rsidR="00397799">
              <w:rPr>
                <w:rFonts w:ascii="Arial" w:eastAsiaTheme="minorHAnsi" w:hAnsi="Arial" w:cs="Arial"/>
                <w:lang w:eastAsia="en-US"/>
              </w:rPr>
              <w:t xml:space="preserve"> if needed</w:t>
            </w:r>
          </w:p>
          <w:p w:rsidR="00C009CB" w:rsidRDefault="00C009CB" w:rsidP="00D7139A">
            <w:pPr>
              <w:rPr>
                <w:rFonts w:ascii="Arial" w:eastAsiaTheme="minorHAnsi" w:hAnsi="Arial" w:cs="Arial"/>
                <w:lang w:eastAsia="en-US"/>
              </w:rPr>
            </w:pPr>
          </w:p>
        </w:tc>
      </w:tr>
      <w:tr w:rsidR="00E6147D" w:rsidTr="00E6147D">
        <w:tc>
          <w:tcPr>
            <w:tcW w:w="1526" w:type="dxa"/>
          </w:tcPr>
          <w:p w:rsidR="00E6147D" w:rsidRDefault="00E6147D" w:rsidP="00D7139A">
            <w:pPr>
              <w:rPr>
                <w:rFonts w:ascii="Arial" w:eastAsiaTheme="minorHAnsi" w:hAnsi="Arial" w:cs="Arial"/>
                <w:lang w:eastAsia="en-US"/>
              </w:rPr>
            </w:pPr>
            <w:r>
              <w:rPr>
                <w:rFonts w:ascii="Arial" w:eastAsiaTheme="minorHAnsi" w:hAnsi="Arial" w:cs="Arial"/>
                <w:lang w:eastAsia="en-US"/>
              </w:rPr>
              <w:t>April -  June 18</w:t>
            </w:r>
          </w:p>
        </w:tc>
        <w:tc>
          <w:tcPr>
            <w:tcW w:w="8436" w:type="dxa"/>
          </w:tcPr>
          <w:p w:rsidR="00E6147D" w:rsidRDefault="00E6147D" w:rsidP="00D7139A">
            <w:pPr>
              <w:rPr>
                <w:rFonts w:ascii="Arial" w:eastAsiaTheme="minorHAnsi" w:hAnsi="Arial" w:cs="Arial"/>
                <w:lang w:eastAsia="en-US"/>
              </w:rPr>
            </w:pPr>
            <w:r>
              <w:rPr>
                <w:rFonts w:ascii="Arial" w:eastAsiaTheme="minorHAnsi" w:hAnsi="Arial" w:cs="Arial"/>
                <w:lang w:eastAsia="en-US"/>
              </w:rPr>
              <w:t>The LA will organise panel days &amp; i</w:t>
            </w:r>
            <w:r w:rsidR="000C3922">
              <w:rPr>
                <w:rFonts w:ascii="Arial" w:eastAsiaTheme="minorHAnsi" w:hAnsi="Arial" w:cs="Arial"/>
                <w:lang w:eastAsia="en-US"/>
              </w:rPr>
              <w:t>nvite schools reps</w:t>
            </w:r>
            <w:r>
              <w:rPr>
                <w:rFonts w:ascii="Arial" w:eastAsiaTheme="minorHAnsi" w:hAnsi="Arial" w:cs="Arial"/>
                <w:lang w:eastAsia="en-US"/>
              </w:rPr>
              <w:t xml:space="preserve"> to consider new evidence against </w:t>
            </w:r>
            <w:r w:rsidR="000C3922">
              <w:rPr>
                <w:rFonts w:ascii="Arial" w:eastAsiaTheme="minorHAnsi" w:hAnsi="Arial" w:cs="Arial"/>
                <w:lang w:eastAsia="en-US"/>
              </w:rPr>
              <w:t>banding descriptors.</w:t>
            </w:r>
          </w:p>
          <w:p w:rsidR="00C009CB" w:rsidRDefault="00C009CB" w:rsidP="00D7139A">
            <w:pPr>
              <w:rPr>
                <w:rFonts w:ascii="Arial" w:eastAsiaTheme="minorHAnsi" w:hAnsi="Arial" w:cs="Arial"/>
                <w:lang w:eastAsia="en-US"/>
              </w:rPr>
            </w:pPr>
          </w:p>
        </w:tc>
      </w:tr>
      <w:tr w:rsidR="00E6147D" w:rsidTr="00E6147D">
        <w:tc>
          <w:tcPr>
            <w:tcW w:w="1526" w:type="dxa"/>
          </w:tcPr>
          <w:p w:rsidR="00E6147D" w:rsidRDefault="00E6147D" w:rsidP="00D7139A">
            <w:pPr>
              <w:rPr>
                <w:rFonts w:ascii="Arial" w:eastAsiaTheme="minorHAnsi" w:hAnsi="Arial" w:cs="Arial"/>
                <w:lang w:eastAsia="en-US"/>
              </w:rPr>
            </w:pPr>
            <w:r>
              <w:rPr>
                <w:rFonts w:ascii="Arial" w:eastAsiaTheme="minorHAnsi" w:hAnsi="Arial" w:cs="Arial"/>
                <w:lang w:eastAsia="en-US"/>
              </w:rPr>
              <w:t>June – July 18</w:t>
            </w:r>
          </w:p>
        </w:tc>
        <w:tc>
          <w:tcPr>
            <w:tcW w:w="8436" w:type="dxa"/>
          </w:tcPr>
          <w:p w:rsidR="00E6147D" w:rsidRDefault="00E6147D" w:rsidP="00D7139A">
            <w:pPr>
              <w:rPr>
                <w:rFonts w:ascii="Arial" w:eastAsiaTheme="minorHAnsi" w:hAnsi="Arial" w:cs="Arial"/>
                <w:lang w:eastAsia="en-US"/>
              </w:rPr>
            </w:pPr>
            <w:r>
              <w:rPr>
                <w:rFonts w:ascii="Arial" w:eastAsiaTheme="minorHAnsi" w:hAnsi="Arial" w:cs="Arial"/>
                <w:lang w:eastAsia="en-US"/>
              </w:rPr>
              <w:t>The LA will advise all schools of all final allocated bands &amp; the financial values of each band</w:t>
            </w:r>
            <w:r w:rsidR="00C009CB">
              <w:rPr>
                <w:rFonts w:ascii="Arial" w:eastAsiaTheme="minorHAnsi" w:hAnsi="Arial" w:cs="Arial"/>
                <w:lang w:eastAsia="en-US"/>
              </w:rPr>
              <w:t>.</w:t>
            </w:r>
          </w:p>
          <w:p w:rsidR="00C009CB" w:rsidRDefault="00C009CB" w:rsidP="00D7139A">
            <w:pPr>
              <w:rPr>
                <w:rFonts w:ascii="Arial" w:eastAsiaTheme="minorHAnsi" w:hAnsi="Arial" w:cs="Arial"/>
                <w:lang w:eastAsia="en-US"/>
              </w:rPr>
            </w:pPr>
          </w:p>
        </w:tc>
      </w:tr>
      <w:tr w:rsidR="00E6147D" w:rsidTr="00E6147D">
        <w:tc>
          <w:tcPr>
            <w:tcW w:w="1526" w:type="dxa"/>
          </w:tcPr>
          <w:p w:rsidR="00E6147D" w:rsidRDefault="00E6147D" w:rsidP="00D7139A">
            <w:pPr>
              <w:rPr>
                <w:rFonts w:ascii="Arial" w:eastAsiaTheme="minorHAnsi" w:hAnsi="Arial" w:cs="Arial"/>
                <w:lang w:eastAsia="en-US"/>
              </w:rPr>
            </w:pPr>
            <w:r>
              <w:rPr>
                <w:rFonts w:ascii="Arial" w:eastAsiaTheme="minorHAnsi" w:hAnsi="Arial" w:cs="Arial"/>
                <w:lang w:eastAsia="en-US"/>
              </w:rPr>
              <w:t>Sept 2018</w:t>
            </w:r>
          </w:p>
        </w:tc>
        <w:tc>
          <w:tcPr>
            <w:tcW w:w="8436" w:type="dxa"/>
          </w:tcPr>
          <w:p w:rsidR="00E6147D" w:rsidRDefault="00C009CB" w:rsidP="00D7139A">
            <w:pPr>
              <w:rPr>
                <w:rFonts w:ascii="Arial" w:eastAsiaTheme="minorHAnsi" w:hAnsi="Arial" w:cs="Arial"/>
                <w:lang w:eastAsia="en-US"/>
              </w:rPr>
            </w:pPr>
            <w:r>
              <w:rPr>
                <w:rFonts w:ascii="Arial" w:eastAsiaTheme="minorHAnsi" w:hAnsi="Arial" w:cs="Arial"/>
                <w:lang w:eastAsia="en-US"/>
              </w:rPr>
              <w:t xml:space="preserve">Any new EHCP issued from Sept 18 onwards will have the new </w:t>
            </w:r>
            <w:r w:rsidR="00A04DA1" w:rsidRPr="000558A3">
              <w:rPr>
                <w:rFonts w:ascii="Arial" w:eastAsiaTheme="minorHAnsi" w:hAnsi="Arial" w:cs="Arial"/>
                <w:lang w:eastAsia="en-US"/>
              </w:rPr>
              <w:t xml:space="preserve">financial </w:t>
            </w:r>
            <w:r>
              <w:rPr>
                <w:rFonts w:ascii="Arial" w:eastAsiaTheme="minorHAnsi" w:hAnsi="Arial" w:cs="Arial"/>
                <w:lang w:eastAsia="en-US"/>
              </w:rPr>
              <w:t>banding arrangements applied.</w:t>
            </w:r>
          </w:p>
          <w:p w:rsidR="00C009CB" w:rsidRDefault="00C009CB" w:rsidP="00D7139A">
            <w:pPr>
              <w:rPr>
                <w:rFonts w:ascii="Arial" w:eastAsiaTheme="minorHAnsi" w:hAnsi="Arial" w:cs="Arial"/>
                <w:lang w:eastAsia="en-US"/>
              </w:rPr>
            </w:pPr>
          </w:p>
        </w:tc>
      </w:tr>
      <w:tr w:rsidR="00C009CB" w:rsidTr="00E6147D">
        <w:tc>
          <w:tcPr>
            <w:tcW w:w="1526" w:type="dxa"/>
          </w:tcPr>
          <w:p w:rsidR="00C009CB" w:rsidRDefault="00C009CB" w:rsidP="00D7139A">
            <w:pPr>
              <w:rPr>
                <w:rFonts w:ascii="Arial" w:eastAsiaTheme="minorHAnsi" w:hAnsi="Arial" w:cs="Arial"/>
                <w:lang w:eastAsia="en-US"/>
              </w:rPr>
            </w:pPr>
            <w:r>
              <w:rPr>
                <w:rFonts w:ascii="Arial" w:eastAsiaTheme="minorHAnsi" w:hAnsi="Arial" w:cs="Arial"/>
                <w:lang w:eastAsia="en-US"/>
              </w:rPr>
              <w:t>Sept 18 – Sept 19</w:t>
            </w:r>
          </w:p>
        </w:tc>
        <w:tc>
          <w:tcPr>
            <w:tcW w:w="8436" w:type="dxa"/>
          </w:tcPr>
          <w:p w:rsidR="00C009CB" w:rsidRDefault="00C009CB" w:rsidP="00D7139A">
            <w:pPr>
              <w:rPr>
                <w:rFonts w:ascii="Arial" w:eastAsiaTheme="minorHAnsi" w:hAnsi="Arial" w:cs="Arial"/>
                <w:lang w:eastAsia="en-US"/>
              </w:rPr>
            </w:pPr>
            <w:r>
              <w:rPr>
                <w:rFonts w:ascii="Arial" w:eastAsiaTheme="minorHAnsi" w:hAnsi="Arial" w:cs="Arial"/>
                <w:lang w:eastAsia="en-US"/>
              </w:rPr>
              <w:t>Shadow Year – The LA will ensure for one full academic year that the financial values for each school regardless of any increase or decrease in financial value for EHCPs will remain the same for all EHCP’s issued before Sept 18. During this year the LA will work to support any schools significantly affected by banding changes to manage any extreme changes.</w:t>
            </w:r>
          </w:p>
          <w:p w:rsidR="00C009CB" w:rsidRDefault="00C009CB" w:rsidP="00D7139A">
            <w:pPr>
              <w:rPr>
                <w:rFonts w:ascii="Arial" w:eastAsiaTheme="minorHAnsi" w:hAnsi="Arial" w:cs="Arial"/>
                <w:lang w:eastAsia="en-US"/>
              </w:rPr>
            </w:pPr>
          </w:p>
        </w:tc>
      </w:tr>
      <w:tr w:rsidR="00C009CB" w:rsidTr="00E6147D">
        <w:tc>
          <w:tcPr>
            <w:tcW w:w="1526" w:type="dxa"/>
          </w:tcPr>
          <w:p w:rsidR="00C009CB" w:rsidRDefault="00C009CB" w:rsidP="00D7139A">
            <w:pPr>
              <w:rPr>
                <w:rFonts w:ascii="Arial" w:eastAsiaTheme="minorHAnsi" w:hAnsi="Arial" w:cs="Arial"/>
                <w:lang w:eastAsia="en-US"/>
              </w:rPr>
            </w:pPr>
            <w:r>
              <w:rPr>
                <w:rFonts w:ascii="Arial" w:eastAsiaTheme="minorHAnsi" w:hAnsi="Arial" w:cs="Arial"/>
                <w:lang w:eastAsia="en-US"/>
              </w:rPr>
              <w:t>Sept 2019 onwards</w:t>
            </w:r>
          </w:p>
        </w:tc>
        <w:tc>
          <w:tcPr>
            <w:tcW w:w="8436" w:type="dxa"/>
          </w:tcPr>
          <w:p w:rsidR="00C009CB" w:rsidRDefault="00C009CB" w:rsidP="00D7139A">
            <w:pPr>
              <w:rPr>
                <w:rFonts w:ascii="Arial" w:eastAsiaTheme="minorHAnsi" w:hAnsi="Arial" w:cs="Arial"/>
                <w:lang w:eastAsia="en-US"/>
              </w:rPr>
            </w:pPr>
            <w:r>
              <w:rPr>
                <w:rFonts w:ascii="Arial" w:eastAsiaTheme="minorHAnsi" w:hAnsi="Arial" w:cs="Arial"/>
                <w:lang w:eastAsia="en-US"/>
              </w:rPr>
              <w:t>New banding changes fully implemented for all EHCP’s</w:t>
            </w:r>
          </w:p>
        </w:tc>
      </w:tr>
    </w:tbl>
    <w:p w:rsidR="00E6147D" w:rsidRPr="00E6147D" w:rsidRDefault="00E6147D" w:rsidP="00D7139A">
      <w:pPr>
        <w:rPr>
          <w:rFonts w:ascii="Arial" w:eastAsiaTheme="minorHAnsi" w:hAnsi="Arial" w:cs="Arial"/>
          <w:sz w:val="22"/>
          <w:szCs w:val="22"/>
          <w:lang w:eastAsia="en-US"/>
        </w:rPr>
      </w:pPr>
    </w:p>
    <w:p w:rsidR="00D7139A" w:rsidRDefault="00D7139A" w:rsidP="00D7139A">
      <w:pPr>
        <w:rPr>
          <w:rFonts w:eastAsiaTheme="minorHAnsi" w:cs="Arial"/>
          <w:szCs w:val="22"/>
          <w:lang w:eastAsia="en-US"/>
        </w:rPr>
      </w:pPr>
    </w:p>
    <w:p w:rsidR="00D7139A" w:rsidRDefault="00C009CB" w:rsidP="00D7139A">
      <w:pPr>
        <w:rPr>
          <w:rFonts w:ascii="Arial" w:eastAsiaTheme="minorHAnsi" w:hAnsi="Arial" w:cs="Arial"/>
          <w:sz w:val="22"/>
          <w:szCs w:val="22"/>
          <w:lang w:eastAsia="en-US"/>
        </w:rPr>
      </w:pPr>
      <w:r w:rsidRPr="00C009CB">
        <w:rPr>
          <w:rFonts w:ascii="Arial" w:eastAsiaTheme="minorHAnsi" w:hAnsi="Arial" w:cs="Arial"/>
          <w:sz w:val="22"/>
          <w:szCs w:val="22"/>
          <w:lang w:eastAsia="en-US"/>
        </w:rPr>
        <w:t xml:space="preserve">3.9 Schools Forum is advised that the total amount funding available for EHCP’s is not changing, however the Forum should note that </w:t>
      </w:r>
      <w:r>
        <w:rPr>
          <w:rFonts w:ascii="Arial" w:eastAsiaTheme="minorHAnsi" w:hAnsi="Arial" w:cs="Arial"/>
          <w:sz w:val="22"/>
          <w:szCs w:val="22"/>
          <w:lang w:eastAsia="en-US"/>
        </w:rPr>
        <w:t xml:space="preserve">financial values for each individual school could go up or go down. Levels of need also fluctuate for pupils and the LA can re-consider banding arrangements for any pupils via the Annual Review process. </w:t>
      </w:r>
    </w:p>
    <w:p w:rsidR="00C009CB" w:rsidRDefault="00C009CB" w:rsidP="00D7139A">
      <w:pPr>
        <w:rPr>
          <w:rFonts w:ascii="Arial" w:eastAsiaTheme="minorHAnsi" w:hAnsi="Arial" w:cs="Arial"/>
          <w:sz w:val="22"/>
          <w:szCs w:val="22"/>
          <w:lang w:eastAsia="en-US"/>
        </w:rPr>
      </w:pPr>
    </w:p>
    <w:p w:rsidR="00C009CB" w:rsidRPr="00C009CB" w:rsidRDefault="00C009CB" w:rsidP="00D7139A">
      <w:pPr>
        <w:rPr>
          <w:rFonts w:ascii="Arial" w:eastAsiaTheme="minorHAnsi" w:hAnsi="Arial" w:cs="Arial"/>
          <w:sz w:val="22"/>
          <w:szCs w:val="22"/>
          <w:lang w:eastAsia="en-US"/>
        </w:rPr>
      </w:pPr>
    </w:p>
    <w:sectPr w:rsidR="00C009CB" w:rsidRPr="00C009CB" w:rsidSect="00A85F7D">
      <w:headerReference w:type="default" r:id="rId10"/>
      <w:footerReference w:type="default" r:id="rId11"/>
      <w:pgSz w:w="11906" w:h="1683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F2" w:rsidRDefault="00204DF2" w:rsidP="00362F7E">
      <w:r>
        <w:separator/>
      </w:r>
    </w:p>
  </w:endnote>
  <w:endnote w:type="continuationSeparator" w:id="0">
    <w:p w:rsidR="00204DF2" w:rsidRDefault="00204DF2"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3C5D60" w:rsidRDefault="003C5D60">
        <w:pPr>
          <w:pStyle w:val="Footer"/>
          <w:jc w:val="right"/>
        </w:pPr>
        <w:r>
          <w:fldChar w:fldCharType="begin"/>
        </w:r>
        <w:r>
          <w:instrText xml:space="preserve"> PAGE   \* MERGEFORMAT </w:instrText>
        </w:r>
        <w:r>
          <w:fldChar w:fldCharType="separate"/>
        </w:r>
        <w:r w:rsidR="00B242BF">
          <w:rPr>
            <w:noProof/>
          </w:rPr>
          <w:t>2</w:t>
        </w:r>
        <w:r>
          <w:rPr>
            <w:noProof/>
          </w:rPr>
          <w:fldChar w:fldCharType="end"/>
        </w:r>
      </w:p>
    </w:sdtContent>
  </w:sdt>
  <w:p w:rsidR="003C5D60" w:rsidRPr="00A85F7D" w:rsidRDefault="003C5D60">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F2" w:rsidRDefault="00204DF2" w:rsidP="00362F7E">
      <w:r>
        <w:separator/>
      </w:r>
    </w:p>
  </w:footnote>
  <w:footnote w:type="continuationSeparator" w:id="0">
    <w:p w:rsidR="00204DF2" w:rsidRDefault="00204DF2"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3C5D60" w:rsidRDefault="00B242B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4D38"/>
    <w:multiLevelType w:val="hybridMultilevel"/>
    <w:tmpl w:val="C26E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D4E68"/>
    <w:multiLevelType w:val="hybridMultilevel"/>
    <w:tmpl w:val="964A2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DC506D"/>
    <w:multiLevelType w:val="hybridMultilevel"/>
    <w:tmpl w:val="9546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B39E6"/>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B10F5"/>
    <w:multiLevelType w:val="hybridMultilevel"/>
    <w:tmpl w:val="6F1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3">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7">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91EF9"/>
    <w:multiLevelType w:val="hybridMultilevel"/>
    <w:tmpl w:val="BC604008"/>
    <w:lvl w:ilvl="0" w:tplc="48A682CE">
      <w:start w:val="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3">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0"/>
  </w:num>
  <w:num w:numId="4">
    <w:abstractNumId w:val="1"/>
  </w:num>
  <w:num w:numId="5">
    <w:abstractNumId w:val="21"/>
  </w:num>
  <w:num w:numId="6">
    <w:abstractNumId w:val="17"/>
  </w:num>
  <w:num w:numId="7">
    <w:abstractNumId w:val="14"/>
  </w:num>
  <w:num w:numId="8">
    <w:abstractNumId w:val="30"/>
  </w:num>
  <w:num w:numId="9">
    <w:abstractNumId w:val="13"/>
  </w:num>
  <w:num w:numId="10">
    <w:abstractNumId w:val="33"/>
  </w:num>
  <w:num w:numId="11">
    <w:abstractNumId w:val="12"/>
  </w:num>
  <w:num w:numId="12">
    <w:abstractNumId w:val="1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15"/>
  </w:num>
  <w:num w:numId="17">
    <w:abstractNumId w:val="7"/>
  </w:num>
  <w:num w:numId="18">
    <w:abstractNumId w:val="27"/>
  </w:num>
  <w:num w:numId="19">
    <w:abstractNumId w:val="31"/>
  </w:num>
  <w:num w:numId="20">
    <w:abstractNumId w:val="2"/>
  </w:num>
  <w:num w:numId="21">
    <w:abstractNumId w:val="25"/>
  </w:num>
  <w:num w:numId="22">
    <w:abstractNumId w:val="5"/>
  </w:num>
  <w:num w:numId="23">
    <w:abstractNumId w:val="22"/>
  </w:num>
  <w:num w:numId="24">
    <w:abstractNumId w:val="26"/>
  </w:num>
  <w:num w:numId="25">
    <w:abstractNumId w:val="29"/>
  </w:num>
  <w:num w:numId="26">
    <w:abstractNumId w:val="32"/>
  </w:num>
  <w:num w:numId="27">
    <w:abstractNumId w:val="18"/>
  </w:num>
  <w:num w:numId="28">
    <w:abstractNumId w:val="3"/>
  </w:num>
  <w:num w:numId="29">
    <w:abstractNumId w:val="11"/>
  </w:num>
  <w:num w:numId="30">
    <w:abstractNumId w:val="9"/>
  </w:num>
  <w:num w:numId="31">
    <w:abstractNumId w:val="4"/>
  </w:num>
  <w:num w:numId="32">
    <w:abstractNumId w:val="6"/>
  </w:num>
  <w:num w:numId="33">
    <w:abstractNumId w:val="16"/>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35C6D"/>
    <w:rsid w:val="00046D9A"/>
    <w:rsid w:val="000529AB"/>
    <w:rsid w:val="0005335C"/>
    <w:rsid w:val="000558A3"/>
    <w:rsid w:val="00072B65"/>
    <w:rsid w:val="00074C7B"/>
    <w:rsid w:val="000A0B56"/>
    <w:rsid w:val="000C3922"/>
    <w:rsid w:val="000E75B5"/>
    <w:rsid w:val="000F4DB3"/>
    <w:rsid w:val="001171C1"/>
    <w:rsid w:val="00125D8A"/>
    <w:rsid w:val="00130B40"/>
    <w:rsid w:val="0013406C"/>
    <w:rsid w:val="001502D3"/>
    <w:rsid w:val="00151A18"/>
    <w:rsid w:val="00167C02"/>
    <w:rsid w:val="001711D3"/>
    <w:rsid w:val="001728D0"/>
    <w:rsid w:val="001863EA"/>
    <w:rsid w:val="00204DF2"/>
    <w:rsid w:val="00215753"/>
    <w:rsid w:val="002316F9"/>
    <w:rsid w:val="00234F59"/>
    <w:rsid w:val="002635D8"/>
    <w:rsid w:val="002702BC"/>
    <w:rsid w:val="0027051C"/>
    <w:rsid w:val="00282FB8"/>
    <w:rsid w:val="00293E54"/>
    <w:rsid w:val="00293EFE"/>
    <w:rsid w:val="002B2AA2"/>
    <w:rsid w:val="002C05E7"/>
    <w:rsid w:val="002C48EA"/>
    <w:rsid w:val="002D3CED"/>
    <w:rsid w:val="002E2169"/>
    <w:rsid w:val="002E49C9"/>
    <w:rsid w:val="002F4043"/>
    <w:rsid w:val="002F7311"/>
    <w:rsid w:val="003147D2"/>
    <w:rsid w:val="0032697E"/>
    <w:rsid w:val="003302F9"/>
    <w:rsid w:val="0034683E"/>
    <w:rsid w:val="00351B31"/>
    <w:rsid w:val="00362F7E"/>
    <w:rsid w:val="00373579"/>
    <w:rsid w:val="00381C45"/>
    <w:rsid w:val="00396C43"/>
    <w:rsid w:val="00397799"/>
    <w:rsid w:val="003C5C7C"/>
    <w:rsid w:val="003C5D60"/>
    <w:rsid w:val="003D0DFE"/>
    <w:rsid w:val="003E01B0"/>
    <w:rsid w:val="003E19D9"/>
    <w:rsid w:val="003F76B5"/>
    <w:rsid w:val="004028E5"/>
    <w:rsid w:val="00402F32"/>
    <w:rsid w:val="0043109D"/>
    <w:rsid w:val="0046568F"/>
    <w:rsid w:val="004719A5"/>
    <w:rsid w:val="0047550D"/>
    <w:rsid w:val="00487BFB"/>
    <w:rsid w:val="00491751"/>
    <w:rsid w:val="0049765A"/>
    <w:rsid w:val="004B0DA1"/>
    <w:rsid w:val="004C15E1"/>
    <w:rsid w:val="00511F8D"/>
    <w:rsid w:val="0052655B"/>
    <w:rsid w:val="00531D0E"/>
    <w:rsid w:val="005419EA"/>
    <w:rsid w:val="00541B01"/>
    <w:rsid w:val="00556DB5"/>
    <w:rsid w:val="00581CCE"/>
    <w:rsid w:val="005A6171"/>
    <w:rsid w:val="005A6ADC"/>
    <w:rsid w:val="005A6C4D"/>
    <w:rsid w:val="005B28F4"/>
    <w:rsid w:val="005C34DC"/>
    <w:rsid w:val="005D4F0E"/>
    <w:rsid w:val="005D7967"/>
    <w:rsid w:val="005E2AD1"/>
    <w:rsid w:val="005F718E"/>
    <w:rsid w:val="006039EB"/>
    <w:rsid w:val="006122D0"/>
    <w:rsid w:val="00613230"/>
    <w:rsid w:val="00633667"/>
    <w:rsid w:val="00634030"/>
    <w:rsid w:val="00634513"/>
    <w:rsid w:val="00634915"/>
    <w:rsid w:val="006369B8"/>
    <w:rsid w:val="00636C98"/>
    <w:rsid w:val="00645989"/>
    <w:rsid w:val="00685BF9"/>
    <w:rsid w:val="006A33C1"/>
    <w:rsid w:val="006B0A37"/>
    <w:rsid w:val="006B1B35"/>
    <w:rsid w:val="006B531F"/>
    <w:rsid w:val="006F327A"/>
    <w:rsid w:val="006F37D1"/>
    <w:rsid w:val="006F65FA"/>
    <w:rsid w:val="007160A3"/>
    <w:rsid w:val="0073534D"/>
    <w:rsid w:val="007473B9"/>
    <w:rsid w:val="007713A8"/>
    <w:rsid w:val="007839DB"/>
    <w:rsid w:val="007870FB"/>
    <w:rsid w:val="007B0465"/>
    <w:rsid w:val="007B7D47"/>
    <w:rsid w:val="007C70E9"/>
    <w:rsid w:val="007D4B2B"/>
    <w:rsid w:val="007E1DF3"/>
    <w:rsid w:val="00820FC5"/>
    <w:rsid w:val="00831D71"/>
    <w:rsid w:val="00835D06"/>
    <w:rsid w:val="008459A1"/>
    <w:rsid w:val="00853A22"/>
    <w:rsid w:val="0086410B"/>
    <w:rsid w:val="008D54FB"/>
    <w:rsid w:val="008E328E"/>
    <w:rsid w:val="008E6CEE"/>
    <w:rsid w:val="00903435"/>
    <w:rsid w:val="00912EE8"/>
    <w:rsid w:val="009230DD"/>
    <w:rsid w:val="009337DF"/>
    <w:rsid w:val="00934F40"/>
    <w:rsid w:val="009403A6"/>
    <w:rsid w:val="00952774"/>
    <w:rsid w:val="00953D3F"/>
    <w:rsid w:val="009551E4"/>
    <w:rsid w:val="00975696"/>
    <w:rsid w:val="00996741"/>
    <w:rsid w:val="009C3973"/>
    <w:rsid w:val="009E4FD5"/>
    <w:rsid w:val="00A04DA1"/>
    <w:rsid w:val="00A218C4"/>
    <w:rsid w:val="00A27788"/>
    <w:rsid w:val="00A3074D"/>
    <w:rsid w:val="00A5456E"/>
    <w:rsid w:val="00A54BF6"/>
    <w:rsid w:val="00A6308E"/>
    <w:rsid w:val="00A7282D"/>
    <w:rsid w:val="00A85F7D"/>
    <w:rsid w:val="00AC0192"/>
    <w:rsid w:val="00AC1153"/>
    <w:rsid w:val="00AC4CDB"/>
    <w:rsid w:val="00AC5A81"/>
    <w:rsid w:val="00AD5165"/>
    <w:rsid w:val="00AD765A"/>
    <w:rsid w:val="00AE727A"/>
    <w:rsid w:val="00B10243"/>
    <w:rsid w:val="00B1608E"/>
    <w:rsid w:val="00B242BF"/>
    <w:rsid w:val="00B363F9"/>
    <w:rsid w:val="00B47147"/>
    <w:rsid w:val="00B47E35"/>
    <w:rsid w:val="00B748D3"/>
    <w:rsid w:val="00B80173"/>
    <w:rsid w:val="00BA055D"/>
    <w:rsid w:val="00BA3729"/>
    <w:rsid w:val="00BC695E"/>
    <w:rsid w:val="00BD1FA8"/>
    <w:rsid w:val="00BD5AF6"/>
    <w:rsid w:val="00BF4B14"/>
    <w:rsid w:val="00C009CB"/>
    <w:rsid w:val="00C0298E"/>
    <w:rsid w:val="00C12CC1"/>
    <w:rsid w:val="00C27858"/>
    <w:rsid w:val="00C31B1B"/>
    <w:rsid w:val="00C37293"/>
    <w:rsid w:val="00C76DE9"/>
    <w:rsid w:val="00C87E3F"/>
    <w:rsid w:val="00C92D43"/>
    <w:rsid w:val="00CA685E"/>
    <w:rsid w:val="00CB08BF"/>
    <w:rsid w:val="00CB0D23"/>
    <w:rsid w:val="00CB7210"/>
    <w:rsid w:val="00CC14F9"/>
    <w:rsid w:val="00CC6833"/>
    <w:rsid w:val="00CD3F6E"/>
    <w:rsid w:val="00CE1DBE"/>
    <w:rsid w:val="00CE2D59"/>
    <w:rsid w:val="00CE5BBB"/>
    <w:rsid w:val="00CF3B17"/>
    <w:rsid w:val="00D01124"/>
    <w:rsid w:val="00D01EA9"/>
    <w:rsid w:val="00D1277C"/>
    <w:rsid w:val="00D35CA7"/>
    <w:rsid w:val="00D36DE7"/>
    <w:rsid w:val="00D4374C"/>
    <w:rsid w:val="00D47376"/>
    <w:rsid w:val="00D61590"/>
    <w:rsid w:val="00D7139A"/>
    <w:rsid w:val="00D7500E"/>
    <w:rsid w:val="00D82F03"/>
    <w:rsid w:val="00D91235"/>
    <w:rsid w:val="00D920EC"/>
    <w:rsid w:val="00DA40A1"/>
    <w:rsid w:val="00DB5EA2"/>
    <w:rsid w:val="00DB7878"/>
    <w:rsid w:val="00DD0C8F"/>
    <w:rsid w:val="00DD343C"/>
    <w:rsid w:val="00DD363F"/>
    <w:rsid w:val="00DF16BC"/>
    <w:rsid w:val="00DF3F06"/>
    <w:rsid w:val="00E10EEE"/>
    <w:rsid w:val="00E26A88"/>
    <w:rsid w:val="00E365CC"/>
    <w:rsid w:val="00E43552"/>
    <w:rsid w:val="00E457CE"/>
    <w:rsid w:val="00E6147D"/>
    <w:rsid w:val="00E82768"/>
    <w:rsid w:val="00E94328"/>
    <w:rsid w:val="00EA0603"/>
    <w:rsid w:val="00EE6667"/>
    <w:rsid w:val="00EF4BB6"/>
    <w:rsid w:val="00F1789F"/>
    <w:rsid w:val="00F26E4D"/>
    <w:rsid w:val="00F72A82"/>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1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4030"/>
    <w:rPr>
      <w:b/>
      <w:bCs/>
      <w:i w:val="0"/>
      <w:iCs w:val="0"/>
    </w:rPr>
  </w:style>
  <w:style w:type="character" w:customStyle="1" w:styleId="st1">
    <w:name w:val="st1"/>
    <w:basedOn w:val="DefaultParagraphFont"/>
    <w:rsid w:val="00634030"/>
  </w:style>
  <w:style w:type="paragraph" w:customStyle="1" w:styleId="CharChar1CharCharCharCharCharCharCharCharChar0">
    <w:name w:val="Char Char1 Char Char Char Char Char Char Char Char Char"/>
    <w:basedOn w:val="Normal"/>
    <w:rsid w:val="0037357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225192041">
      <w:bodyDiv w:val="1"/>
      <w:marLeft w:val="0"/>
      <w:marRight w:val="0"/>
      <w:marTop w:val="0"/>
      <w:marBottom w:val="0"/>
      <w:divBdr>
        <w:top w:val="none" w:sz="0" w:space="0" w:color="auto"/>
        <w:left w:val="none" w:sz="0" w:space="0" w:color="auto"/>
        <w:bottom w:val="none" w:sz="0" w:space="0" w:color="auto"/>
        <w:right w:val="none" w:sz="0" w:space="0" w:color="auto"/>
      </w:divBdr>
    </w:div>
    <w:div w:id="235558346">
      <w:bodyDiv w:val="1"/>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1743000">
      <w:bodyDiv w:val="1"/>
      <w:marLeft w:val="0"/>
      <w:marRight w:val="0"/>
      <w:marTop w:val="0"/>
      <w:marBottom w:val="0"/>
      <w:divBdr>
        <w:top w:val="none" w:sz="0" w:space="0" w:color="auto"/>
        <w:left w:val="none" w:sz="0" w:space="0" w:color="auto"/>
        <w:bottom w:val="none" w:sz="0" w:space="0" w:color="auto"/>
        <w:right w:val="none" w:sz="0" w:space="0" w:color="auto"/>
      </w:divBdr>
    </w:div>
    <w:div w:id="1832403331">
      <w:bodyDiv w:val="1"/>
      <w:marLeft w:val="0"/>
      <w:marRight w:val="0"/>
      <w:marTop w:val="0"/>
      <w:marBottom w:val="0"/>
      <w:divBdr>
        <w:top w:val="none" w:sz="0" w:space="0" w:color="auto"/>
        <w:left w:val="none" w:sz="0" w:space="0" w:color="auto"/>
        <w:bottom w:val="none" w:sz="0" w:space="0" w:color="auto"/>
        <w:right w:val="none" w:sz="0" w:space="0" w:color="auto"/>
      </w:divBdr>
    </w:div>
    <w:div w:id="1859389670">
      <w:bodyDiv w:val="1"/>
      <w:marLeft w:val="0"/>
      <w:marRight w:val="0"/>
      <w:marTop w:val="0"/>
      <w:marBottom w:val="0"/>
      <w:divBdr>
        <w:top w:val="none" w:sz="0" w:space="0" w:color="auto"/>
        <w:left w:val="none" w:sz="0" w:space="0" w:color="auto"/>
        <w:bottom w:val="none" w:sz="0" w:space="0" w:color="auto"/>
        <w:right w:val="none" w:sz="0" w:space="0" w:color="auto"/>
      </w:divBdr>
    </w:div>
    <w:div w:id="1920673105">
      <w:bodyDiv w:val="1"/>
      <w:marLeft w:val="0"/>
      <w:marRight w:val="0"/>
      <w:marTop w:val="0"/>
      <w:marBottom w:val="0"/>
      <w:divBdr>
        <w:top w:val="none" w:sz="0" w:space="0" w:color="auto"/>
        <w:left w:val="none" w:sz="0" w:space="0" w:color="auto"/>
        <w:bottom w:val="none" w:sz="0" w:space="0" w:color="auto"/>
        <w:right w:val="none" w:sz="0" w:space="0" w:color="auto"/>
      </w:divBdr>
    </w:div>
    <w:div w:id="19700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B947-ADB7-48B5-8C76-64021C9A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5</cp:revision>
  <cp:lastPrinted>2018-01-09T14:47:00Z</cp:lastPrinted>
  <dcterms:created xsi:type="dcterms:W3CDTF">2018-01-08T16:01:00Z</dcterms:created>
  <dcterms:modified xsi:type="dcterms:W3CDTF">2018-01-09T14:47:00Z</dcterms:modified>
</cp:coreProperties>
</file>