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28" w:rsidRDefault="00CC4628" w:rsidP="00CC4628"/>
    <w:tbl>
      <w:tblPr>
        <w:tblStyle w:val="TableGrid"/>
        <w:tblW w:w="0" w:type="auto"/>
        <w:tblLook w:val="04A0" w:firstRow="1" w:lastRow="0" w:firstColumn="1" w:lastColumn="0" w:noHBand="0" w:noVBand="1"/>
      </w:tblPr>
      <w:tblGrid>
        <w:gridCol w:w="4029"/>
        <w:gridCol w:w="8097"/>
        <w:gridCol w:w="2084"/>
        <w:gridCol w:w="1404"/>
      </w:tblGrid>
      <w:tr w:rsidR="00CC4628" w:rsidTr="000369C9">
        <w:tc>
          <w:tcPr>
            <w:tcW w:w="15843" w:type="dxa"/>
            <w:gridSpan w:val="4"/>
          </w:tcPr>
          <w:p w:rsidR="00CC4628" w:rsidRDefault="00CC4628" w:rsidP="000369C9">
            <w:pPr>
              <w:rPr>
                <w:b/>
              </w:rPr>
            </w:pPr>
          </w:p>
          <w:p w:rsidR="00CC4628" w:rsidRDefault="00CC4628" w:rsidP="000369C9">
            <w:pPr>
              <w:rPr>
                <w:b/>
              </w:rPr>
            </w:pPr>
            <w:r>
              <w:rPr>
                <w:b/>
              </w:rPr>
              <w:t>Community Run Library Training Programme – Bath and North East Somerset (2.5 hours session)</w:t>
            </w:r>
          </w:p>
          <w:p w:rsidR="00716CE9" w:rsidRDefault="00716CE9" w:rsidP="000369C9">
            <w:pPr>
              <w:rPr>
                <w:b/>
              </w:rPr>
            </w:pPr>
          </w:p>
          <w:p w:rsidR="00CC4628" w:rsidRPr="00817A8C" w:rsidRDefault="00817A8C" w:rsidP="00817A8C">
            <w:pPr>
              <w:spacing w:after="200" w:line="276" w:lineRule="auto"/>
            </w:pPr>
            <w:r w:rsidRPr="00817A8C">
              <w:t>NB – This is a sample session plan. Training sessions will be flexible to meet the needs of the group. All sessions will be run accessibly to address the audience, with supporting IT and guidance documents.</w:t>
            </w:r>
            <w:bookmarkStart w:id="0" w:name="_GoBack"/>
            <w:bookmarkEnd w:id="0"/>
          </w:p>
        </w:tc>
      </w:tr>
      <w:tr w:rsidR="00CC4628" w:rsidTr="000369C9">
        <w:tc>
          <w:tcPr>
            <w:tcW w:w="4077" w:type="dxa"/>
            <w:shd w:val="clear" w:color="auto" w:fill="C6D9F1" w:themeFill="text2" w:themeFillTint="33"/>
          </w:tcPr>
          <w:p w:rsidR="00CC4628" w:rsidRPr="007F32BB" w:rsidRDefault="00CC4628" w:rsidP="000369C9">
            <w:pPr>
              <w:rPr>
                <w:b/>
              </w:rPr>
            </w:pPr>
            <w:r>
              <w:rPr>
                <w:b/>
              </w:rPr>
              <w:t>Subject</w:t>
            </w:r>
          </w:p>
        </w:tc>
        <w:tc>
          <w:tcPr>
            <w:tcW w:w="8222" w:type="dxa"/>
            <w:shd w:val="clear" w:color="auto" w:fill="C6D9F1" w:themeFill="text2" w:themeFillTint="33"/>
          </w:tcPr>
          <w:p w:rsidR="00CC4628" w:rsidRPr="009452B7" w:rsidRDefault="00CC4628" w:rsidP="000369C9">
            <w:pPr>
              <w:rPr>
                <w:b/>
              </w:rPr>
            </w:pPr>
            <w:r>
              <w:rPr>
                <w:b/>
              </w:rPr>
              <w:t>Detail</w:t>
            </w:r>
          </w:p>
        </w:tc>
        <w:tc>
          <w:tcPr>
            <w:tcW w:w="2126" w:type="dxa"/>
            <w:shd w:val="clear" w:color="auto" w:fill="C6D9F1" w:themeFill="text2" w:themeFillTint="33"/>
          </w:tcPr>
          <w:p w:rsidR="00CC4628" w:rsidRPr="009B56A9" w:rsidRDefault="00CC4628" w:rsidP="000369C9">
            <w:pPr>
              <w:rPr>
                <w:b/>
              </w:rPr>
            </w:pPr>
          </w:p>
        </w:tc>
        <w:tc>
          <w:tcPr>
            <w:tcW w:w="1418" w:type="dxa"/>
            <w:shd w:val="clear" w:color="auto" w:fill="C6D9F1" w:themeFill="text2" w:themeFillTint="33"/>
          </w:tcPr>
          <w:p w:rsidR="00CC4628" w:rsidRPr="009B56A9" w:rsidRDefault="00CC4628" w:rsidP="000369C9">
            <w:pPr>
              <w:rPr>
                <w:b/>
              </w:rPr>
            </w:pPr>
            <w:r w:rsidRPr="009B56A9">
              <w:rPr>
                <w:b/>
              </w:rPr>
              <w:t>Time</w:t>
            </w:r>
          </w:p>
        </w:tc>
      </w:tr>
      <w:tr w:rsidR="00CC4628" w:rsidTr="000369C9">
        <w:tc>
          <w:tcPr>
            <w:tcW w:w="4077" w:type="dxa"/>
          </w:tcPr>
          <w:p w:rsidR="00CC4628" w:rsidRPr="007F32BB" w:rsidRDefault="00CC4628" w:rsidP="000369C9">
            <w:pPr>
              <w:rPr>
                <w:b/>
              </w:rPr>
            </w:pPr>
            <w:r w:rsidRPr="007F32BB">
              <w:rPr>
                <w:b/>
              </w:rPr>
              <w:t>Introduction</w:t>
            </w:r>
          </w:p>
          <w:p w:rsidR="00CC4628" w:rsidRDefault="00CC4628" w:rsidP="000369C9"/>
          <w:p w:rsidR="00CC4628" w:rsidRDefault="00CC4628" w:rsidP="000369C9"/>
        </w:tc>
        <w:tc>
          <w:tcPr>
            <w:tcW w:w="8222" w:type="dxa"/>
          </w:tcPr>
          <w:p w:rsidR="00CC4628" w:rsidRDefault="00CC4628" w:rsidP="000369C9">
            <w:r w:rsidRPr="009B56A9">
              <w:rPr>
                <w:b/>
              </w:rPr>
              <w:t>Aim</w:t>
            </w:r>
            <w:r w:rsidRPr="00110A15">
              <w:t xml:space="preserve">: </w:t>
            </w:r>
          </w:p>
          <w:p w:rsidR="00CC4628" w:rsidRPr="00110A15" w:rsidRDefault="00CC4628" w:rsidP="00CC4628">
            <w:pPr>
              <w:pStyle w:val="ListParagraph"/>
              <w:numPr>
                <w:ilvl w:val="0"/>
                <w:numId w:val="3"/>
              </w:numPr>
            </w:pPr>
            <w:r w:rsidRPr="00110A15">
              <w:t xml:space="preserve">To enable Community Run Libraries to manage personal customer information safely and according to the requirements of the LibrariesWest Consortium </w:t>
            </w:r>
          </w:p>
          <w:p w:rsidR="00CC4628" w:rsidRPr="00FF2C01" w:rsidRDefault="00CC4628" w:rsidP="00CC4628">
            <w:pPr>
              <w:pStyle w:val="ListParagraph"/>
              <w:numPr>
                <w:ilvl w:val="0"/>
                <w:numId w:val="3"/>
              </w:numPr>
            </w:pPr>
            <w:r w:rsidRPr="00FF2C01">
              <w:t xml:space="preserve">To enable the Community Run library to signpost customers to a range </w:t>
            </w:r>
            <w:proofErr w:type="gramStart"/>
            <w:r w:rsidRPr="00FF2C01">
              <w:t>of  services</w:t>
            </w:r>
            <w:proofErr w:type="gramEnd"/>
            <w:r w:rsidRPr="00FF2C01">
              <w:t xml:space="preserve"> and information.</w:t>
            </w:r>
          </w:p>
          <w:p w:rsidR="00CC4628" w:rsidRDefault="00CC4628" w:rsidP="00CC4628">
            <w:pPr>
              <w:pStyle w:val="ListParagraph"/>
              <w:numPr>
                <w:ilvl w:val="0"/>
                <w:numId w:val="3"/>
              </w:numPr>
            </w:pPr>
            <w:r w:rsidRPr="00FF2C01">
              <w:t xml:space="preserve">To explore behaviours and boundaries </w:t>
            </w:r>
            <w:proofErr w:type="gramStart"/>
            <w:r w:rsidRPr="00FF2C01">
              <w:t>that keep</w:t>
            </w:r>
            <w:proofErr w:type="gramEnd"/>
            <w:r w:rsidRPr="00FF2C01">
              <w:t xml:space="preserve"> volunteers and customers safe.</w:t>
            </w:r>
          </w:p>
        </w:tc>
        <w:tc>
          <w:tcPr>
            <w:tcW w:w="2126" w:type="dxa"/>
          </w:tcPr>
          <w:p w:rsidR="00CC4628" w:rsidRDefault="00CC4628" w:rsidP="000369C9"/>
        </w:tc>
        <w:tc>
          <w:tcPr>
            <w:tcW w:w="1418" w:type="dxa"/>
          </w:tcPr>
          <w:p w:rsidR="00CC4628" w:rsidRDefault="00CC4628" w:rsidP="000369C9">
            <w:r>
              <w:t>10</w:t>
            </w:r>
          </w:p>
        </w:tc>
      </w:tr>
      <w:tr w:rsidR="00CC4628" w:rsidTr="000369C9">
        <w:tc>
          <w:tcPr>
            <w:tcW w:w="4077" w:type="dxa"/>
          </w:tcPr>
          <w:p w:rsidR="00CC4628" w:rsidRPr="007F32BB" w:rsidRDefault="00CC4628" w:rsidP="000369C9">
            <w:pPr>
              <w:rPr>
                <w:b/>
              </w:rPr>
            </w:pPr>
            <w:r>
              <w:rPr>
                <w:b/>
              </w:rPr>
              <w:t>Library Management systems and Libraries West</w:t>
            </w:r>
          </w:p>
        </w:tc>
        <w:tc>
          <w:tcPr>
            <w:tcW w:w="8222" w:type="dxa"/>
          </w:tcPr>
          <w:p w:rsidR="00CC4628" w:rsidRPr="00180F0A" w:rsidRDefault="00CC4628" w:rsidP="00CC4628">
            <w:pPr>
              <w:pStyle w:val="ListParagraph"/>
              <w:numPr>
                <w:ilvl w:val="0"/>
                <w:numId w:val="5"/>
              </w:numPr>
            </w:pPr>
            <w:r w:rsidRPr="00180F0A">
              <w:t>Basic overview of Sirsi, mobilecirc, libraries West web page and app</w:t>
            </w:r>
          </w:p>
        </w:tc>
        <w:tc>
          <w:tcPr>
            <w:tcW w:w="2126" w:type="dxa"/>
          </w:tcPr>
          <w:p w:rsidR="00CC4628" w:rsidRDefault="00CC4628" w:rsidP="000369C9"/>
        </w:tc>
        <w:tc>
          <w:tcPr>
            <w:tcW w:w="1418" w:type="dxa"/>
          </w:tcPr>
          <w:p w:rsidR="00CC4628" w:rsidRDefault="00CC4628" w:rsidP="000369C9">
            <w:r>
              <w:t>10</w:t>
            </w:r>
          </w:p>
        </w:tc>
      </w:tr>
      <w:tr w:rsidR="00CC4628" w:rsidTr="000369C9">
        <w:tc>
          <w:tcPr>
            <w:tcW w:w="4077" w:type="dxa"/>
          </w:tcPr>
          <w:p w:rsidR="00CC4628" w:rsidRDefault="00CC4628" w:rsidP="000369C9"/>
          <w:p w:rsidR="00CC4628" w:rsidRPr="009B56A9" w:rsidRDefault="00CC4628" w:rsidP="000369C9">
            <w:pPr>
              <w:rPr>
                <w:b/>
              </w:rPr>
            </w:pPr>
            <w:r w:rsidRPr="009B56A9">
              <w:rPr>
                <w:b/>
              </w:rPr>
              <w:t xml:space="preserve">Data Protection, Confidentiality  and Information Sharing </w:t>
            </w:r>
          </w:p>
          <w:p w:rsidR="00CC4628" w:rsidRDefault="00CC4628" w:rsidP="000369C9"/>
        </w:tc>
        <w:tc>
          <w:tcPr>
            <w:tcW w:w="8222" w:type="dxa"/>
          </w:tcPr>
          <w:p w:rsidR="00CC4628" w:rsidRDefault="00CC4628" w:rsidP="00CC4628">
            <w:pPr>
              <w:pStyle w:val="ListParagraph"/>
              <w:numPr>
                <w:ilvl w:val="0"/>
                <w:numId w:val="2"/>
              </w:numPr>
            </w:pPr>
            <w:r>
              <w:t>GDPR/Data Protection Confidentiality – key messages</w:t>
            </w:r>
          </w:p>
          <w:p w:rsidR="00CC4628" w:rsidRDefault="00CC4628" w:rsidP="00CC4628">
            <w:pPr>
              <w:pStyle w:val="ListParagraph"/>
              <w:numPr>
                <w:ilvl w:val="0"/>
                <w:numId w:val="2"/>
              </w:numPr>
            </w:pPr>
            <w:r>
              <w:t>Information sharing, destroying unused personal data</w:t>
            </w:r>
          </w:p>
          <w:p w:rsidR="00CC4628" w:rsidRDefault="00CC4628" w:rsidP="00CC4628">
            <w:pPr>
              <w:pStyle w:val="ListParagraph"/>
              <w:numPr>
                <w:ilvl w:val="0"/>
                <w:numId w:val="2"/>
              </w:numPr>
            </w:pPr>
            <w:r>
              <w:t>IT security – screen safe, passwords</w:t>
            </w:r>
          </w:p>
          <w:p w:rsidR="00CC4628" w:rsidRDefault="00CC4628" w:rsidP="00CC4628">
            <w:pPr>
              <w:pStyle w:val="ListParagraph"/>
              <w:numPr>
                <w:ilvl w:val="0"/>
                <w:numId w:val="2"/>
              </w:numPr>
            </w:pPr>
            <w:r>
              <w:t>Malicious emails</w:t>
            </w:r>
          </w:p>
        </w:tc>
        <w:tc>
          <w:tcPr>
            <w:tcW w:w="2126" w:type="dxa"/>
          </w:tcPr>
          <w:p w:rsidR="00CC4628" w:rsidRDefault="00CC4628" w:rsidP="000369C9"/>
        </w:tc>
        <w:tc>
          <w:tcPr>
            <w:tcW w:w="1418" w:type="dxa"/>
          </w:tcPr>
          <w:p w:rsidR="00CC4628" w:rsidRDefault="00CC4628" w:rsidP="000369C9">
            <w:r>
              <w:t>10</w:t>
            </w:r>
          </w:p>
        </w:tc>
      </w:tr>
      <w:tr w:rsidR="00CC4628" w:rsidTr="000369C9">
        <w:tc>
          <w:tcPr>
            <w:tcW w:w="4077" w:type="dxa"/>
          </w:tcPr>
          <w:p w:rsidR="00CC4628" w:rsidRPr="009B56A9" w:rsidRDefault="00CC4628" w:rsidP="000369C9">
            <w:pPr>
              <w:rPr>
                <w:b/>
              </w:rPr>
            </w:pPr>
            <w:r w:rsidRPr="009B56A9">
              <w:rPr>
                <w:b/>
              </w:rPr>
              <w:t>Customer Care and Signposting to resources</w:t>
            </w:r>
          </w:p>
          <w:p w:rsidR="00CC4628" w:rsidRDefault="00CC4628" w:rsidP="000369C9"/>
        </w:tc>
        <w:tc>
          <w:tcPr>
            <w:tcW w:w="8222" w:type="dxa"/>
          </w:tcPr>
          <w:p w:rsidR="00CC4628" w:rsidRDefault="00CC4628" w:rsidP="00CC4628">
            <w:pPr>
              <w:pStyle w:val="ListParagraph"/>
              <w:numPr>
                <w:ilvl w:val="0"/>
                <w:numId w:val="1"/>
              </w:numPr>
            </w:pPr>
            <w:r>
              <w:t xml:space="preserve">Customer Care </w:t>
            </w:r>
          </w:p>
          <w:p w:rsidR="00CC4628" w:rsidRDefault="00CC4628" w:rsidP="00CC4628">
            <w:pPr>
              <w:pStyle w:val="ListParagraph"/>
              <w:numPr>
                <w:ilvl w:val="0"/>
                <w:numId w:val="1"/>
              </w:numPr>
            </w:pPr>
            <w:r>
              <w:t>Dealing with difficult customers</w:t>
            </w:r>
          </w:p>
          <w:p w:rsidR="00CC4628" w:rsidRDefault="00CC4628" w:rsidP="00CC4628">
            <w:pPr>
              <w:pStyle w:val="ListParagraph"/>
              <w:numPr>
                <w:ilvl w:val="0"/>
                <w:numId w:val="1"/>
              </w:numPr>
            </w:pPr>
            <w:r>
              <w:t xml:space="preserve">Operational Scenarios and Boundaries </w:t>
            </w:r>
          </w:p>
          <w:p w:rsidR="00CC4628" w:rsidRDefault="00CC4628" w:rsidP="00CC4628">
            <w:pPr>
              <w:pStyle w:val="ListParagraph"/>
              <w:numPr>
                <w:ilvl w:val="0"/>
                <w:numId w:val="1"/>
              </w:numPr>
            </w:pPr>
            <w:r>
              <w:t>Support network</w:t>
            </w:r>
          </w:p>
        </w:tc>
        <w:tc>
          <w:tcPr>
            <w:tcW w:w="2126" w:type="dxa"/>
          </w:tcPr>
          <w:p w:rsidR="00CC4628" w:rsidRDefault="00CC4628" w:rsidP="000369C9"/>
        </w:tc>
        <w:tc>
          <w:tcPr>
            <w:tcW w:w="1418" w:type="dxa"/>
          </w:tcPr>
          <w:p w:rsidR="00CC4628" w:rsidRDefault="00CC4628" w:rsidP="000369C9">
            <w:r>
              <w:t>30</w:t>
            </w:r>
          </w:p>
        </w:tc>
      </w:tr>
      <w:tr w:rsidR="00CC4628" w:rsidTr="000369C9">
        <w:tc>
          <w:tcPr>
            <w:tcW w:w="4077" w:type="dxa"/>
            <w:shd w:val="clear" w:color="auto" w:fill="DBE5F1" w:themeFill="accent1" w:themeFillTint="33"/>
          </w:tcPr>
          <w:p w:rsidR="00CC4628" w:rsidRPr="00404962" w:rsidRDefault="00CC4628" w:rsidP="000369C9">
            <w:pPr>
              <w:rPr>
                <w:b/>
                <w:highlight w:val="yellow"/>
              </w:rPr>
            </w:pPr>
            <w:r w:rsidRPr="00404962">
              <w:rPr>
                <w:b/>
              </w:rPr>
              <w:t>BREAK</w:t>
            </w:r>
          </w:p>
        </w:tc>
        <w:tc>
          <w:tcPr>
            <w:tcW w:w="8222" w:type="dxa"/>
            <w:shd w:val="clear" w:color="auto" w:fill="DBE5F1" w:themeFill="accent1" w:themeFillTint="33"/>
          </w:tcPr>
          <w:p w:rsidR="00CC4628" w:rsidRPr="00404962" w:rsidRDefault="00CC4628" w:rsidP="000369C9">
            <w:pPr>
              <w:pStyle w:val="ListParagraph"/>
              <w:rPr>
                <w:highlight w:val="yellow"/>
              </w:rPr>
            </w:pPr>
          </w:p>
        </w:tc>
        <w:tc>
          <w:tcPr>
            <w:tcW w:w="2126" w:type="dxa"/>
            <w:shd w:val="clear" w:color="auto" w:fill="DBE5F1" w:themeFill="accent1" w:themeFillTint="33"/>
          </w:tcPr>
          <w:p w:rsidR="00CC4628" w:rsidRPr="00404962" w:rsidRDefault="00CC4628" w:rsidP="000369C9">
            <w:pPr>
              <w:rPr>
                <w:highlight w:val="yellow"/>
              </w:rPr>
            </w:pPr>
          </w:p>
        </w:tc>
        <w:tc>
          <w:tcPr>
            <w:tcW w:w="1418" w:type="dxa"/>
            <w:shd w:val="clear" w:color="auto" w:fill="DBE5F1" w:themeFill="accent1" w:themeFillTint="33"/>
          </w:tcPr>
          <w:p w:rsidR="00CC4628" w:rsidRPr="00404962" w:rsidRDefault="00CC4628" w:rsidP="000369C9">
            <w:pPr>
              <w:rPr>
                <w:highlight w:val="yellow"/>
              </w:rPr>
            </w:pPr>
            <w:r w:rsidRPr="001B666D">
              <w:t>1</w:t>
            </w:r>
            <w:r>
              <w:t>5</w:t>
            </w:r>
          </w:p>
        </w:tc>
      </w:tr>
      <w:tr w:rsidR="00CC4628" w:rsidTr="000369C9">
        <w:tc>
          <w:tcPr>
            <w:tcW w:w="4077" w:type="dxa"/>
          </w:tcPr>
          <w:p w:rsidR="00CC4628" w:rsidRPr="00FF2C01" w:rsidRDefault="00CC4628" w:rsidP="000369C9">
            <w:pPr>
              <w:rPr>
                <w:b/>
              </w:rPr>
            </w:pPr>
            <w:r w:rsidRPr="009B56A9">
              <w:rPr>
                <w:b/>
              </w:rPr>
              <w:t xml:space="preserve">Equalities </w:t>
            </w:r>
            <w:r>
              <w:rPr>
                <w:b/>
              </w:rPr>
              <w:t>awareness</w:t>
            </w:r>
          </w:p>
        </w:tc>
        <w:tc>
          <w:tcPr>
            <w:tcW w:w="8222" w:type="dxa"/>
          </w:tcPr>
          <w:p w:rsidR="00CC4628" w:rsidRDefault="00CC4628" w:rsidP="000369C9"/>
        </w:tc>
        <w:tc>
          <w:tcPr>
            <w:tcW w:w="2126" w:type="dxa"/>
          </w:tcPr>
          <w:p w:rsidR="00CC4628" w:rsidRDefault="00CC4628" w:rsidP="000369C9"/>
        </w:tc>
        <w:tc>
          <w:tcPr>
            <w:tcW w:w="1418" w:type="dxa"/>
          </w:tcPr>
          <w:p w:rsidR="00CC4628" w:rsidRDefault="00CC4628" w:rsidP="000369C9">
            <w:r>
              <w:t>30</w:t>
            </w:r>
          </w:p>
        </w:tc>
      </w:tr>
      <w:tr w:rsidR="00CC4628" w:rsidTr="000369C9">
        <w:tc>
          <w:tcPr>
            <w:tcW w:w="4077" w:type="dxa"/>
          </w:tcPr>
          <w:p w:rsidR="00CC4628" w:rsidRPr="00FF2C01" w:rsidRDefault="00CC4628" w:rsidP="000369C9">
            <w:pPr>
              <w:rPr>
                <w:b/>
              </w:rPr>
            </w:pPr>
            <w:r>
              <w:rPr>
                <w:b/>
              </w:rPr>
              <w:t>Safeguarding</w:t>
            </w:r>
          </w:p>
        </w:tc>
        <w:tc>
          <w:tcPr>
            <w:tcW w:w="8222" w:type="dxa"/>
          </w:tcPr>
          <w:p w:rsidR="00CC4628" w:rsidRDefault="00CC4628" w:rsidP="00CC4628">
            <w:pPr>
              <w:pStyle w:val="ListParagraph"/>
              <w:numPr>
                <w:ilvl w:val="0"/>
                <w:numId w:val="4"/>
              </w:numPr>
            </w:pPr>
            <w:r>
              <w:t>Boundaries and scenarios – babysitting, borrowing money, generally taking advantage!</w:t>
            </w:r>
          </w:p>
          <w:p w:rsidR="00CC4628" w:rsidRDefault="00CC4628" w:rsidP="00CC4628">
            <w:pPr>
              <w:pStyle w:val="ListParagraph"/>
              <w:numPr>
                <w:ilvl w:val="0"/>
                <w:numId w:val="4"/>
              </w:numPr>
            </w:pPr>
            <w:r>
              <w:t>Refer to multi-agency training</w:t>
            </w:r>
          </w:p>
        </w:tc>
        <w:tc>
          <w:tcPr>
            <w:tcW w:w="2126" w:type="dxa"/>
          </w:tcPr>
          <w:p w:rsidR="00CC4628" w:rsidRDefault="00CC4628" w:rsidP="000369C9"/>
        </w:tc>
        <w:tc>
          <w:tcPr>
            <w:tcW w:w="1418" w:type="dxa"/>
          </w:tcPr>
          <w:p w:rsidR="00CC4628" w:rsidRDefault="00CC4628" w:rsidP="000369C9">
            <w:r>
              <w:t>15</w:t>
            </w:r>
          </w:p>
        </w:tc>
      </w:tr>
      <w:tr w:rsidR="00CC4628" w:rsidTr="000369C9">
        <w:tc>
          <w:tcPr>
            <w:tcW w:w="4077" w:type="dxa"/>
          </w:tcPr>
          <w:p w:rsidR="00CC4628" w:rsidRPr="00402821" w:rsidRDefault="00CC4628" w:rsidP="000369C9">
            <w:pPr>
              <w:rPr>
                <w:b/>
              </w:rPr>
            </w:pPr>
            <w:r w:rsidRPr="009B56A9">
              <w:rPr>
                <w:b/>
              </w:rPr>
              <w:t>Other information sources</w:t>
            </w:r>
          </w:p>
        </w:tc>
        <w:tc>
          <w:tcPr>
            <w:tcW w:w="8222" w:type="dxa"/>
          </w:tcPr>
          <w:p w:rsidR="00CC4628" w:rsidRDefault="00CC4628" w:rsidP="000369C9">
            <w:r>
              <w:t>The wider information offer</w:t>
            </w:r>
          </w:p>
          <w:p w:rsidR="00CC4628" w:rsidRDefault="00CC4628" w:rsidP="000369C9">
            <w:r>
              <w:t xml:space="preserve">Look at resources available - </w:t>
            </w:r>
          </w:p>
          <w:p w:rsidR="00CC4628" w:rsidRDefault="00CC4628" w:rsidP="000369C9">
            <w:r>
              <w:t xml:space="preserve">Council Web page, .Gov.uk, Wellbeing Options, 1 Big D, Rainbow Resources, Libraries West web site and app, </w:t>
            </w:r>
            <w:proofErr w:type="spellStart"/>
            <w:r>
              <w:t>rbdigital</w:t>
            </w:r>
            <w:proofErr w:type="spellEnd"/>
            <w:r>
              <w:t xml:space="preserve"> (mags) etc.</w:t>
            </w:r>
          </w:p>
        </w:tc>
        <w:tc>
          <w:tcPr>
            <w:tcW w:w="2126" w:type="dxa"/>
          </w:tcPr>
          <w:p w:rsidR="00CC4628" w:rsidRDefault="00CC4628" w:rsidP="000369C9"/>
        </w:tc>
        <w:tc>
          <w:tcPr>
            <w:tcW w:w="1418" w:type="dxa"/>
          </w:tcPr>
          <w:p w:rsidR="00CC4628" w:rsidRDefault="00CC4628" w:rsidP="000369C9">
            <w:r>
              <w:t>20</w:t>
            </w:r>
          </w:p>
        </w:tc>
      </w:tr>
      <w:tr w:rsidR="00CC4628" w:rsidTr="000369C9">
        <w:tc>
          <w:tcPr>
            <w:tcW w:w="4077" w:type="dxa"/>
          </w:tcPr>
          <w:p w:rsidR="00CC4628" w:rsidRPr="009B56A9" w:rsidRDefault="00CC4628" w:rsidP="000369C9">
            <w:pPr>
              <w:rPr>
                <w:b/>
              </w:rPr>
            </w:pPr>
            <w:r w:rsidRPr="009B56A9">
              <w:rPr>
                <w:b/>
              </w:rPr>
              <w:t>Questions</w:t>
            </w:r>
            <w:r>
              <w:rPr>
                <w:b/>
              </w:rPr>
              <w:t xml:space="preserve"> and Evaluation</w:t>
            </w:r>
          </w:p>
        </w:tc>
        <w:tc>
          <w:tcPr>
            <w:tcW w:w="8222" w:type="dxa"/>
          </w:tcPr>
          <w:p w:rsidR="00CC4628" w:rsidRDefault="00CC4628" w:rsidP="000369C9"/>
        </w:tc>
        <w:tc>
          <w:tcPr>
            <w:tcW w:w="2126" w:type="dxa"/>
          </w:tcPr>
          <w:p w:rsidR="00CC4628" w:rsidRDefault="00CC4628" w:rsidP="000369C9"/>
        </w:tc>
        <w:tc>
          <w:tcPr>
            <w:tcW w:w="1418" w:type="dxa"/>
          </w:tcPr>
          <w:p w:rsidR="00CC4628" w:rsidRDefault="00CC4628" w:rsidP="000369C9">
            <w:r>
              <w:t>10</w:t>
            </w:r>
          </w:p>
        </w:tc>
      </w:tr>
    </w:tbl>
    <w:p w:rsidR="00FC26C6" w:rsidRDefault="007E4AD1"/>
    <w:sectPr w:rsidR="00FC26C6" w:rsidSect="00CC46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3D7D"/>
    <w:multiLevelType w:val="hybridMultilevel"/>
    <w:tmpl w:val="5664B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430BE7"/>
    <w:multiLevelType w:val="hybridMultilevel"/>
    <w:tmpl w:val="A8D2F7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43EED"/>
    <w:multiLevelType w:val="hybridMultilevel"/>
    <w:tmpl w:val="8B165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895EDF"/>
    <w:multiLevelType w:val="hybridMultilevel"/>
    <w:tmpl w:val="97B20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048FA"/>
    <w:multiLevelType w:val="hybridMultilevel"/>
    <w:tmpl w:val="D916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28"/>
    <w:rsid w:val="000659AC"/>
    <w:rsid w:val="00484595"/>
    <w:rsid w:val="005D1FD9"/>
    <w:rsid w:val="00716CE9"/>
    <w:rsid w:val="007D2897"/>
    <w:rsid w:val="00817A8C"/>
    <w:rsid w:val="00AA4565"/>
    <w:rsid w:val="00CC4628"/>
    <w:rsid w:val="00DF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2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62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2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62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B67C1E80</Template>
  <TotalTime>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Beckwith</dc:creator>
  <cp:lastModifiedBy>weinelm</cp:lastModifiedBy>
  <cp:revision>2</cp:revision>
  <dcterms:created xsi:type="dcterms:W3CDTF">2018-08-30T21:51:00Z</dcterms:created>
  <dcterms:modified xsi:type="dcterms:W3CDTF">2018-08-30T21:51:00Z</dcterms:modified>
</cp:coreProperties>
</file>