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6D" w:rsidRDefault="001B66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7938"/>
        <w:gridCol w:w="1701"/>
        <w:gridCol w:w="1276"/>
      </w:tblGrid>
      <w:tr w:rsidR="009B56A9" w:rsidTr="00404962">
        <w:tc>
          <w:tcPr>
            <w:tcW w:w="15843" w:type="dxa"/>
            <w:gridSpan w:val="4"/>
          </w:tcPr>
          <w:p w:rsidR="009B56A9" w:rsidRDefault="009B56A9" w:rsidP="00F10703">
            <w:pPr>
              <w:rPr>
                <w:b/>
              </w:rPr>
            </w:pPr>
          </w:p>
          <w:p w:rsidR="009B56A9" w:rsidRPr="0095761E" w:rsidRDefault="009B56A9" w:rsidP="00F10703">
            <w:pPr>
              <w:rPr>
                <w:b/>
              </w:rPr>
            </w:pPr>
            <w:r>
              <w:rPr>
                <w:b/>
              </w:rPr>
              <w:t xml:space="preserve">Community Run Library </w:t>
            </w:r>
            <w:r w:rsidRPr="00226AC4">
              <w:rPr>
                <w:b/>
              </w:rPr>
              <w:t xml:space="preserve">Training </w:t>
            </w:r>
            <w:r w:rsidR="00226AC4" w:rsidRPr="00226AC4">
              <w:rPr>
                <w:b/>
              </w:rPr>
              <w:t xml:space="preserve">Session </w:t>
            </w:r>
            <w:r w:rsidR="00226AC4">
              <w:rPr>
                <w:b/>
              </w:rPr>
              <w:t xml:space="preserve">- </w:t>
            </w:r>
            <w:r w:rsidR="00226AC4" w:rsidRPr="00226AC4">
              <w:rPr>
                <w:b/>
              </w:rPr>
              <w:t xml:space="preserve">in library </w:t>
            </w:r>
            <w:r w:rsidR="00404962">
              <w:rPr>
                <w:b/>
              </w:rPr>
              <w:t>(</w:t>
            </w:r>
            <w:r w:rsidR="00B5730D">
              <w:rPr>
                <w:b/>
              </w:rPr>
              <w:t>2</w:t>
            </w:r>
            <w:r w:rsidR="00404962">
              <w:rPr>
                <w:b/>
              </w:rPr>
              <w:t xml:space="preserve"> hours)</w:t>
            </w:r>
          </w:p>
        </w:tc>
      </w:tr>
      <w:tr w:rsidR="009B56A9" w:rsidTr="00404962">
        <w:tc>
          <w:tcPr>
            <w:tcW w:w="15843" w:type="dxa"/>
            <w:gridSpan w:val="4"/>
          </w:tcPr>
          <w:p w:rsidR="009B56A9" w:rsidRDefault="009B56A9" w:rsidP="00F10703">
            <w:pPr>
              <w:rPr>
                <w:b/>
              </w:rPr>
            </w:pPr>
          </w:p>
          <w:p w:rsidR="009B56A9" w:rsidRDefault="009B56A9" w:rsidP="00F10703">
            <w:pPr>
              <w:rPr>
                <w:b/>
              </w:rPr>
            </w:pPr>
            <w:r w:rsidRPr="00226AC4">
              <w:rPr>
                <w:b/>
              </w:rPr>
              <w:t>Aim</w:t>
            </w:r>
            <w:r>
              <w:rPr>
                <w:b/>
              </w:rPr>
              <w:t>: To provide sufficient training to enable the Community Run Library to deliver an effective Library Service locally</w:t>
            </w:r>
          </w:p>
          <w:p w:rsidR="00590D58" w:rsidRDefault="00590D58" w:rsidP="00F10703">
            <w:pPr>
              <w:rPr>
                <w:b/>
              </w:rPr>
            </w:pPr>
          </w:p>
          <w:p w:rsidR="00590D58" w:rsidRPr="00A657B0" w:rsidRDefault="00590D58" w:rsidP="00F10703">
            <w:r w:rsidRPr="00A657B0">
              <w:t>NB – This is a sample session plan. Training sessions will be flexible to meet the needs of the group</w:t>
            </w:r>
            <w:r w:rsidR="00A657B0">
              <w:t xml:space="preserve">. All sessions will be </w:t>
            </w:r>
            <w:r w:rsidRPr="00A657B0">
              <w:t>run accessibly</w:t>
            </w:r>
            <w:r w:rsidR="004539BF">
              <w:t xml:space="preserve"> to address the audience,</w:t>
            </w:r>
            <w:r w:rsidRPr="00A657B0">
              <w:t xml:space="preserve"> with</w:t>
            </w:r>
            <w:r w:rsidR="00A657B0">
              <w:t xml:space="preserve"> supporting IT</w:t>
            </w:r>
            <w:r w:rsidR="004539BF">
              <w:t xml:space="preserve"> and guidance documents</w:t>
            </w:r>
            <w:r w:rsidRPr="00A657B0">
              <w:t>.</w:t>
            </w:r>
          </w:p>
          <w:p w:rsidR="00226AC4" w:rsidRDefault="00226AC4" w:rsidP="00F10703">
            <w:pPr>
              <w:rPr>
                <w:b/>
              </w:rPr>
            </w:pPr>
            <w:bookmarkStart w:id="0" w:name="_GoBack"/>
            <w:bookmarkEnd w:id="0"/>
          </w:p>
        </w:tc>
      </w:tr>
      <w:tr w:rsidR="009B56A9" w:rsidTr="00226AC4">
        <w:tc>
          <w:tcPr>
            <w:tcW w:w="4928" w:type="dxa"/>
            <w:shd w:val="clear" w:color="auto" w:fill="C6D9F1" w:themeFill="text2" w:themeFillTint="33"/>
          </w:tcPr>
          <w:p w:rsidR="009B56A9" w:rsidRPr="007F32BB" w:rsidRDefault="009B56A9" w:rsidP="00F10703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7938" w:type="dxa"/>
            <w:shd w:val="clear" w:color="auto" w:fill="C6D9F1" w:themeFill="text2" w:themeFillTint="33"/>
          </w:tcPr>
          <w:p w:rsidR="009B56A9" w:rsidRPr="009452B7" w:rsidRDefault="009B56A9" w:rsidP="00F10703">
            <w:pPr>
              <w:rPr>
                <w:b/>
              </w:rPr>
            </w:pPr>
            <w:r>
              <w:rPr>
                <w:b/>
              </w:rPr>
              <w:t>Detail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9B56A9" w:rsidRPr="009B56A9" w:rsidRDefault="009B56A9" w:rsidP="00F10703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9B56A9" w:rsidRPr="009B56A9" w:rsidRDefault="009B56A9" w:rsidP="00F10703">
            <w:pPr>
              <w:rPr>
                <w:b/>
              </w:rPr>
            </w:pPr>
            <w:r w:rsidRPr="009B56A9">
              <w:rPr>
                <w:b/>
              </w:rPr>
              <w:t>Time</w:t>
            </w:r>
          </w:p>
        </w:tc>
      </w:tr>
      <w:tr w:rsidR="009B56A9" w:rsidTr="00226AC4">
        <w:trPr>
          <w:trHeight w:val="328"/>
        </w:trPr>
        <w:tc>
          <w:tcPr>
            <w:tcW w:w="4928" w:type="dxa"/>
          </w:tcPr>
          <w:p w:rsidR="009B56A9" w:rsidRDefault="00226AC4" w:rsidP="00F10703">
            <w:r>
              <w:t>Welcome</w:t>
            </w:r>
          </w:p>
          <w:p w:rsidR="009B56A9" w:rsidRDefault="009B56A9" w:rsidP="00F10703"/>
        </w:tc>
        <w:tc>
          <w:tcPr>
            <w:tcW w:w="7938" w:type="dxa"/>
          </w:tcPr>
          <w:p w:rsidR="009B56A9" w:rsidRDefault="00226AC4" w:rsidP="001677D7">
            <w:r>
              <w:t>Ask if everyone familiar with the library, what experience do they have</w:t>
            </w:r>
            <w:r w:rsidR="001677D7">
              <w:t>?</w:t>
            </w:r>
          </w:p>
        </w:tc>
        <w:tc>
          <w:tcPr>
            <w:tcW w:w="1701" w:type="dxa"/>
          </w:tcPr>
          <w:p w:rsidR="009B56A9" w:rsidRDefault="009B56A9" w:rsidP="00F10703"/>
        </w:tc>
        <w:tc>
          <w:tcPr>
            <w:tcW w:w="1276" w:type="dxa"/>
          </w:tcPr>
          <w:p w:rsidR="009B56A9" w:rsidRDefault="00B5730D" w:rsidP="00F10703">
            <w:r>
              <w:t>5</w:t>
            </w:r>
          </w:p>
        </w:tc>
      </w:tr>
      <w:tr w:rsidR="002C2AAF" w:rsidTr="002C2AAF">
        <w:tc>
          <w:tcPr>
            <w:tcW w:w="4928" w:type="dxa"/>
          </w:tcPr>
          <w:p w:rsidR="002C2AAF" w:rsidRDefault="002C2AAF" w:rsidP="00164278">
            <w:r>
              <w:t>Layout of the Library space</w:t>
            </w:r>
          </w:p>
          <w:p w:rsidR="002C2AAF" w:rsidRPr="00242C80" w:rsidRDefault="002C2AAF" w:rsidP="00164278">
            <w:r w:rsidRPr="00242C80">
              <w:t xml:space="preserve">Shelving – </w:t>
            </w:r>
            <w:r>
              <w:t xml:space="preserve">basic </w:t>
            </w:r>
            <w:r w:rsidRPr="00242C80">
              <w:t xml:space="preserve"> understanding of </w:t>
            </w:r>
          </w:p>
          <w:p w:rsidR="002C2AAF" w:rsidRPr="00242C80" w:rsidRDefault="002C2AAF" w:rsidP="00164278">
            <w:pPr>
              <w:ind w:left="720"/>
            </w:pPr>
            <w:r w:rsidRPr="00242C80">
              <w:t>•</w:t>
            </w:r>
            <w:r w:rsidRPr="00242C80">
              <w:tab/>
              <w:t>Dewey System</w:t>
            </w:r>
          </w:p>
          <w:p w:rsidR="002C2AAF" w:rsidRPr="00242C80" w:rsidRDefault="002C2AAF" w:rsidP="00164278">
            <w:pPr>
              <w:ind w:left="720"/>
            </w:pPr>
            <w:r w:rsidRPr="00242C80">
              <w:t>•</w:t>
            </w:r>
            <w:r w:rsidRPr="00242C80">
              <w:tab/>
              <w:t xml:space="preserve">Exceptions to the rule </w:t>
            </w:r>
            <w:r>
              <w:br/>
              <w:t xml:space="preserve">           </w:t>
            </w:r>
            <w:proofErr w:type="spellStart"/>
            <w:r w:rsidRPr="00242C80">
              <w:t>eg</w:t>
            </w:r>
            <w:proofErr w:type="spellEnd"/>
            <w:r w:rsidRPr="00242C80">
              <w:t xml:space="preserve"> Mac,</w:t>
            </w:r>
            <w:r>
              <w:t xml:space="preserve"> </w:t>
            </w:r>
            <w:r w:rsidRPr="00242C80">
              <w:t>Mc,</w:t>
            </w:r>
            <w:r>
              <w:t xml:space="preserve"> </w:t>
            </w:r>
            <w:r w:rsidRPr="00242C80">
              <w:t>Van, Le</w:t>
            </w:r>
          </w:p>
          <w:p w:rsidR="002C2AAF" w:rsidRPr="00242C80" w:rsidRDefault="002C2AAF" w:rsidP="00164278">
            <w:pPr>
              <w:ind w:left="720"/>
            </w:pPr>
            <w:r w:rsidRPr="00242C80">
              <w:t>•</w:t>
            </w:r>
            <w:r w:rsidRPr="00242C80">
              <w:tab/>
              <w:t>Children’s</w:t>
            </w:r>
            <w:r>
              <w:t>, crime, fiction/non</w:t>
            </w:r>
          </w:p>
          <w:p w:rsidR="002C2AAF" w:rsidRPr="00242C80" w:rsidRDefault="002C2AAF" w:rsidP="00164278">
            <w:pPr>
              <w:ind w:left="720"/>
            </w:pPr>
            <w:r w:rsidRPr="00242C80">
              <w:t>•</w:t>
            </w:r>
            <w:r w:rsidRPr="00242C80">
              <w:tab/>
              <w:t>Holds List</w:t>
            </w:r>
          </w:p>
          <w:p w:rsidR="002C2AAF" w:rsidRDefault="002C2AAF" w:rsidP="00164278">
            <w:pPr>
              <w:ind w:left="720"/>
            </w:pPr>
            <w:r w:rsidRPr="00242C80">
              <w:t>•</w:t>
            </w:r>
            <w:r w:rsidRPr="00242C80">
              <w:tab/>
              <w:t>Shelf Checks</w:t>
            </w:r>
          </w:p>
          <w:p w:rsidR="002C2AAF" w:rsidRPr="00242C80" w:rsidRDefault="002C2AAF" w:rsidP="00164278">
            <w:r>
              <w:t>Weeding, tidying, displaying, discarding and recycling stock</w:t>
            </w:r>
          </w:p>
        </w:tc>
        <w:tc>
          <w:tcPr>
            <w:tcW w:w="7938" w:type="dxa"/>
          </w:tcPr>
          <w:p w:rsidR="002C2AAF" w:rsidRDefault="002C2AAF" w:rsidP="00164278">
            <w:r>
              <w:t>Refer to guidance – book guidance documents, Dewey.</w:t>
            </w:r>
          </w:p>
          <w:p w:rsidR="002C2AAF" w:rsidRDefault="002C2AAF" w:rsidP="00164278"/>
          <w:p w:rsidR="002C2AAF" w:rsidRDefault="002C2AAF" w:rsidP="00164278">
            <w:r>
              <w:t>Use example books to show how they can be damaged.  Talk through the process of discarding.</w:t>
            </w:r>
          </w:p>
          <w:p w:rsidR="002C2AAF" w:rsidRDefault="002C2AAF" w:rsidP="00164278"/>
          <w:p w:rsidR="002C2AAF" w:rsidRDefault="002C2AAF" w:rsidP="00164278"/>
          <w:p w:rsidR="002C2AAF" w:rsidRPr="00242C80" w:rsidRDefault="002C2AAF" w:rsidP="00164278"/>
        </w:tc>
        <w:tc>
          <w:tcPr>
            <w:tcW w:w="1701" w:type="dxa"/>
          </w:tcPr>
          <w:p w:rsidR="002C2AAF" w:rsidRPr="00242C80" w:rsidRDefault="002C2AAF" w:rsidP="00164278"/>
        </w:tc>
        <w:tc>
          <w:tcPr>
            <w:tcW w:w="1276" w:type="dxa"/>
          </w:tcPr>
          <w:p w:rsidR="002C2AAF" w:rsidRDefault="002C2AAF" w:rsidP="00164278">
            <w:r>
              <w:t>20</w:t>
            </w:r>
          </w:p>
        </w:tc>
      </w:tr>
      <w:tr w:rsidR="002C2AAF" w:rsidTr="002C2AAF">
        <w:tc>
          <w:tcPr>
            <w:tcW w:w="4928" w:type="dxa"/>
          </w:tcPr>
          <w:p w:rsidR="002C2AAF" w:rsidRDefault="002C2AAF" w:rsidP="00164278">
            <w:r w:rsidRPr="00EC6EB3">
              <w:t>Health and Safety</w:t>
            </w:r>
            <w:r>
              <w:t xml:space="preserve"> - basics</w:t>
            </w:r>
          </w:p>
          <w:p w:rsidR="002C2AAF" w:rsidRPr="00EC6EB3" w:rsidRDefault="002C2AAF" w:rsidP="00164278"/>
        </w:tc>
        <w:tc>
          <w:tcPr>
            <w:tcW w:w="7938" w:type="dxa"/>
          </w:tcPr>
          <w:p w:rsidR="002C2AAF" w:rsidRDefault="002C2AAF" w:rsidP="00164278">
            <w:pPr>
              <w:pStyle w:val="ListParagraph"/>
              <w:numPr>
                <w:ilvl w:val="0"/>
                <w:numId w:val="10"/>
              </w:numPr>
            </w:pPr>
            <w:r>
              <w:t>Manual handling - managing crates, trolleys</w:t>
            </w:r>
          </w:p>
          <w:p w:rsidR="002C2AAF" w:rsidRDefault="002C2AAF" w:rsidP="00164278">
            <w:pPr>
              <w:pStyle w:val="ListParagraph"/>
              <w:numPr>
                <w:ilvl w:val="0"/>
                <w:numId w:val="10"/>
              </w:numPr>
            </w:pPr>
            <w:r>
              <w:t>Introduction to risk assessments.  Fred Smedley to own.</w:t>
            </w:r>
          </w:p>
          <w:p w:rsidR="002C2AAF" w:rsidRDefault="002C2AAF" w:rsidP="00164278">
            <w:pPr>
              <w:pStyle w:val="ListParagraph"/>
              <w:numPr>
                <w:ilvl w:val="0"/>
                <w:numId w:val="10"/>
              </w:numPr>
            </w:pPr>
            <w:r>
              <w:t>Stress importance of Health and Safety training and the CRL’s responsibilities for building management, fire awareness, first aid</w:t>
            </w:r>
          </w:p>
        </w:tc>
        <w:tc>
          <w:tcPr>
            <w:tcW w:w="1701" w:type="dxa"/>
          </w:tcPr>
          <w:p w:rsidR="002C2AAF" w:rsidRDefault="002C2AAF" w:rsidP="00164278"/>
        </w:tc>
        <w:tc>
          <w:tcPr>
            <w:tcW w:w="1276" w:type="dxa"/>
          </w:tcPr>
          <w:p w:rsidR="002C2AAF" w:rsidRDefault="002C2AAF" w:rsidP="00164278">
            <w:r>
              <w:t>10</w:t>
            </w:r>
          </w:p>
        </w:tc>
      </w:tr>
      <w:tr w:rsidR="002C2AAF" w:rsidTr="002C2AAF">
        <w:tc>
          <w:tcPr>
            <w:tcW w:w="4928" w:type="dxa"/>
          </w:tcPr>
          <w:p w:rsidR="002C2AAF" w:rsidRDefault="002C2AAF" w:rsidP="00164278">
            <w:r>
              <w:t>Escalation of issues and support for finding solutions</w:t>
            </w:r>
          </w:p>
          <w:p w:rsidR="002C2AAF" w:rsidRDefault="002C2AAF" w:rsidP="00164278"/>
        </w:tc>
        <w:tc>
          <w:tcPr>
            <w:tcW w:w="7938" w:type="dxa"/>
          </w:tcPr>
          <w:p w:rsidR="002C2AAF" w:rsidRDefault="002C2AAF" w:rsidP="00164278">
            <w:r>
              <w:t>Discuss escalation document and roles and responsibilities.</w:t>
            </w:r>
          </w:p>
          <w:p w:rsidR="002C2AAF" w:rsidRDefault="002C2AAF" w:rsidP="000A086E">
            <w:r>
              <w:t xml:space="preserve">Confirm that there will be support available.  </w:t>
            </w:r>
          </w:p>
        </w:tc>
        <w:tc>
          <w:tcPr>
            <w:tcW w:w="1701" w:type="dxa"/>
          </w:tcPr>
          <w:p w:rsidR="002C2AAF" w:rsidRDefault="002C2AAF" w:rsidP="00164278"/>
          <w:p w:rsidR="002C2AAF" w:rsidRDefault="002C2AAF" w:rsidP="00164278"/>
        </w:tc>
        <w:tc>
          <w:tcPr>
            <w:tcW w:w="1276" w:type="dxa"/>
          </w:tcPr>
          <w:p w:rsidR="002C2AAF" w:rsidRDefault="002C2AAF" w:rsidP="00164278">
            <w:r>
              <w:t>10</w:t>
            </w:r>
          </w:p>
        </w:tc>
      </w:tr>
      <w:tr w:rsidR="002C2AAF" w:rsidTr="002C2AAF">
        <w:trPr>
          <w:trHeight w:val="328"/>
        </w:trPr>
        <w:tc>
          <w:tcPr>
            <w:tcW w:w="15843" w:type="dxa"/>
            <w:gridSpan w:val="4"/>
            <w:shd w:val="clear" w:color="auto" w:fill="4F81BD" w:themeFill="accent1"/>
          </w:tcPr>
          <w:p w:rsidR="002C2AAF" w:rsidRDefault="002C2AAF" w:rsidP="00F10703"/>
        </w:tc>
      </w:tr>
      <w:tr w:rsidR="00B5730D" w:rsidTr="00226AC4">
        <w:trPr>
          <w:trHeight w:val="328"/>
        </w:trPr>
        <w:tc>
          <w:tcPr>
            <w:tcW w:w="4928" w:type="dxa"/>
          </w:tcPr>
          <w:p w:rsidR="00B5730D" w:rsidRDefault="00B5730D" w:rsidP="00F10703">
            <w:r>
              <w:t xml:space="preserve">Introduction to </w:t>
            </w:r>
            <w:proofErr w:type="spellStart"/>
            <w:r>
              <w:t>MobileCirc</w:t>
            </w:r>
            <w:proofErr w:type="spellEnd"/>
          </w:p>
        </w:tc>
        <w:tc>
          <w:tcPr>
            <w:tcW w:w="7938" w:type="dxa"/>
          </w:tcPr>
          <w:p w:rsidR="00B5730D" w:rsidRDefault="00B5730D" w:rsidP="00F10703">
            <w:r>
              <w:t>Explain a basic version of Sirsi.  Some limitations but adequate for their needs.  Web-based so can access from any computer/</w:t>
            </w:r>
            <w:proofErr w:type="spellStart"/>
            <w:r>
              <w:t>ipad</w:t>
            </w:r>
            <w:proofErr w:type="spellEnd"/>
            <w:r>
              <w:t>.</w:t>
            </w:r>
          </w:p>
          <w:p w:rsidR="00226AC4" w:rsidRDefault="00226AC4" w:rsidP="00226AC4">
            <w:r>
              <w:t>Mention the IT they will have available.</w:t>
            </w:r>
            <w:r w:rsidR="001677D7">
              <w:t xml:space="preserve">  Show guidance document.</w:t>
            </w:r>
          </w:p>
        </w:tc>
        <w:tc>
          <w:tcPr>
            <w:tcW w:w="1701" w:type="dxa"/>
          </w:tcPr>
          <w:p w:rsidR="00B5730D" w:rsidRDefault="00B5730D" w:rsidP="00F10703"/>
        </w:tc>
        <w:tc>
          <w:tcPr>
            <w:tcW w:w="1276" w:type="dxa"/>
          </w:tcPr>
          <w:p w:rsidR="00B5730D" w:rsidRDefault="00B5730D" w:rsidP="00F10703">
            <w:r>
              <w:t>5</w:t>
            </w:r>
          </w:p>
        </w:tc>
      </w:tr>
      <w:tr w:rsidR="009B56A9" w:rsidTr="00226AC4">
        <w:trPr>
          <w:trHeight w:val="328"/>
        </w:trPr>
        <w:tc>
          <w:tcPr>
            <w:tcW w:w="4928" w:type="dxa"/>
          </w:tcPr>
          <w:p w:rsidR="009B56A9" w:rsidRDefault="009B56A9" w:rsidP="00F10703">
            <w:r>
              <w:t>Issuing and discharging Items</w:t>
            </w:r>
          </w:p>
          <w:p w:rsidR="009B56A9" w:rsidRDefault="009B56A9" w:rsidP="00F10703"/>
        </w:tc>
        <w:tc>
          <w:tcPr>
            <w:tcW w:w="7938" w:type="dxa"/>
          </w:tcPr>
          <w:p w:rsidR="00226AC4" w:rsidRPr="00226AC4" w:rsidRDefault="00226AC4" w:rsidP="00F10703">
            <w:pPr>
              <w:rPr>
                <w:color w:val="FF0000"/>
              </w:rPr>
            </w:pPr>
            <w:r w:rsidRPr="00226AC4">
              <w:rPr>
                <w:color w:val="FF0000"/>
              </w:rPr>
              <w:t>Use pre-set tickets</w:t>
            </w:r>
            <w:r w:rsidR="002C2AAF">
              <w:rPr>
                <w:color w:val="FF0000"/>
              </w:rPr>
              <w:t xml:space="preserve"> and books to demonstrate</w:t>
            </w:r>
            <w:r w:rsidRPr="00226AC4">
              <w:rPr>
                <w:color w:val="FF0000"/>
              </w:rPr>
              <w:t>.</w:t>
            </w:r>
          </w:p>
          <w:p w:rsidR="009B56A9" w:rsidRDefault="00404962" w:rsidP="00F10703">
            <w:r>
              <w:t>Charging policies – lost card, no fee for reservations/holds.  Different policies in non B&amp;NES libraries</w:t>
            </w:r>
          </w:p>
        </w:tc>
        <w:tc>
          <w:tcPr>
            <w:tcW w:w="1701" w:type="dxa"/>
            <w:vMerge w:val="restart"/>
          </w:tcPr>
          <w:p w:rsidR="009B56A9" w:rsidRDefault="009B56A9" w:rsidP="00F10703">
            <w:r>
              <w:t xml:space="preserve"> </w:t>
            </w:r>
          </w:p>
        </w:tc>
        <w:tc>
          <w:tcPr>
            <w:tcW w:w="1276" w:type="dxa"/>
            <w:vMerge w:val="restart"/>
          </w:tcPr>
          <w:p w:rsidR="009B56A9" w:rsidRDefault="001677D7" w:rsidP="00F10703">
            <w:r>
              <w:t>40</w:t>
            </w:r>
          </w:p>
        </w:tc>
      </w:tr>
      <w:tr w:rsidR="009B56A9" w:rsidTr="00226AC4">
        <w:trPr>
          <w:trHeight w:val="565"/>
        </w:trPr>
        <w:tc>
          <w:tcPr>
            <w:tcW w:w="4928" w:type="dxa"/>
          </w:tcPr>
          <w:p w:rsidR="009B56A9" w:rsidRDefault="009B56A9" w:rsidP="00F10703">
            <w:r>
              <w:t xml:space="preserve">Registering new members, altering existing membership </w:t>
            </w:r>
          </w:p>
        </w:tc>
        <w:tc>
          <w:tcPr>
            <w:tcW w:w="7938" w:type="dxa"/>
          </w:tcPr>
          <w:p w:rsidR="00226AC4" w:rsidRDefault="00226AC4" w:rsidP="00404962">
            <w:pPr>
              <w:rPr>
                <w:color w:val="FF0000"/>
              </w:rPr>
            </w:pPr>
            <w:r w:rsidRPr="00226AC4">
              <w:rPr>
                <w:color w:val="FF0000"/>
              </w:rPr>
              <w:t>Use blank cards.</w:t>
            </w:r>
          </w:p>
          <w:p w:rsidR="00226AC4" w:rsidRDefault="00226AC4" w:rsidP="00404962">
            <w:r>
              <w:t>Practice registering a new member.</w:t>
            </w:r>
            <w:r w:rsidR="002C2AAF">
              <w:t xml:space="preserve"> (Do for volunteers if not members)</w:t>
            </w:r>
          </w:p>
          <w:p w:rsidR="00226AC4" w:rsidRDefault="00226AC4" w:rsidP="00404962">
            <w:r>
              <w:lastRenderedPageBreak/>
              <w:t>Look up a pre-existing member.  Look at how to change a pin (modify user) etc.</w:t>
            </w:r>
          </w:p>
          <w:p w:rsidR="00226AC4" w:rsidRDefault="00226AC4" w:rsidP="00404962">
            <w:r>
              <w:t xml:space="preserve">Show joining forms, </w:t>
            </w:r>
            <w:r w:rsidR="001677D7">
              <w:t xml:space="preserve">explain </w:t>
            </w:r>
            <w:r>
              <w:t>categories that need to be completed.</w:t>
            </w:r>
          </w:p>
          <w:p w:rsidR="00226AC4" w:rsidRDefault="00226AC4" w:rsidP="00404962"/>
          <w:p w:rsidR="009B56A9" w:rsidRDefault="009B56A9" w:rsidP="00404962">
            <w:r>
              <w:t xml:space="preserve">Explain linking memberships </w:t>
            </w:r>
            <w:proofErr w:type="spellStart"/>
            <w:r>
              <w:t>eg</w:t>
            </w:r>
            <w:proofErr w:type="spellEnd"/>
            <w:r>
              <w:t xml:space="preserve">. </w:t>
            </w:r>
            <w:proofErr w:type="gramStart"/>
            <w:r>
              <w:t>families</w:t>
            </w:r>
            <w:proofErr w:type="gramEnd"/>
            <w:r>
              <w:t xml:space="preserve"> will need to take place in a </w:t>
            </w:r>
            <w:r w:rsidR="00404962">
              <w:t>core</w:t>
            </w:r>
            <w:r>
              <w:t xml:space="preserve"> library.  Customers can also use the Libraries West website</w:t>
            </w:r>
            <w:r w:rsidR="00D30EB5">
              <w:t>/</w:t>
            </w:r>
            <w:r w:rsidR="002B0CA2">
              <w:t>app</w:t>
            </w:r>
            <w:r>
              <w:t xml:space="preserve"> to link memberships.</w:t>
            </w:r>
          </w:p>
          <w:p w:rsidR="002B0CA2" w:rsidRDefault="002B0CA2" w:rsidP="00404962"/>
        </w:tc>
        <w:tc>
          <w:tcPr>
            <w:tcW w:w="1701" w:type="dxa"/>
            <w:vMerge/>
          </w:tcPr>
          <w:p w:rsidR="009B56A9" w:rsidRDefault="009B56A9" w:rsidP="00F10703"/>
        </w:tc>
        <w:tc>
          <w:tcPr>
            <w:tcW w:w="1276" w:type="dxa"/>
            <w:vMerge/>
          </w:tcPr>
          <w:p w:rsidR="009B56A9" w:rsidRDefault="009B56A9" w:rsidP="00F10703"/>
        </w:tc>
      </w:tr>
      <w:tr w:rsidR="009B56A9" w:rsidTr="00226AC4">
        <w:tc>
          <w:tcPr>
            <w:tcW w:w="4928" w:type="dxa"/>
          </w:tcPr>
          <w:p w:rsidR="009B56A9" w:rsidRDefault="009B56A9" w:rsidP="00F10703">
            <w:r>
              <w:lastRenderedPageBreak/>
              <w:t>Renewing Items</w:t>
            </w:r>
          </w:p>
        </w:tc>
        <w:tc>
          <w:tcPr>
            <w:tcW w:w="7938" w:type="dxa"/>
          </w:tcPr>
          <w:p w:rsidR="00226AC4" w:rsidRDefault="00226AC4" w:rsidP="00226AC4">
            <w:r>
              <w:t xml:space="preserve">Demonstrate renew by user. </w:t>
            </w:r>
          </w:p>
          <w:p w:rsidR="002B0CA2" w:rsidRDefault="002B0CA2" w:rsidP="00226AC4"/>
        </w:tc>
        <w:tc>
          <w:tcPr>
            <w:tcW w:w="1701" w:type="dxa"/>
            <w:vMerge/>
          </w:tcPr>
          <w:p w:rsidR="009B56A9" w:rsidRDefault="009B56A9" w:rsidP="00F10703"/>
        </w:tc>
        <w:tc>
          <w:tcPr>
            <w:tcW w:w="1276" w:type="dxa"/>
            <w:vMerge/>
          </w:tcPr>
          <w:p w:rsidR="009B56A9" w:rsidRDefault="009B56A9" w:rsidP="00F10703"/>
        </w:tc>
      </w:tr>
      <w:tr w:rsidR="002C2AAF" w:rsidTr="00AF0A57">
        <w:tc>
          <w:tcPr>
            <w:tcW w:w="4928" w:type="dxa"/>
          </w:tcPr>
          <w:p w:rsidR="002C2AAF" w:rsidRDefault="002C2AAF" w:rsidP="00AF0A57">
            <w:r>
              <w:t>Libraries West</w:t>
            </w:r>
          </w:p>
        </w:tc>
        <w:tc>
          <w:tcPr>
            <w:tcW w:w="7938" w:type="dxa"/>
          </w:tcPr>
          <w:p w:rsidR="002C2AAF" w:rsidRPr="001677D7" w:rsidRDefault="002C2AAF" w:rsidP="00AF0A57">
            <w:r w:rsidRPr="001677D7">
              <w:t>Libraries West homework – check if had a chance to:</w:t>
            </w:r>
          </w:p>
          <w:p w:rsidR="002C2AAF" w:rsidRDefault="002C2AAF" w:rsidP="00AF0A57">
            <w:r>
              <w:t>Log in</w:t>
            </w:r>
          </w:p>
          <w:p w:rsidR="002C2AAF" w:rsidRDefault="002C2AAF" w:rsidP="00AF0A57">
            <w:r>
              <w:t>Find an item on the catalogue and see where the nearest one is located.</w:t>
            </w:r>
          </w:p>
          <w:p w:rsidR="002C2AAF" w:rsidRDefault="002C2AAF" w:rsidP="00AF0A57">
            <w:r>
              <w:t>Look at a record and functions available.</w:t>
            </w:r>
          </w:p>
          <w:p w:rsidR="002C2AAF" w:rsidRPr="00242C80" w:rsidRDefault="002C2AAF" w:rsidP="002C2AAF">
            <w:r>
              <w:t>Look at Amazon/Hive</w:t>
            </w:r>
          </w:p>
        </w:tc>
        <w:tc>
          <w:tcPr>
            <w:tcW w:w="1701" w:type="dxa"/>
          </w:tcPr>
          <w:p w:rsidR="002C2AAF" w:rsidRDefault="002C2AAF" w:rsidP="00AF0A57"/>
        </w:tc>
        <w:tc>
          <w:tcPr>
            <w:tcW w:w="1276" w:type="dxa"/>
          </w:tcPr>
          <w:p w:rsidR="002C2AAF" w:rsidRDefault="002C2AAF" w:rsidP="00AF0A57">
            <w:r>
              <w:t>10</w:t>
            </w:r>
          </w:p>
        </w:tc>
      </w:tr>
      <w:tr w:rsidR="009B56A9" w:rsidTr="00226AC4">
        <w:tc>
          <w:tcPr>
            <w:tcW w:w="4928" w:type="dxa"/>
          </w:tcPr>
          <w:p w:rsidR="002B0CA2" w:rsidRDefault="002B0CA2" w:rsidP="002B0CA2">
            <w:r w:rsidRPr="00242C80">
              <w:t>Helping with catalogue enquiries</w:t>
            </w:r>
          </w:p>
          <w:p w:rsidR="009B56A9" w:rsidRPr="00242C80" w:rsidRDefault="009B56A9" w:rsidP="00F10703"/>
        </w:tc>
        <w:tc>
          <w:tcPr>
            <w:tcW w:w="7938" w:type="dxa"/>
          </w:tcPr>
          <w:p w:rsidR="002B0CA2" w:rsidRDefault="002B0CA2" w:rsidP="00F10703">
            <w:r w:rsidRPr="00242C80">
              <w:t>Familiarisation with Lib</w:t>
            </w:r>
            <w:r>
              <w:t>r</w:t>
            </w:r>
            <w:r w:rsidRPr="00242C80">
              <w:t>ariesWest</w:t>
            </w:r>
            <w:r>
              <w:t>.  Limited function on mobilecirc.</w:t>
            </w:r>
          </w:p>
          <w:p w:rsidR="009B56A9" w:rsidRPr="00242C80" w:rsidRDefault="009B56A9" w:rsidP="00F10703"/>
        </w:tc>
        <w:tc>
          <w:tcPr>
            <w:tcW w:w="1701" w:type="dxa"/>
            <w:vMerge w:val="restart"/>
          </w:tcPr>
          <w:p w:rsidR="009B56A9" w:rsidRPr="00242C80" w:rsidRDefault="009B56A9" w:rsidP="00F10703"/>
        </w:tc>
        <w:tc>
          <w:tcPr>
            <w:tcW w:w="1276" w:type="dxa"/>
            <w:vMerge w:val="restart"/>
          </w:tcPr>
          <w:p w:rsidR="009B56A9" w:rsidRPr="00242C80" w:rsidRDefault="002C2AAF" w:rsidP="00F10703">
            <w:r>
              <w:t>10</w:t>
            </w:r>
          </w:p>
        </w:tc>
      </w:tr>
      <w:tr w:rsidR="009B56A9" w:rsidTr="00226AC4">
        <w:tc>
          <w:tcPr>
            <w:tcW w:w="4928" w:type="dxa"/>
          </w:tcPr>
          <w:p w:rsidR="009B56A9" w:rsidRPr="00242C80" w:rsidRDefault="002B0CA2" w:rsidP="002B0CA2">
            <w:r w:rsidRPr="00242C80">
              <w:t>Reserving items</w:t>
            </w:r>
          </w:p>
        </w:tc>
        <w:tc>
          <w:tcPr>
            <w:tcW w:w="7938" w:type="dxa"/>
          </w:tcPr>
          <w:p w:rsidR="009B56A9" w:rsidRPr="00242C80" w:rsidRDefault="002B0CA2" w:rsidP="00F10703">
            <w:r>
              <w:t>Use LibrariesWest website to demonstrate.</w:t>
            </w:r>
          </w:p>
        </w:tc>
        <w:tc>
          <w:tcPr>
            <w:tcW w:w="1701" w:type="dxa"/>
            <w:vMerge/>
          </w:tcPr>
          <w:p w:rsidR="009B56A9" w:rsidRPr="00242C80" w:rsidRDefault="009B56A9" w:rsidP="00F10703"/>
        </w:tc>
        <w:tc>
          <w:tcPr>
            <w:tcW w:w="1276" w:type="dxa"/>
            <w:vMerge/>
          </w:tcPr>
          <w:p w:rsidR="009B56A9" w:rsidRPr="00242C80" w:rsidRDefault="009B56A9" w:rsidP="00F10703"/>
        </w:tc>
      </w:tr>
      <w:tr w:rsidR="009B56A9" w:rsidTr="00226AC4">
        <w:tc>
          <w:tcPr>
            <w:tcW w:w="4928" w:type="dxa"/>
          </w:tcPr>
          <w:p w:rsidR="009B56A9" w:rsidRDefault="009B56A9" w:rsidP="00F10703">
            <w:r w:rsidRPr="00242C80">
              <w:t>Dealing with lost / missing items</w:t>
            </w:r>
          </w:p>
          <w:p w:rsidR="009B56A9" w:rsidRPr="00242C80" w:rsidRDefault="009B56A9" w:rsidP="00F10703"/>
        </w:tc>
        <w:tc>
          <w:tcPr>
            <w:tcW w:w="7938" w:type="dxa"/>
          </w:tcPr>
          <w:p w:rsidR="009B56A9" w:rsidRDefault="009B56A9" w:rsidP="00404962">
            <w:r>
              <w:t xml:space="preserve">Refer to </w:t>
            </w:r>
            <w:r w:rsidR="00404962">
              <w:t>Core library to process as need to pay for items and alter on catalogue</w:t>
            </w:r>
          </w:p>
        </w:tc>
        <w:tc>
          <w:tcPr>
            <w:tcW w:w="1701" w:type="dxa"/>
            <w:vMerge/>
          </w:tcPr>
          <w:p w:rsidR="009B56A9" w:rsidRPr="00242C80" w:rsidRDefault="009B56A9" w:rsidP="00F10703"/>
        </w:tc>
        <w:tc>
          <w:tcPr>
            <w:tcW w:w="1276" w:type="dxa"/>
            <w:vMerge/>
          </w:tcPr>
          <w:p w:rsidR="009B56A9" w:rsidRPr="00242C80" w:rsidRDefault="009B56A9" w:rsidP="00F10703"/>
        </w:tc>
      </w:tr>
      <w:tr w:rsidR="00B5730D" w:rsidTr="00226AC4">
        <w:tc>
          <w:tcPr>
            <w:tcW w:w="4928" w:type="dxa"/>
          </w:tcPr>
          <w:p w:rsidR="00B5730D" w:rsidRDefault="00226AC4" w:rsidP="000D01B0">
            <w:r>
              <w:t>Bills and fees</w:t>
            </w:r>
          </w:p>
        </w:tc>
        <w:tc>
          <w:tcPr>
            <w:tcW w:w="7938" w:type="dxa"/>
          </w:tcPr>
          <w:p w:rsidR="00226AC4" w:rsidRDefault="00226AC4" w:rsidP="00226AC4">
            <w:r>
              <w:t>Volunteers w</w:t>
            </w:r>
            <w:r w:rsidRPr="00242C80">
              <w:t xml:space="preserve">ill need to know about bills and fees </w:t>
            </w:r>
            <w:r>
              <w:t>but</w:t>
            </w:r>
            <w:r w:rsidRPr="00242C80">
              <w:t xml:space="preserve"> can’t take payment </w:t>
            </w:r>
            <w:r>
              <w:t>so need to refer to core library.</w:t>
            </w:r>
          </w:p>
          <w:p w:rsidR="00B5730D" w:rsidRPr="00242C80" w:rsidRDefault="00226AC4" w:rsidP="001677D7">
            <w:r>
              <w:t xml:space="preserve">Remind them not to go into too much detail as </w:t>
            </w:r>
            <w:r w:rsidR="001677D7">
              <w:t>may not be able to resolve</w:t>
            </w:r>
            <w:r>
              <w:t>.</w:t>
            </w:r>
          </w:p>
        </w:tc>
        <w:tc>
          <w:tcPr>
            <w:tcW w:w="1701" w:type="dxa"/>
          </w:tcPr>
          <w:p w:rsidR="00B5730D" w:rsidRDefault="00B5730D" w:rsidP="000D01B0"/>
        </w:tc>
        <w:tc>
          <w:tcPr>
            <w:tcW w:w="1276" w:type="dxa"/>
          </w:tcPr>
          <w:p w:rsidR="00B5730D" w:rsidRDefault="002C2AAF" w:rsidP="000D01B0">
            <w:r>
              <w:t>5</w:t>
            </w:r>
          </w:p>
        </w:tc>
      </w:tr>
      <w:tr w:rsidR="00EC6EB3" w:rsidTr="00226AC4">
        <w:tc>
          <w:tcPr>
            <w:tcW w:w="4928" w:type="dxa"/>
          </w:tcPr>
          <w:p w:rsidR="00EC6EB3" w:rsidRDefault="002C2AAF" w:rsidP="002C2AAF">
            <w:r>
              <w:t>Questions</w:t>
            </w:r>
          </w:p>
        </w:tc>
        <w:tc>
          <w:tcPr>
            <w:tcW w:w="7938" w:type="dxa"/>
          </w:tcPr>
          <w:p w:rsidR="00EC6EB3" w:rsidRDefault="00EC6EB3" w:rsidP="00F10703"/>
        </w:tc>
        <w:tc>
          <w:tcPr>
            <w:tcW w:w="1701" w:type="dxa"/>
          </w:tcPr>
          <w:p w:rsidR="00EC6EB3" w:rsidRDefault="00EC6EB3" w:rsidP="00F10703"/>
        </w:tc>
        <w:tc>
          <w:tcPr>
            <w:tcW w:w="1276" w:type="dxa"/>
          </w:tcPr>
          <w:p w:rsidR="00EC6EB3" w:rsidRDefault="002C2AAF" w:rsidP="00F10703">
            <w:r>
              <w:t>5</w:t>
            </w:r>
          </w:p>
        </w:tc>
      </w:tr>
    </w:tbl>
    <w:p w:rsidR="002E35F8" w:rsidRDefault="002E35F8" w:rsidP="002E35F8"/>
    <w:sectPr w:rsidR="002E35F8" w:rsidSect="0040496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8A2"/>
    <w:multiLevelType w:val="hybridMultilevel"/>
    <w:tmpl w:val="BE70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ED3"/>
    <w:multiLevelType w:val="hybridMultilevel"/>
    <w:tmpl w:val="86C47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96E36"/>
    <w:multiLevelType w:val="hybridMultilevel"/>
    <w:tmpl w:val="86C47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C3782"/>
    <w:multiLevelType w:val="hybridMultilevel"/>
    <w:tmpl w:val="5E30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13D7D"/>
    <w:multiLevelType w:val="hybridMultilevel"/>
    <w:tmpl w:val="5664B5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30BE7"/>
    <w:multiLevelType w:val="hybridMultilevel"/>
    <w:tmpl w:val="A8D2F7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024F6"/>
    <w:multiLevelType w:val="hybridMultilevel"/>
    <w:tmpl w:val="6FC2D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43EED"/>
    <w:multiLevelType w:val="hybridMultilevel"/>
    <w:tmpl w:val="8B165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95EDF"/>
    <w:multiLevelType w:val="hybridMultilevel"/>
    <w:tmpl w:val="97B20D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048FA"/>
    <w:multiLevelType w:val="hybridMultilevel"/>
    <w:tmpl w:val="D916BC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7B"/>
    <w:rsid w:val="00042B3D"/>
    <w:rsid w:val="00045B72"/>
    <w:rsid w:val="000823A2"/>
    <w:rsid w:val="0008350B"/>
    <w:rsid w:val="000A086E"/>
    <w:rsid w:val="000B1B52"/>
    <w:rsid w:val="0014206A"/>
    <w:rsid w:val="001677D7"/>
    <w:rsid w:val="00172C49"/>
    <w:rsid w:val="00180F0A"/>
    <w:rsid w:val="00193BEE"/>
    <w:rsid w:val="001B666D"/>
    <w:rsid w:val="00202C0D"/>
    <w:rsid w:val="00226AC4"/>
    <w:rsid w:val="00242C80"/>
    <w:rsid w:val="0025446A"/>
    <w:rsid w:val="0027296F"/>
    <w:rsid w:val="00280FBA"/>
    <w:rsid w:val="002B0CA2"/>
    <w:rsid w:val="002C2AAF"/>
    <w:rsid w:val="002E35F8"/>
    <w:rsid w:val="00320FCB"/>
    <w:rsid w:val="0034021E"/>
    <w:rsid w:val="0034034B"/>
    <w:rsid w:val="00385301"/>
    <w:rsid w:val="003929DF"/>
    <w:rsid w:val="003A10F9"/>
    <w:rsid w:val="003D0637"/>
    <w:rsid w:val="00402821"/>
    <w:rsid w:val="00404962"/>
    <w:rsid w:val="004539BF"/>
    <w:rsid w:val="00467B31"/>
    <w:rsid w:val="004D1D4F"/>
    <w:rsid w:val="004E1354"/>
    <w:rsid w:val="00504379"/>
    <w:rsid w:val="0056407C"/>
    <w:rsid w:val="0057375C"/>
    <w:rsid w:val="00590D58"/>
    <w:rsid w:val="005A6C7F"/>
    <w:rsid w:val="005B1091"/>
    <w:rsid w:val="005B2E23"/>
    <w:rsid w:val="0061012C"/>
    <w:rsid w:val="0063499F"/>
    <w:rsid w:val="0065125D"/>
    <w:rsid w:val="007471BD"/>
    <w:rsid w:val="00760254"/>
    <w:rsid w:val="007A1FC9"/>
    <w:rsid w:val="008316E5"/>
    <w:rsid w:val="00882194"/>
    <w:rsid w:val="008C48A4"/>
    <w:rsid w:val="008F1ECF"/>
    <w:rsid w:val="009452B7"/>
    <w:rsid w:val="0095761E"/>
    <w:rsid w:val="00981F08"/>
    <w:rsid w:val="009B56A9"/>
    <w:rsid w:val="00A657B0"/>
    <w:rsid w:val="00A9171F"/>
    <w:rsid w:val="00A92A87"/>
    <w:rsid w:val="00AB1B70"/>
    <w:rsid w:val="00B10D3D"/>
    <w:rsid w:val="00B5730D"/>
    <w:rsid w:val="00BC749C"/>
    <w:rsid w:val="00BE3991"/>
    <w:rsid w:val="00C03325"/>
    <w:rsid w:val="00C43BE2"/>
    <w:rsid w:val="00C61F23"/>
    <w:rsid w:val="00CB2F7B"/>
    <w:rsid w:val="00CE099A"/>
    <w:rsid w:val="00D21B08"/>
    <w:rsid w:val="00D30EB5"/>
    <w:rsid w:val="00D3760A"/>
    <w:rsid w:val="00DB4D88"/>
    <w:rsid w:val="00DB61E2"/>
    <w:rsid w:val="00DE1B99"/>
    <w:rsid w:val="00E87F6F"/>
    <w:rsid w:val="00EC6EB3"/>
    <w:rsid w:val="00EE2FB1"/>
    <w:rsid w:val="00F755C6"/>
    <w:rsid w:val="00F80126"/>
    <w:rsid w:val="00F9348E"/>
    <w:rsid w:val="00FA272E"/>
    <w:rsid w:val="00FF2C01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43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B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B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B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B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B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B67C1E80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Thom</dc:creator>
  <cp:lastModifiedBy>weinelm</cp:lastModifiedBy>
  <cp:revision>2</cp:revision>
  <dcterms:created xsi:type="dcterms:W3CDTF">2018-08-30T21:51:00Z</dcterms:created>
  <dcterms:modified xsi:type="dcterms:W3CDTF">2018-08-30T21:51:00Z</dcterms:modified>
</cp:coreProperties>
</file>