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7" w:rsidRPr="00A0725E" w:rsidRDefault="00173924" w:rsidP="005071E3">
      <w:pPr>
        <w:widowControl/>
        <w:jc w:val="center"/>
        <w:rPr>
          <w:rFonts w:ascii="Arial" w:hAnsi="Arial" w:cs="Arial"/>
          <w:b/>
          <w:bCs/>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173924"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1pt;height:36.4pt">
                        <v:imagedata r:id="rId8"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1"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2"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173924">
              <w:rPr>
                <w:rFonts w:ascii="Arial" w:hAnsi="Arial" w:cs="Arial"/>
              </w:rPr>
            </w:r>
            <w:r w:rsidR="00173924">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Acupuncture</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173924">
              <w:rPr>
                <w:rFonts w:ascii="Arial" w:hAnsi="Arial" w:cs="Arial"/>
              </w:rPr>
            </w:r>
            <w:r w:rsidR="00173924">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173924">
              <w:rPr>
                <w:rFonts w:ascii="Arial" w:hAnsi="Arial" w:cs="Arial"/>
              </w:rPr>
            </w:r>
            <w:r w:rsidR="00173924">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173924">
              <w:rPr>
                <w:rFonts w:ascii="Arial" w:hAnsi="Arial" w:cs="Arial"/>
              </w:rPr>
            </w:r>
            <w:r w:rsidR="00173924">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173924">
              <w:rPr>
                <w:rFonts w:ascii="Arial" w:hAnsi="Arial" w:cs="Arial"/>
              </w:rPr>
            </w:r>
            <w:r w:rsidR="00173924">
              <w:rPr>
                <w:rFonts w:ascii="Arial" w:hAnsi="Arial" w:cs="Arial"/>
              </w:rPr>
              <w:fldChar w:fldCharType="separate"/>
            </w:r>
            <w:r>
              <w:rPr>
                <w:rFonts w:ascii="Arial" w:hAnsi="Arial" w:cs="Arial"/>
              </w:rPr>
              <w:fldChar w:fldCharType="end"/>
            </w:r>
            <w:bookmarkEnd w:id="7"/>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3924">
        <w:rPr>
          <w:rFonts w:ascii="Arial" w:hAnsi="Arial" w:cs="Arial"/>
          <w:sz w:val="22"/>
          <w:szCs w:val="22"/>
        </w:rPr>
      </w:r>
      <w:r w:rsidR="0017392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I/We have paid the application fee of £137 - receipt number     </w:t>
      </w:r>
      <w:r>
        <w:rPr>
          <w:rFonts w:ascii="Arial" w:hAnsi="Arial" w:cs="Arial"/>
          <w:sz w:val="22"/>
          <w:szCs w:val="22"/>
        </w:rPr>
        <w:fldChar w:fldCharType="begin">
          <w:ffData>
            <w:name w:val="Text2"/>
            <w:enabled/>
            <w:calcOnExit w:val="0"/>
            <w:textInput/>
          </w:ffData>
        </w:fldChar>
      </w:r>
      <w:bookmarkStart w:id="8"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5071E3" w:rsidRDefault="00173924" w:rsidP="005071E3">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336.7pt;margin-top:1.3pt;width:108.65pt;height:0;z-index:251660288" o:connectortype="straight"/>
        </w:pict>
      </w: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bookmarkStart w:id="9" w:name="Check2"/>
      <w:r>
        <w:rPr>
          <w:rFonts w:ascii="Arial" w:hAnsi="Arial" w:cs="Arial"/>
          <w:sz w:val="22"/>
          <w:szCs w:val="22"/>
        </w:rPr>
        <w:instrText xml:space="preserve"> FORMCHECKBOX </w:instrText>
      </w:r>
      <w:r w:rsidR="00173924">
        <w:rPr>
          <w:rFonts w:ascii="Arial" w:hAnsi="Arial" w:cs="Arial"/>
          <w:sz w:val="22"/>
          <w:szCs w:val="22"/>
        </w:rPr>
      </w:r>
      <w:r w:rsidR="00173924">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ab/>
        <w:t xml:space="preserve">I/We have paid the maintenance fee of £13 - receipt number    </w:t>
      </w:r>
      <w:r>
        <w:rPr>
          <w:rFonts w:ascii="Arial" w:hAnsi="Arial" w:cs="Arial"/>
          <w:sz w:val="22"/>
          <w:szCs w:val="22"/>
        </w:rPr>
        <w:fldChar w:fldCharType="begin">
          <w:ffData>
            <w:name w:val="Text3"/>
            <w:enabled/>
            <w:calcOnExit w:val="0"/>
            <w:textInput/>
          </w:ffData>
        </w:fldChar>
      </w:r>
      <w:bookmarkStart w:id="10"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5071E3" w:rsidRDefault="00173924" w:rsidP="005071E3">
      <w:pPr>
        <w:tabs>
          <w:tab w:val="left" w:pos="1440"/>
        </w:tabs>
        <w:ind w:left="2160" w:hanging="2160"/>
        <w:jc w:val="both"/>
        <w:rPr>
          <w:rFonts w:ascii="Arial" w:hAnsi="Arial" w:cs="Arial"/>
          <w:sz w:val="22"/>
          <w:szCs w:val="22"/>
        </w:rPr>
      </w:pPr>
      <w:r>
        <w:rPr>
          <w:noProof/>
        </w:rPr>
        <w:pict>
          <v:shape id="_x0000_s1036" type="#_x0000_t32" style="position:absolute;left:0;text-align:left;margin-left:336.6pt;margin-top:1.1pt;width:108.65pt;height:0;z-index:251659264" o:connectortype="straight"/>
        </w:pict>
      </w:r>
    </w:p>
    <w:p w:rsidR="005071E3" w:rsidRDefault="005071E3" w:rsidP="005071E3">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5071E3" w:rsidRDefault="005071E3" w:rsidP="00837627">
      <w:pPr>
        <w:widowControl/>
        <w:rPr>
          <w:rFonts w:ascii="Arial" w:hAnsi="Arial" w:cs="Arial"/>
        </w:rPr>
      </w:pPr>
    </w:p>
    <w:p w:rsidR="005071E3" w:rsidRDefault="005071E3"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1" w:name="Check5"/>
      <w:r>
        <w:rPr>
          <w:rFonts w:ascii="Arial" w:hAnsi="Arial" w:cs="Arial"/>
          <w:sz w:val="22"/>
          <w:szCs w:val="22"/>
        </w:rPr>
        <w:instrText xml:space="preserve"> FORMCHECKBOX </w:instrText>
      </w:r>
      <w:r w:rsidR="00173924">
        <w:rPr>
          <w:rFonts w:ascii="Arial" w:hAnsi="Arial" w:cs="Arial"/>
          <w:sz w:val="22"/>
          <w:szCs w:val="22"/>
        </w:rPr>
      </w:r>
      <w:r w:rsidR="00173924">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12"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2"/>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3"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3"/>
      <w:r w:rsidRPr="00A0725E">
        <w:rPr>
          <w:rFonts w:ascii="Arial" w:hAnsi="Arial" w:cs="Arial"/>
        </w:rPr>
        <w:tab/>
        <w:t xml:space="preserve">    </w:t>
      </w:r>
    </w:p>
    <w:p w:rsidR="00837627" w:rsidRPr="00A0725E" w:rsidRDefault="00173924"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or </w:t>
      </w:r>
      <w:r w:rsidRPr="00A0725E">
        <w:rPr>
          <w:rFonts w:ascii="Arial" w:hAnsi="Arial" w:cs="Arial"/>
        </w:rPr>
        <w:t>Licensing Services, B&amp;</w:t>
      </w:r>
      <w:r>
        <w:rPr>
          <w:rFonts w:ascii="Arial" w:hAnsi="Arial" w:cs="Arial"/>
        </w:rPr>
        <w:t>NES</w:t>
      </w:r>
      <w:r w:rsidRPr="00A0725E">
        <w:rPr>
          <w:rFonts w:ascii="Arial" w:hAnsi="Arial" w:cs="Arial"/>
        </w:rPr>
        <w:t xml:space="preserve"> Somerset</w:t>
      </w:r>
      <w:r>
        <w:rPr>
          <w:rFonts w:ascii="Arial" w:hAnsi="Arial" w:cs="Arial"/>
        </w:rPr>
        <w:t xml:space="preserve"> </w:t>
      </w:r>
      <w:r w:rsidRPr="00A0725E">
        <w:rPr>
          <w:rFonts w:ascii="Arial" w:hAnsi="Arial" w:cs="Arial"/>
        </w:rPr>
        <w:t xml:space="preserve">Council, </w:t>
      </w:r>
      <w:r>
        <w:rPr>
          <w:rFonts w:ascii="Arial" w:hAnsi="Arial" w:cs="Arial"/>
        </w:rPr>
        <w:t>Lewis House, Manvers</w:t>
      </w:r>
      <w:r w:rsidRPr="00A0725E">
        <w:rPr>
          <w:rFonts w:ascii="Arial" w:hAnsi="Arial" w:cs="Arial"/>
        </w:rPr>
        <w:t xml:space="preserve"> Street, </w:t>
      </w:r>
      <w:proofErr w:type="gramStart"/>
      <w:r w:rsidRPr="00A0725E">
        <w:rPr>
          <w:rFonts w:ascii="Arial" w:hAnsi="Arial" w:cs="Arial"/>
        </w:rPr>
        <w:t>Bath  BA1</w:t>
      </w:r>
      <w:proofErr w:type="gramEnd"/>
      <w:r w:rsidRPr="00A0725E">
        <w:rPr>
          <w:rFonts w:ascii="Arial" w:hAnsi="Arial" w:cs="Arial"/>
        </w:rPr>
        <w:t xml:space="preserve"> 1</w:t>
      </w:r>
      <w:r>
        <w:rPr>
          <w:rFonts w:ascii="Arial" w:hAnsi="Arial" w:cs="Arial"/>
        </w:rPr>
        <w:t>JG</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173924"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173924">
                  <w:r>
                    <w:rPr>
                      <w:b/>
                      <w:bCs/>
                    </w:rPr>
                    <w:pict>
                      <v:shape id="_x0000_i1028" type="#_x0000_t75" style="width:98.1pt;height:36.4pt">
                        <v:imagedata r:id="rId8"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proofErr w:type="gramStart"/>
      <w:r>
        <w:rPr>
          <w:rFonts w:ascii="Arial" w:hAnsi="Arial" w:cs="Arial"/>
          <w:u w:val="single"/>
        </w:rPr>
        <w:t>A</w:t>
      </w:r>
      <w:r w:rsidR="004E211C" w:rsidRPr="000003BC">
        <w:rPr>
          <w:rFonts w:ascii="Arial" w:hAnsi="Arial" w:cs="Arial"/>
          <w:u w:val="single"/>
        </w:rPr>
        <w:t>fter</w:t>
      </w:r>
      <w:proofErr w:type="gramEnd"/>
      <w:r w:rsidR="004E211C" w:rsidRPr="000003BC">
        <w:rPr>
          <w:rFonts w:ascii="Arial" w:hAnsi="Arial" w:cs="Arial"/>
          <w:u w:val="single"/>
        </w:rPr>
        <w:t xml:space="preserve">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waste is generated in bags of less than 7kg in any collection period it 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59"/>
    <w:rsid w:val="000003BC"/>
    <w:rsid w:val="0003635A"/>
    <w:rsid w:val="00041EB6"/>
    <w:rsid w:val="00073BCB"/>
    <w:rsid w:val="0008156B"/>
    <w:rsid w:val="00090A1A"/>
    <w:rsid w:val="00091F4D"/>
    <w:rsid w:val="0009562B"/>
    <w:rsid w:val="000964C6"/>
    <w:rsid w:val="000A1868"/>
    <w:rsid w:val="000B0035"/>
    <w:rsid w:val="000C3519"/>
    <w:rsid w:val="000D7D92"/>
    <w:rsid w:val="000E41EC"/>
    <w:rsid w:val="000E4D95"/>
    <w:rsid w:val="0012294E"/>
    <w:rsid w:val="001268F8"/>
    <w:rsid w:val="00154EEE"/>
    <w:rsid w:val="00172563"/>
    <w:rsid w:val="00173924"/>
    <w:rsid w:val="001750B9"/>
    <w:rsid w:val="00191A86"/>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B6E19"/>
    <w:rsid w:val="003C182F"/>
    <w:rsid w:val="003F5678"/>
    <w:rsid w:val="004067A2"/>
    <w:rsid w:val="004108C1"/>
    <w:rsid w:val="004322D9"/>
    <w:rsid w:val="004346FA"/>
    <w:rsid w:val="00446881"/>
    <w:rsid w:val="0046290C"/>
    <w:rsid w:val="004666BE"/>
    <w:rsid w:val="00470FC7"/>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700B3A"/>
    <w:rsid w:val="00707C29"/>
    <w:rsid w:val="00710090"/>
    <w:rsid w:val="00750AC9"/>
    <w:rsid w:val="00752716"/>
    <w:rsid w:val="00753CE0"/>
    <w:rsid w:val="007574DF"/>
    <w:rsid w:val="00762889"/>
    <w:rsid w:val="00772569"/>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648F"/>
    <w:rsid w:val="00A0725E"/>
    <w:rsid w:val="00A15F99"/>
    <w:rsid w:val="00A1605E"/>
    <w:rsid w:val="00A23E82"/>
    <w:rsid w:val="00A23F09"/>
    <w:rsid w:val="00A24AB0"/>
    <w:rsid w:val="00A2647B"/>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_x0000_s1036"/>
        <o:r id="V:Rule4" type="connector" idref="#_x0000_s103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68FA95E1.dotm</Template>
  <TotalTime>1</TotalTime>
  <Pages>7</Pages>
  <Words>2002</Words>
  <Characters>11414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2</cp:revision>
  <dcterms:created xsi:type="dcterms:W3CDTF">2018-03-21T16:27:00Z</dcterms:created>
  <dcterms:modified xsi:type="dcterms:W3CDTF">2018-03-21T16:27:00Z</dcterms:modified>
</cp:coreProperties>
</file>